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087B8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E416023">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0D120CA3">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w:t>
            </w:r>
            <w:r>
              <w:rPr>
                <w:rFonts w:ascii="黑体" w:hAnsi="黑体" w:eastAsia="黑体"/>
                <w:sz w:val="21"/>
                <w:szCs w:val="21"/>
              </w:rPr>
              <w:fldChar w:fldCharType="end"/>
            </w:r>
            <w:bookmarkEnd w:id="0"/>
          </w:p>
        </w:tc>
      </w:tr>
      <w:tr w14:paraId="3006D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071A6511">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2022D38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1021" w:hRule="exact"/>
              </w:trPr>
              <w:tc>
                <w:tcPr>
                  <w:tcW w:w="9242" w:type="dxa"/>
                  <w:vAlign w:val="center"/>
                </w:tcPr>
                <w:p w14:paraId="1AA3FCB8">
                  <w:pPr>
                    <w:pStyle w:val="49"/>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t>CRACM</w:t>
                  </w:r>
                  <w:r>
                    <w:fldChar w:fldCharType="end"/>
                  </w:r>
                  <w:bookmarkEnd w:id="1"/>
                </w:p>
              </w:tc>
            </w:tr>
          </w:tbl>
          <w:p w14:paraId="73196364">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2"/>
          </w:p>
        </w:tc>
      </w:tr>
    </w:tbl>
    <w:p w14:paraId="11866A86">
      <w:pPr>
        <w:pStyle w:val="50"/>
        <w:framePr w:w="9639" w:h="624" w:hRule="exact" w:hSpace="181" w:vSpace="181" w:wrap="around" w:hAnchor="page" w:x="1305" w:y="2269"/>
        <w:rPr>
          <w:rFonts w:hint="eastAsia"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ascii="黑体" w:eastAsia="黑体"/>
          <w:b w:val="0"/>
          <w:w w:val="100"/>
          <w:sz w:val="48"/>
        </w:rPr>
        <w:t>     </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6CB1576A">
      <w:pPr>
        <w:pStyle w:val="195"/>
        <w:framePr/>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t>XXX</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XXXX</w:t>
      </w:r>
      <w:r>
        <w:fldChar w:fldCharType="end"/>
      </w:r>
      <w:bookmarkEnd w:id="7"/>
    </w:p>
    <w:p w14:paraId="6A737B4F">
      <w:pPr>
        <w:pStyle w:val="196"/>
        <w:framePr/>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6B4E8500">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3E514224">
      <w:pPr>
        <w:pStyle w:val="50"/>
        <w:framePr w:w="9639" w:h="6976" w:hRule="exact" w:hSpace="0" w:vSpace="0" w:wrap="around" w:hAnchor="page" w:y="6408"/>
        <w:jc w:val="center"/>
        <w:rPr>
          <w:rFonts w:hint="eastAsia" w:ascii="黑体" w:hAnsi="黑体" w:eastAsia="黑体"/>
          <w:b w:val="0"/>
          <w:bCs w:val="0"/>
          <w:w w:val="100"/>
        </w:rPr>
      </w:pPr>
    </w:p>
    <w:p w14:paraId="4E6343B5">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中医经络健康辨识技术规范</w:t>
      </w:r>
      <w:r>
        <w:fldChar w:fldCharType="end"/>
      </w:r>
      <w:bookmarkEnd w:id="9"/>
    </w:p>
    <w:p w14:paraId="51294E6B">
      <w:pPr>
        <w:framePr w:w="9639" w:h="6974" w:hRule="exact" w:wrap="around" w:vAnchor="page" w:hAnchor="page" w:x="1419" w:y="6408" w:anchorLock="1"/>
        <w:ind w:left="-1418"/>
      </w:pPr>
    </w:p>
    <w:p w14:paraId="38B24CA4">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eastAsia="黑体"/>
          <w:szCs w:val="28"/>
        </w:rPr>
        <w:t>TS for identification of meridian health in traditional Chinese medicine</w:t>
      </w:r>
      <w:r>
        <w:rPr>
          <w:rFonts w:eastAsia="黑体"/>
          <w:szCs w:val="28"/>
        </w:rPr>
        <w:fldChar w:fldCharType="end"/>
      </w:r>
      <w:bookmarkEnd w:id="10"/>
    </w:p>
    <w:p w14:paraId="2B330D64">
      <w:pPr>
        <w:framePr w:w="9639" w:h="6974" w:hRule="exact" w:wrap="around" w:vAnchor="page" w:hAnchor="page" w:x="1419" w:y="6408" w:anchorLock="1"/>
        <w:spacing w:line="760" w:lineRule="exact"/>
        <w:ind w:left="-1418"/>
      </w:pPr>
    </w:p>
    <w:p w14:paraId="609578B0">
      <w:pPr>
        <w:pStyle w:val="125"/>
        <w:framePr w:w="9639" w:h="6974" w:hRule="exact" w:wrap="around" w:vAnchor="page" w:hAnchor="page" w:x="1419" w:y="6408" w:anchorLock="1"/>
        <w:textAlignment w:val="bottom"/>
        <w:rPr>
          <w:rFonts w:eastAsia="黑体"/>
          <w:szCs w:val="28"/>
        </w:rPr>
      </w:pPr>
    </w:p>
    <w:p w14:paraId="6143DD17">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03859D71">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37F5A29C">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656C1B1A">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7F58ABE1">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07C6C51D">
      <w:pPr>
        <w:pStyle w:val="151"/>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Ansi="黑体"/>
          <w:w w:val="100"/>
          <w:sz w:val="28"/>
        </w:rPr>
        <w:t>     </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6F848C13">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sdt>
      <w:sdtPr>
        <w:rPr>
          <w:rFonts w:ascii="等线" w:hAnsi="等线" w:eastAsia="等线"/>
          <w:szCs w:val="22"/>
          <w:lang w:val="zh-CN"/>
        </w:rPr>
        <w:id w:val="-1483160626"/>
        <w:docPartObj>
          <w:docPartGallery w:val="Table of Contents"/>
          <w:docPartUnique/>
        </w:docPartObj>
      </w:sdtPr>
      <w:sdtEndPr>
        <w:rPr>
          <w:rFonts w:ascii="等线" w:hAnsi="等线" w:eastAsia="等线"/>
          <w:b/>
          <w:bCs/>
          <w:color w:val="auto"/>
          <w:szCs w:val="22"/>
          <w:lang w:val="zh-CN"/>
        </w:rPr>
      </w:sdtEndPr>
      <w:sdtContent>
        <w:p w14:paraId="753E93B7">
          <w:pPr>
            <w:keepNext/>
            <w:keepLines/>
            <w:widowControl/>
            <w:adjustRightInd/>
            <w:spacing w:before="240" w:line="259" w:lineRule="auto"/>
            <w:jc w:val="center"/>
            <w:rPr>
              <w:rFonts w:hint="eastAsia" w:ascii="黑体" w:hAnsi="黑体" w:eastAsia="黑体" w:cs="黑体"/>
              <w:color w:val="auto"/>
              <w:kern w:val="0"/>
              <w:sz w:val="32"/>
              <w:szCs w:val="32"/>
              <w:lang w:val="zh-CN"/>
            </w:rPr>
          </w:pPr>
          <w:bookmarkStart w:id="21" w:name="_Toc17233325"/>
          <w:bookmarkStart w:id="22" w:name="_Toc26718930"/>
          <w:bookmarkStart w:id="23" w:name="_Toc24884218"/>
          <w:bookmarkStart w:id="24" w:name="_Toc26648465"/>
          <w:bookmarkStart w:id="25" w:name="_Toc24884211"/>
          <w:bookmarkStart w:id="26" w:name="_Toc26986530"/>
          <w:bookmarkStart w:id="27" w:name="_Toc97192964"/>
          <w:bookmarkStart w:id="28" w:name="_Toc17233333"/>
          <w:bookmarkStart w:id="29" w:name="_Toc26986771"/>
          <w:bookmarkStart w:id="30" w:name="BookMark4"/>
          <w:r>
            <w:rPr>
              <w:rFonts w:hint="eastAsia" w:ascii="黑体" w:hAnsi="黑体" w:eastAsia="黑体" w:cs="黑体"/>
              <w:color w:val="auto"/>
              <w:kern w:val="0"/>
              <w:sz w:val="32"/>
              <w:szCs w:val="32"/>
              <w:lang w:val="zh-CN"/>
            </w:rPr>
            <w:t>目</w:t>
          </w:r>
          <w:r>
            <w:rPr>
              <w:rFonts w:hint="eastAsia" w:ascii="黑体" w:hAnsi="黑体" w:eastAsia="黑体" w:cs="黑体"/>
              <w:color w:val="auto"/>
              <w:kern w:val="0"/>
              <w:sz w:val="32"/>
              <w:szCs w:val="32"/>
              <w:lang w:val="en-US" w:eastAsia="zh-CN"/>
            </w:rPr>
            <w:t xml:space="preserve">   </w:t>
          </w:r>
          <w:r>
            <w:rPr>
              <w:rFonts w:hint="eastAsia" w:ascii="黑体" w:hAnsi="黑体" w:eastAsia="黑体" w:cs="黑体"/>
              <w:color w:val="auto"/>
              <w:kern w:val="0"/>
              <w:sz w:val="32"/>
              <w:szCs w:val="32"/>
              <w:lang w:val="zh-CN"/>
            </w:rPr>
            <w:t>次</w:t>
          </w:r>
        </w:p>
        <w:p w14:paraId="2C346981">
          <w:pPr>
            <w:pStyle w:val="19"/>
            <w:tabs>
              <w:tab w:val="right" w:leader="dot" w:pos="9344"/>
            </w:tabs>
            <w:rPr>
              <w:rFonts w:hint="eastAsia" w:ascii="宋体" w:hAnsi="宋体" w:eastAsia="宋体" w:cs="宋体"/>
              <w:color w:val="auto"/>
              <w:sz w:val="21"/>
              <w:szCs w:val="21"/>
              <w14:ligatures w14:val="standardContextual"/>
            </w:rPr>
          </w:pPr>
          <w:r>
            <w:rPr>
              <w:rFonts w:ascii="等线" w:hAnsi="等线" w:eastAsia="等线"/>
              <w:color w:val="auto"/>
              <w:kern w:val="0"/>
              <w:sz w:val="22"/>
              <w:szCs w:val="22"/>
            </w:rPr>
            <w:fldChar w:fldCharType="begin"/>
          </w:r>
          <w:r>
            <w:rPr>
              <w:rFonts w:ascii="等线" w:hAnsi="等线" w:eastAsia="等线"/>
              <w:color w:val="auto"/>
              <w:kern w:val="0"/>
              <w:sz w:val="22"/>
              <w:szCs w:val="22"/>
            </w:rPr>
            <w:instrText xml:space="preserve"> TOC \o "1-3" \h \z \u </w:instrText>
          </w:r>
          <w:r>
            <w:rPr>
              <w:rFonts w:ascii="等线" w:hAnsi="等线" w:eastAsia="等线"/>
              <w:color w:val="auto"/>
              <w:kern w:val="0"/>
              <w:sz w:val="22"/>
              <w:szCs w:val="22"/>
            </w:rPr>
            <w:fldChar w:fldCharType="separate"/>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"_Toc244263707"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前言</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_Toc244263707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2</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71C04C22">
          <w:pPr>
            <w:pStyle w:val="19"/>
            <w:tabs>
              <w:tab w:val="right" w:leader="dot" w:pos="9344"/>
            </w:tabs>
            <w:rPr>
              <w:rFonts w:hint="eastAsia" w:ascii="宋体" w:hAnsi="宋体" w:eastAsia="宋体" w:cs="宋体"/>
              <w:color w:val="auto"/>
              <w:sz w:val="21"/>
              <w:szCs w:val="21"/>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"_Toc244263708"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引言</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_Toc244263708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3</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79359F1F">
          <w:pPr>
            <w:pStyle w:val="19"/>
            <w:tabs>
              <w:tab w:val="right" w:leader="dot" w:pos="9344"/>
            </w:tabs>
            <w:rPr>
              <w:rFonts w:hint="eastAsia" w:ascii="宋体" w:hAnsi="宋体" w:eastAsia="宋体" w:cs="宋体"/>
              <w:color w:val="auto"/>
              <w:sz w:val="21"/>
              <w:szCs w:val="21"/>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"_Toc244263709"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中医经络健康辨识技术规范</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_Toc244263709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4</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19266253">
          <w:pPr>
            <w:pStyle w:val="24"/>
            <w:ind w:left="0" w:leftChars="0" w:firstLine="0" w:firstLineChars="0"/>
            <w:rPr>
              <w:rFonts w:hint="eastAsia" w:ascii="宋体" w:hAnsi="宋体" w:eastAsia="宋体" w:cs="宋体"/>
              <w:color w:val="auto"/>
              <w:sz w:val="21"/>
              <w:szCs w:val="21"/>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"_Toc244263710"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1范围</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_Toc244263710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4</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7096B994">
          <w:pPr>
            <w:pStyle w:val="24"/>
            <w:ind w:left="0" w:leftChars="0" w:firstLine="0" w:firstLineChars="0"/>
            <w:rPr>
              <w:rFonts w:hint="eastAsia" w:ascii="宋体" w:hAnsi="宋体" w:eastAsia="宋体" w:cs="宋体"/>
              <w:color w:val="auto"/>
              <w:sz w:val="21"/>
              <w:szCs w:val="21"/>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"_Toc244263711"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2规范性引用文件</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_Toc244263711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4</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40E6CB56">
          <w:pPr>
            <w:pStyle w:val="24"/>
            <w:ind w:left="0" w:leftChars="0" w:firstLine="0" w:firstLineChars="0"/>
            <w:rPr>
              <w:rFonts w:hint="eastAsia" w:ascii="宋体" w:hAnsi="宋体" w:eastAsia="宋体" w:cs="宋体"/>
              <w:color w:val="auto"/>
              <w:sz w:val="21"/>
              <w:szCs w:val="21"/>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"_Toc244263712"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3 术语和定义</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_Toc244263712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4</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711387D8">
          <w:pPr>
            <w:pStyle w:val="15"/>
            <w:tabs>
              <w:tab w:val="right" w:leader="dot" w:pos="9344"/>
            </w:tabs>
            <w:ind w:left="0" w:leftChars="0" w:firstLine="0" w:firstLineChars="0"/>
            <w:rPr>
              <w:rFonts w:hint="eastAsia" w:ascii="宋体" w:hAnsi="宋体" w:eastAsia="宋体" w:cs="宋体"/>
              <w:color w:val="auto"/>
              <w:sz w:val="21"/>
              <w:szCs w:val="21"/>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"_Toc244263722"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4 辨识仪器要求</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_Toc244263722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5</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4C338DAA">
          <w:pPr>
            <w:pStyle w:val="15"/>
            <w:tabs>
              <w:tab w:val="right" w:leader="dot" w:pos="9344"/>
            </w:tabs>
            <w:ind w:left="0" w:leftChars="0" w:firstLine="0" w:firstLineChars="0"/>
            <w:rPr>
              <w:rFonts w:hint="eastAsia" w:ascii="宋体" w:hAnsi="宋体" w:eastAsia="宋体" w:cs="宋体"/>
              <w:color w:val="auto"/>
              <w:sz w:val="21"/>
              <w:szCs w:val="21"/>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"_Toc244263723"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5 检测前准备</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_Toc244263723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5</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70CE98F5">
          <w:pPr>
            <w:pStyle w:val="15"/>
            <w:tabs>
              <w:tab w:val="right" w:leader="dot" w:pos="9344"/>
            </w:tabs>
            <w:ind w:left="0" w:leftChars="0" w:firstLine="0" w:firstLineChars="0"/>
            <w:rPr>
              <w:rFonts w:hint="eastAsia" w:ascii="宋体" w:hAnsi="宋体" w:eastAsia="宋体" w:cs="宋体"/>
              <w:color w:val="auto"/>
              <w:sz w:val="21"/>
              <w:szCs w:val="21"/>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"_Toc244263727"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6 辨识步骤</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_Toc244263727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5</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4F45A42D">
          <w:pPr>
            <w:pStyle w:val="15"/>
            <w:tabs>
              <w:tab w:val="right" w:leader="dot" w:pos="9344"/>
            </w:tabs>
            <w:ind w:left="0" w:leftChars="0" w:firstLine="0" w:firstLineChars="0"/>
            <w:rPr>
              <w:rFonts w:hint="eastAsia" w:ascii="宋体" w:hAnsi="宋体" w:eastAsia="宋体" w:cs="宋体"/>
              <w:color w:val="auto"/>
              <w:sz w:val="21"/>
              <w:szCs w:val="21"/>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"_Toc244263734"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7 经络健康性质辨识</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_Toc244263734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6</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7A1463FB">
          <w:pPr>
            <w:pStyle w:val="15"/>
            <w:tabs>
              <w:tab w:val="right" w:leader="dot" w:pos="9344"/>
            </w:tabs>
            <w:ind w:left="0" w:leftChars="0" w:firstLine="0" w:firstLineChars="0"/>
            <w:rPr>
              <w:rFonts w:hint="eastAsia" w:ascii="宋体" w:hAnsi="宋体" w:eastAsia="宋体" w:cs="宋体"/>
              <w:color w:val="auto"/>
              <w:sz w:val="21"/>
              <w:szCs w:val="21"/>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"_Toc244263752"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8 经络健康状态辨识</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_Toc244263752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7</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7B4C9D13">
          <w:pPr>
            <w:pStyle w:val="19"/>
            <w:tabs>
              <w:tab w:val="right" w:leader="dot" w:pos="9344"/>
            </w:tabs>
            <w:rPr>
              <w:rFonts w:hint="eastAsia" w:asciiTheme="minorHAnsi" w:hAnsiTheme="minorHAnsi" w:eastAsiaTheme="minorEastAsia" w:cstheme="minorBidi"/>
              <w:color w:val="auto"/>
              <w:sz w:val="22"/>
              <w:szCs w:val="24"/>
              <w14:ligatures w14:val="standardContextual"/>
            </w:rPr>
          </w:pP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\l "_Toc244263755" </w:instrText>
          </w:r>
          <w:r>
            <w:rPr>
              <w:rFonts w:hint="eastAsia" w:ascii="宋体" w:hAnsi="宋体" w:eastAsia="宋体" w:cs="宋体"/>
              <w:color w:val="auto"/>
              <w:sz w:val="21"/>
              <w:szCs w:val="21"/>
            </w:rPr>
            <w:fldChar w:fldCharType="separate"/>
          </w:r>
          <w:r>
            <w:rPr>
              <w:rStyle w:val="32"/>
              <w:rFonts w:hint="eastAsia" w:ascii="宋体" w:hAnsi="宋体" w:eastAsia="宋体" w:cs="宋体"/>
              <w:color w:val="auto"/>
              <w:sz w:val="21"/>
              <w:szCs w:val="21"/>
            </w:rPr>
            <w:t>参考文献</w:t>
          </w:r>
          <w:r>
            <w:rPr>
              <w:rFonts w:hint="eastAsia" w:ascii="宋体" w:hAnsi="宋体" w:eastAsia="宋体" w:cs="宋体"/>
              <w:color w:val="auto"/>
              <w:sz w:val="21"/>
              <w:szCs w:val="21"/>
            </w:rPr>
            <w:tab/>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PAGEREF _Toc244263755 \h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9</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fldChar w:fldCharType="end"/>
          </w:r>
        </w:p>
        <w:p w14:paraId="63FD2F1A">
          <w:pPr>
            <w:adjustRightInd/>
            <w:spacing w:line="240" w:lineRule="auto"/>
            <w:rPr>
              <w:rFonts w:hint="eastAsia" w:ascii="等线" w:hAnsi="等线" w:eastAsia="等线"/>
              <w:color w:val="auto"/>
              <w:szCs w:val="22"/>
            </w:rPr>
          </w:pPr>
          <w:r>
            <w:rPr>
              <w:rFonts w:ascii="等线" w:hAnsi="等线" w:eastAsia="等线"/>
              <w:b/>
              <w:bCs/>
              <w:color w:val="auto"/>
              <w:szCs w:val="22"/>
              <w:lang w:val="zh-CN"/>
            </w:rPr>
            <w:fldChar w:fldCharType="end"/>
          </w:r>
        </w:p>
      </w:sdtContent>
    </w:sdt>
    <w:p w14:paraId="0304E326">
      <w:pPr>
        <w:widowControl/>
        <w:adjustRightInd/>
        <w:spacing w:line="240" w:lineRule="auto"/>
        <w:jc w:val="left"/>
        <w:rPr>
          <w:rFonts w:hint="eastAsia" w:ascii="等线" w:hAnsi="等线" w:eastAsia="等线"/>
          <w:color w:val="auto"/>
          <w:kern w:val="0"/>
          <w:sz w:val="22"/>
          <w:szCs w:val="22"/>
        </w:rPr>
      </w:pPr>
      <w:r>
        <w:rPr>
          <w:rFonts w:ascii="等线" w:hAnsi="等线" w:eastAsia="等线"/>
          <w:color w:val="auto"/>
          <w:szCs w:val="22"/>
        </w:rPr>
        <w:br w:type="page"/>
      </w:r>
      <w:bookmarkStart w:id="31" w:name="_Toc25201"/>
      <w:bookmarkStart w:id="32" w:name="_Toc28050"/>
      <w:bookmarkStart w:id="33" w:name="_Toc1380"/>
      <w:bookmarkStart w:id="34" w:name="_Toc214557069"/>
      <w:bookmarkStart w:id="35" w:name="_Toc3759"/>
    </w:p>
    <w:p w14:paraId="6D8ACF17">
      <w:pPr>
        <w:keepNext/>
        <w:keepLines/>
        <w:adjustRightInd/>
        <w:spacing w:before="240" w:line="240" w:lineRule="auto"/>
        <w:jc w:val="center"/>
        <w:outlineLvl w:val="0"/>
        <w:rPr>
          <w:rFonts w:hint="eastAsia" w:ascii="黑体" w:hAnsi="黑体" w:eastAsia="黑体" w:cs="黑体"/>
          <w:color w:val="auto"/>
          <w:sz w:val="32"/>
          <w:szCs w:val="32"/>
        </w:rPr>
      </w:pPr>
      <w:bookmarkStart w:id="36" w:name="_Toc244263707"/>
      <w:r>
        <w:rPr>
          <w:rFonts w:hint="eastAsia" w:ascii="黑体" w:hAnsi="黑体" w:eastAsia="黑体" w:cs="黑体"/>
          <w:color w:val="auto"/>
          <w:sz w:val="32"/>
          <w:szCs w:val="32"/>
        </w:rPr>
        <w:t>前</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言</w:t>
      </w:r>
      <w:bookmarkEnd w:id="31"/>
      <w:bookmarkEnd w:id="32"/>
      <w:bookmarkEnd w:id="33"/>
      <w:bookmarkEnd w:id="34"/>
      <w:bookmarkEnd w:id="35"/>
      <w:bookmarkEnd w:id="36"/>
    </w:p>
    <w:p w14:paraId="255720FF">
      <w:pPr>
        <w:widowControl/>
        <w:autoSpaceDE w:val="0"/>
        <w:autoSpaceDN w:val="0"/>
        <w:adjustRightInd/>
        <w:spacing w:line="360" w:lineRule="auto"/>
        <w:ind w:firstLine="440" w:firstLineChars="200"/>
        <w:rPr>
          <w:rFonts w:ascii="宋体" w:hAnsi="Times New Roman"/>
          <w:color w:val="auto"/>
          <w:kern w:val="0"/>
          <w:sz w:val="22"/>
          <w:szCs w:val="22"/>
        </w:rPr>
      </w:pPr>
    </w:p>
    <w:p w14:paraId="01379E99">
      <w:pPr>
        <w:widowControl/>
        <w:autoSpaceDE w:val="0"/>
        <w:autoSpaceDN w:val="0"/>
        <w:adjustRightInd/>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本文件按照GB/T 1.1—2020《标准化工作导则  第1部分：标准化文件的结构和起草规则》的规定起草。</w:t>
      </w:r>
    </w:p>
    <w:p w14:paraId="4DCBF3BA">
      <w:pPr>
        <w:widowControl/>
        <w:autoSpaceDE w:val="0"/>
        <w:autoSpaceDN w:val="0"/>
        <w:adjustRightInd/>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请注意本文件的某些内容可能涉及专利。本文件的发布机构不承担识别专利的责任。本文件由中国中医药研究促进会提出并归口。</w:t>
      </w:r>
    </w:p>
    <w:p w14:paraId="2451FD7E">
      <w:pPr>
        <w:widowControl/>
        <w:autoSpaceDE w:val="0"/>
        <w:autoSpaceDN w:val="0"/>
        <w:adjustRightInd/>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本文件起草单位：北京十方泰和中医医学研究院、中国标准化研究院、大连理工大学、国家卫生健康委北京老年医学研究所、北京航空航天大学、北京大学、山西中医药大学、重庆市长寿区精神卫生中心、原平市医疗集团。</w:t>
      </w:r>
    </w:p>
    <w:p w14:paraId="78767E52">
      <w:pPr>
        <w:widowControl/>
        <w:autoSpaceDE w:val="0"/>
        <w:autoSpaceDN w:val="0"/>
        <w:adjustRightInd/>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本文件主要起草人： 杜冰、席兴军、齐莉萍、蔡剑平、刘亦鸣、何其华、郝重耀、戴晓林、王武伟、朱峻涛、王伟、海尤尔。</w:t>
      </w:r>
    </w:p>
    <w:p w14:paraId="74D90ECA">
      <w:pPr>
        <w:widowControl/>
        <w:autoSpaceDE w:val="0"/>
        <w:autoSpaceDN w:val="0"/>
        <w:adjustRightInd/>
        <w:spacing w:line="360" w:lineRule="auto"/>
        <w:ind w:firstLine="440" w:firstLineChars="200"/>
        <w:rPr>
          <w:rFonts w:ascii="宋体" w:hAnsi="Times New Roman"/>
          <w:color w:val="auto"/>
          <w:kern w:val="0"/>
          <w:sz w:val="22"/>
          <w:szCs w:val="22"/>
        </w:rPr>
      </w:pPr>
      <w:r>
        <w:rPr>
          <w:rFonts w:ascii="宋体" w:hAnsi="Times New Roman"/>
          <w:color w:val="auto"/>
          <w:kern w:val="0"/>
          <w:sz w:val="22"/>
          <w:szCs w:val="22"/>
        </w:rPr>
        <w:t xml:space="preserve"> </w:t>
      </w:r>
    </w:p>
    <w:p w14:paraId="46195717">
      <w:pPr>
        <w:adjustRightInd/>
        <w:spacing w:line="240" w:lineRule="auto"/>
        <w:rPr>
          <w:rFonts w:hint="eastAsia" w:ascii="等线" w:hAnsi="等线" w:eastAsia="等线"/>
          <w:color w:val="auto"/>
          <w:szCs w:val="22"/>
        </w:rPr>
      </w:pPr>
    </w:p>
    <w:p w14:paraId="552EE2FF">
      <w:pPr>
        <w:widowControl/>
        <w:adjustRightInd/>
        <w:spacing w:line="240" w:lineRule="auto"/>
        <w:jc w:val="left"/>
        <w:rPr>
          <w:rFonts w:hint="eastAsia" w:ascii="等线 Light" w:hAnsi="等线 Light" w:eastAsia="等线 Light"/>
          <w:color w:val="auto"/>
          <w:sz w:val="32"/>
          <w:szCs w:val="32"/>
        </w:rPr>
      </w:pPr>
      <w:r>
        <w:rPr>
          <w:rFonts w:ascii="等线" w:hAnsi="等线" w:eastAsia="等线"/>
          <w:color w:val="auto"/>
          <w:szCs w:val="22"/>
        </w:rPr>
        <w:br w:type="page"/>
      </w:r>
    </w:p>
    <w:p w14:paraId="02C74215">
      <w:pPr>
        <w:keepNext/>
        <w:keepLines/>
        <w:adjustRightInd/>
        <w:spacing w:before="240" w:line="240" w:lineRule="auto"/>
        <w:jc w:val="center"/>
        <w:outlineLvl w:val="0"/>
        <w:rPr>
          <w:rFonts w:hint="eastAsia" w:ascii="黑体" w:hAnsi="黑体" w:eastAsia="黑体" w:cs="黑体"/>
          <w:color w:val="auto"/>
          <w:sz w:val="32"/>
          <w:szCs w:val="32"/>
        </w:rPr>
      </w:pPr>
      <w:bookmarkStart w:id="37" w:name="_Toc28599"/>
      <w:bookmarkStart w:id="38" w:name="_Toc214557070"/>
      <w:bookmarkStart w:id="39" w:name="_Toc15373"/>
      <w:bookmarkStart w:id="40" w:name="_Toc32603"/>
      <w:bookmarkStart w:id="41" w:name="_Toc4766"/>
      <w:bookmarkStart w:id="42" w:name="_Toc244263708"/>
      <w:r>
        <w:rPr>
          <w:rFonts w:hint="eastAsia" w:ascii="黑体" w:hAnsi="黑体" w:eastAsia="黑体" w:cs="黑体"/>
          <w:color w:val="auto"/>
          <w:sz w:val="32"/>
          <w:szCs w:val="32"/>
        </w:rPr>
        <w:t>引</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言</w:t>
      </w:r>
      <w:bookmarkEnd w:id="37"/>
      <w:bookmarkEnd w:id="38"/>
      <w:bookmarkEnd w:id="39"/>
      <w:bookmarkEnd w:id="40"/>
      <w:bookmarkEnd w:id="41"/>
      <w:bookmarkEnd w:id="42"/>
    </w:p>
    <w:p w14:paraId="313ED341">
      <w:pPr>
        <w:widowControl/>
        <w:adjustRightInd/>
        <w:spacing w:before="100" w:beforeAutospacing="1" w:after="100" w:afterAutospacing="1" w:line="276"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 xml:space="preserve">在《中医药标准化行动计划（2024-2026年）》的具体内容中，需明确强化中医临床诊疗指南、技术操作规范、数字化中医医疗服务标准、中医证候诊断标准、中医疗效评价标准等重点领域的技术方法研究与关键技术攻关，推动数字技术在诊疗规则读取、传输、应用全流程的落地应用。 </w:t>
      </w:r>
    </w:p>
    <w:p w14:paraId="523B4439">
      <w:pPr>
        <w:widowControl/>
        <w:adjustRightInd/>
        <w:spacing w:before="100" w:beforeAutospacing="1" w:after="100" w:afterAutospacing="1" w:line="276" w:lineRule="auto"/>
        <w:ind w:firstLine="420"/>
        <w:rPr>
          <w:rFonts w:hint="eastAsia" w:ascii="宋体" w:hAnsi="宋体" w:eastAsia="宋体" w:cs="宋体"/>
          <w:color w:val="auto"/>
          <w:sz w:val="21"/>
          <w:szCs w:val="21"/>
        </w:rPr>
      </w:pPr>
    </w:p>
    <w:p w14:paraId="2EA08BD5">
      <w:pPr>
        <w:widowControl/>
        <w:adjustRightInd/>
        <w:spacing w:before="100" w:beforeAutospacing="1" w:after="100" w:afterAutospacing="1" w:line="276"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rPr>
        <w:br w:type="page"/>
      </w:r>
    </w:p>
    <w:bookmarkEnd w:id="21"/>
    <w:bookmarkEnd w:id="22"/>
    <w:bookmarkEnd w:id="23"/>
    <w:bookmarkEnd w:id="24"/>
    <w:bookmarkEnd w:id="25"/>
    <w:bookmarkEnd w:id="26"/>
    <w:bookmarkEnd w:id="27"/>
    <w:bookmarkEnd w:id="28"/>
    <w:bookmarkEnd w:id="29"/>
    <w:p w14:paraId="38A1A032">
      <w:pPr>
        <w:spacing w:line="20" w:lineRule="exact"/>
        <w:jc w:val="center"/>
        <w:rPr>
          <w:rFonts w:hint="eastAsia" w:ascii="宋体" w:hAnsi="宋体" w:eastAsia="宋体" w:cs="宋体"/>
          <w:color w:val="auto"/>
          <w:sz w:val="21"/>
          <w:szCs w:val="21"/>
        </w:rPr>
      </w:pPr>
    </w:p>
    <w:p w14:paraId="26F28FF1">
      <w:pPr>
        <w:spacing w:line="20" w:lineRule="exact"/>
        <w:jc w:val="center"/>
        <w:rPr>
          <w:rFonts w:hint="eastAsia" w:ascii="宋体" w:hAnsi="宋体" w:eastAsia="宋体" w:cs="宋体"/>
          <w:color w:val="auto"/>
          <w:sz w:val="21"/>
          <w:szCs w:val="21"/>
        </w:rPr>
      </w:pPr>
    </w:p>
    <w:sdt>
      <w:sdtPr>
        <w:rPr>
          <w:rFonts w:hint="eastAsia" w:ascii="宋体" w:hAnsi="宋体" w:eastAsia="宋体" w:cs="宋体"/>
          <w:color w:val="auto"/>
          <w:sz w:val="21"/>
          <w:szCs w:val="21"/>
        </w:rPr>
        <w:tag w:val="NEW_STAND_NAME"/>
        <w:id w:val="595910757"/>
        <w:lock w:val="sdtLocked"/>
        <w:placeholder>
          <w:docPart w:val="CAA7C13420C64203899D76944C5E38FF"/>
        </w:placeholder>
      </w:sdtPr>
      <w:sdtEndPr>
        <w:rPr>
          <w:rFonts w:hint="eastAsia" w:ascii="黑体" w:hAnsi="黑体" w:eastAsia="黑体" w:cs="黑体"/>
          <w:color w:val="auto"/>
          <w:sz w:val="32"/>
          <w:szCs w:val="32"/>
        </w:rPr>
      </w:sdtEndPr>
      <w:sdtContent>
        <w:sdt>
          <w:sdtPr>
            <w:rPr>
              <w:rFonts w:hint="eastAsia" w:ascii="宋体" w:hAnsi="宋体" w:eastAsia="宋体" w:cs="宋体"/>
              <w:color w:val="auto"/>
              <w:sz w:val="21"/>
              <w:szCs w:val="21"/>
            </w:rPr>
            <w:tag w:val="NEW_STAND_NAME"/>
            <w:id w:val="1305041698"/>
            <w:placeholder>
              <w:docPart w:val="D19DE4F597584CC08FBD38CCB0D03730"/>
            </w:placeholder>
          </w:sdtPr>
          <w:sdtEndPr>
            <w:rPr>
              <w:rFonts w:hint="eastAsia" w:ascii="黑体" w:hAnsi="黑体" w:eastAsia="黑体" w:cs="黑体"/>
              <w:color w:val="auto"/>
              <w:sz w:val="32"/>
              <w:szCs w:val="32"/>
            </w:rPr>
          </w:sdtEndPr>
          <w:sdtContent>
            <w:p w14:paraId="102C6F72">
              <w:pPr>
                <w:keepNext/>
                <w:keepLines/>
                <w:adjustRightInd/>
                <w:spacing w:before="240" w:line="240" w:lineRule="auto"/>
                <w:jc w:val="center"/>
                <w:outlineLvl w:val="0"/>
                <w:rPr>
                  <w:rFonts w:hint="eastAsia" w:ascii="黑体" w:hAnsi="黑体" w:eastAsia="黑体" w:cs="黑体"/>
                  <w:color w:val="auto"/>
                  <w:sz w:val="32"/>
                  <w:szCs w:val="32"/>
                </w:rPr>
              </w:pPr>
              <w:bookmarkStart w:id="43" w:name="_Toc244263709"/>
              <w:bookmarkStart w:id="44" w:name="NEW_STAND_NAME"/>
              <w:r>
                <w:rPr>
                  <w:rFonts w:hint="eastAsia" w:ascii="黑体" w:hAnsi="黑体" w:eastAsia="黑体" w:cs="黑体"/>
                  <w:color w:val="auto"/>
                  <w:sz w:val="32"/>
                  <w:szCs w:val="32"/>
                </w:rPr>
                <w:t>中医经络健康辨识技术规范</w:t>
              </w:r>
              <w:bookmarkEnd w:id="43"/>
            </w:p>
            <w:p w14:paraId="5E3AA84F">
              <w:pPr>
                <w:keepNext/>
                <w:keepLines/>
                <w:adjustRightInd/>
                <w:spacing w:before="40" w:line="240" w:lineRule="auto"/>
                <w:outlineLvl w:val="1"/>
                <w:rPr>
                  <w:rFonts w:hint="eastAsia" w:ascii="黑体" w:hAnsi="黑体" w:eastAsia="黑体" w:cs="黑体"/>
                  <w:color w:val="auto"/>
                  <w:sz w:val="32"/>
                  <w:szCs w:val="32"/>
                </w:rPr>
              </w:pPr>
            </w:p>
          </w:sdtContent>
        </w:sdt>
      </w:sdtContent>
    </w:sdt>
    <w:bookmarkEnd w:id="44"/>
    <w:p w14:paraId="122B8D7E">
      <w:pPr>
        <w:pStyle w:val="104"/>
        <w:numPr>
          <w:numId w:val="0"/>
        </w:numPr>
        <w:spacing w:before="312" w:after="312"/>
        <w:ind w:leftChars="0"/>
        <w:rPr>
          <w:rFonts w:hint="eastAsia" w:hAnsi="Times New Roman" w:cs="Times New Roman"/>
        </w:rPr>
      </w:pPr>
      <w:bookmarkStart w:id="45" w:name="_Toc13618"/>
      <w:bookmarkStart w:id="46" w:name="_Toc32457"/>
      <w:bookmarkStart w:id="47" w:name="_Toc214557072"/>
      <w:bookmarkStart w:id="48" w:name="_Toc4562"/>
      <w:bookmarkStart w:id="49" w:name="_Toc244263710"/>
      <w:bookmarkStart w:id="50" w:name="_Toc10273"/>
      <w:r>
        <w:rPr>
          <w:rFonts w:hint="eastAsia" w:hAnsi="Times New Roman" w:cs="Times New Roman"/>
          <w:lang w:val="en-US" w:eastAsia="zh-CN"/>
        </w:rPr>
        <w:t>1</w:t>
      </w:r>
      <w:r>
        <w:rPr>
          <w:rFonts w:hint="eastAsia" w:hAnsi="Times New Roman" w:cs="Times New Roman"/>
        </w:rPr>
        <w:t>范围</w:t>
      </w:r>
      <w:bookmarkEnd w:id="45"/>
      <w:bookmarkEnd w:id="46"/>
      <w:bookmarkEnd w:id="47"/>
      <w:bookmarkEnd w:id="48"/>
      <w:bookmarkEnd w:id="49"/>
      <w:bookmarkEnd w:id="50"/>
    </w:p>
    <w:p w14:paraId="2BDFC4A9">
      <w:pPr>
        <w:adjustRightInd/>
        <w:spacing w:line="276"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本规范规定了中医经络健康辨识的术语和定义、辨识仪器要求、检测前准备、检测操作流程等内容，为中医经络健康辨识工作提供统一技术依据。</w:t>
      </w:r>
    </w:p>
    <w:p w14:paraId="42884F7A">
      <w:pPr>
        <w:adjustRightInd/>
        <w:spacing w:line="276"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本文件适用于通过</w:t>
      </w:r>
      <w:bookmarkStart w:id="51" w:name="OLE_LINK8"/>
      <w:bookmarkStart w:id="52" w:name="OLE_LINK9"/>
      <w:r>
        <w:rPr>
          <w:rFonts w:hint="eastAsia" w:ascii="宋体" w:hAnsi="宋体" w:eastAsia="宋体" w:cs="宋体"/>
          <w:color w:val="auto"/>
          <w:sz w:val="21"/>
          <w:szCs w:val="21"/>
        </w:rPr>
        <w:t>中医经络健康检测仪</w:t>
      </w:r>
      <w:bookmarkEnd w:id="51"/>
      <w:bookmarkEnd w:id="52"/>
      <w:r>
        <w:rPr>
          <w:rFonts w:hint="eastAsia" w:ascii="宋体" w:hAnsi="宋体" w:eastAsia="宋体" w:cs="宋体"/>
          <w:color w:val="auto"/>
          <w:sz w:val="21"/>
          <w:szCs w:val="21"/>
        </w:rPr>
        <w:t>开展健康管理、保健服务等中医经络健康状态的辨识。</w:t>
      </w:r>
    </w:p>
    <w:p w14:paraId="025DCB1F">
      <w:pPr>
        <w:pStyle w:val="104"/>
        <w:numPr>
          <w:numId w:val="0"/>
        </w:numPr>
        <w:spacing w:before="312" w:after="312"/>
        <w:ind w:leftChars="0"/>
        <w:rPr>
          <w:rFonts w:hint="eastAsia" w:hAnsi="Times New Roman" w:cs="Times New Roman"/>
        </w:rPr>
      </w:pPr>
      <w:bookmarkStart w:id="53" w:name="_Toc27291"/>
      <w:bookmarkStart w:id="54" w:name="_Toc802"/>
      <w:bookmarkStart w:id="55" w:name="_Toc214557073"/>
      <w:bookmarkStart w:id="56" w:name="_Toc26556"/>
      <w:bookmarkStart w:id="57" w:name="_Toc5456"/>
      <w:bookmarkStart w:id="58" w:name="_Toc244263711"/>
      <w:r>
        <w:rPr>
          <w:rFonts w:hint="eastAsia" w:hAnsi="Times New Roman" w:cs="Times New Roman"/>
        </w:rPr>
        <w:t>2规范性引用文件</w:t>
      </w:r>
      <w:bookmarkEnd w:id="53"/>
      <w:bookmarkEnd w:id="54"/>
      <w:bookmarkEnd w:id="55"/>
      <w:bookmarkEnd w:id="56"/>
      <w:bookmarkEnd w:id="57"/>
      <w:bookmarkEnd w:id="58"/>
    </w:p>
    <w:p w14:paraId="634628E5">
      <w:pPr>
        <w:adjustRightInd/>
        <w:spacing w:line="276"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下列文件对于本文件的应用是必不可少的。凡是注日期的引用文件，仅注日期的版本适用于本文件。凡是不注日期的引用文件，其最新版本（包括所有的修改单）适用于本文件。</w:t>
      </w:r>
    </w:p>
    <w:p w14:paraId="159BC1B9">
      <w:pPr>
        <w:widowControl/>
        <w:autoSpaceDE w:val="0"/>
        <w:autoSpaceDN w:val="0"/>
        <w:adjustRightInd/>
        <w:spacing w:line="276"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GB/T 30232-2013 针灸学通用术语</w:t>
      </w:r>
    </w:p>
    <w:p w14:paraId="1363893C">
      <w:pPr>
        <w:widowControl/>
        <w:autoSpaceDE w:val="0"/>
        <w:autoSpaceDN w:val="0"/>
        <w:adjustRightInd/>
        <w:spacing w:line="276"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GB/T 16751.2-1997 中医临床诊疗术语</w:t>
      </w:r>
    </w:p>
    <w:p w14:paraId="6C949105">
      <w:pPr>
        <w:widowControl/>
        <w:autoSpaceDE w:val="0"/>
        <w:autoSpaceDN w:val="0"/>
        <w:adjustRightInd/>
        <w:spacing w:line="24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GB/T 12346  经穴名称与定位</w:t>
      </w:r>
    </w:p>
    <w:p w14:paraId="1A8C5EEF">
      <w:pPr>
        <w:widowControl/>
        <w:autoSpaceDE w:val="0"/>
        <w:autoSpaceDN w:val="0"/>
        <w:adjustRightInd/>
        <w:spacing w:line="276"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GB/T 6587 电子测量仪器通用规范</w:t>
      </w:r>
    </w:p>
    <w:p w14:paraId="1622C2E1">
      <w:pPr>
        <w:widowControl/>
        <w:autoSpaceDE w:val="0"/>
        <w:autoSpaceDN w:val="0"/>
        <w:adjustRightInd/>
        <w:spacing w:line="276"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GB/T 16751.2-2021 中医临床诊疗术语 第2部分  证候</w:t>
      </w:r>
    </w:p>
    <w:p w14:paraId="4E9AF33A">
      <w:pPr>
        <w:widowControl/>
        <w:autoSpaceDE w:val="0"/>
        <w:autoSpaceDN w:val="0"/>
        <w:adjustRightInd/>
        <w:spacing w:line="276"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GB 9706.1 医用电气设备 第1部分：安全通用要求</w:t>
      </w:r>
    </w:p>
    <w:p w14:paraId="2971C878">
      <w:pPr>
        <w:widowControl/>
        <w:autoSpaceDE w:val="0"/>
        <w:autoSpaceDN w:val="0"/>
        <w:adjustRightInd/>
        <w:spacing w:line="276"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GB/T 14710—2009 医用电器环境要求及试验方法</w:t>
      </w:r>
    </w:p>
    <w:p w14:paraId="0D24799D">
      <w:pPr>
        <w:widowControl/>
        <w:autoSpaceDE w:val="0"/>
        <w:autoSpaceDN w:val="0"/>
        <w:adjustRightInd/>
        <w:spacing w:line="276"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GB/T 16886.1—2011医疗器械生物学评价 第1部分：风险管理过程中的评价与试验</w:t>
      </w:r>
    </w:p>
    <w:p w14:paraId="4B5A4397">
      <w:pPr>
        <w:widowControl/>
        <w:autoSpaceDE w:val="0"/>
        <w:autoSpaceDN w:val="0"/>
        <w:adjustRightInd/>
        <w:spacing w:line="276"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YY 0505 医用电气设备第1-2部分：安全通用要求并列标准：电磁兼容要求和试验</w:t>
      </w:r>
    </w:p>
    <w:p w14:paraId="60DFE39A">
      <w:pPr>
        <w:widowControl/>
        <w:autoSpaceDE w:val="0"/>
        <w:autoSpaceDN w:val="0"/>
        <w:adjustRightInd/>
        <w:spacing w:line="276"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YY 0607 医用电气设备 第2部分：神经和肌肉刺激器安全专用要求</w:t>
      </w:r>
    </w:p>
    <w:p w14:paraId="082B6C6E">
      <w:pPr>
        <w:widowControl/>
        <w:autoSpaceDE w:val="0"/>
        <w:autoSpaceDN w:val="0"/>
        <w:adjustRightInd/>
        <w:spacing w:line="276" w:lineRule="auto"/>
        <w:ind w:firstLine="42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T/CRACM0004-2025 中医经络健康检测仪</w:t>
      </w:r>
    </w:p>
    <w:p w14:paraId="04EB7781">
      <w:pPr>
        <w:pStyle w:val="104"/>
        <w:numPr>
          <w:ilvl w:val="1"/>
          <w:numId w:val="0"/>
        </w:numPr>
        <w:spacing w:before="312" w:after="312"/>
        <w:ind w:leftChars="0"/>
        <w:rPr>
          <w:rFonts w:hint="eastAsia" w:hAnsi="Times New Roman" w:cs="Times New Roman"/>
        </w:rPr>
      </w:pPr>
      <w:bookmarkStart w:id="59" w:name="_Toc14797"/>
      <w:bookmarkStart w:id="60" w:name="_Toc30194"/>
      <w:bookmarkStart w:id="61" w:name="_Toc5800"/>
      <w:bookmarkStart w:id="62" w:name="_Toc244263712"/>
      <w:bookmarkStart w:id="63" w:name="_Toc11115"/>
      <w:bookmarkStart w:id="64" w:name="_Toc214557074"/>
      <w:r>
        <w:rPr>
          <w:rFonts w:hint="eastAsia" w:hAnsi="Times New Roman" w:cs="Times New Roman"/>
        </w:rPr>
        <w:t>3 术语和定义</w:t>
      </w:r>
      <w:bookmarkEnd w:id="59"/>
      <w:bookmarkEnd w:id="60"/>
      <w:bookmarkEnd w:id="61"/>
      <w:bookmarkEnd w:id="62"/>
      <w:bookmarkEnd w:id="63"/>
      <w:bookmarkEnd w:id="64"/>
    </w:p>
    <w:p w14:paraId="58544489">
      <w:pPr>
        <w:numPr>
          <w:ilvl w:val="255"/>
          <w:numId w:val="0"/>
        </w:numPr>
        <w:adjustRightInd/>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GB/T 30232-2013和GB/T 16751.2-2021 相关术语和定义适用于本文件。</w:t>
      </w:r>
    </w:p>
    <w:p w14:paraId="33D63036">
      <w:pPr>
        <w:pStyle w:val="104"/>
        <w:numPr>
          <w:ilvl w:val="1"/>
          <w:numId w:val="0"/>
        </w:numPr>
        <w:spacing w:before="312" w:after="312"/>
        <w:ind w:leftChars="0"/>
        <w:rPr>
          <w:rFonts w:hint="eastAsia" w:hAnsi="Times New Roman" w:cs="Times New Roman"/>
        </w:rPr>
      </w:pPr>
      <w:bookmarkStart w:id="65" w:name="_Toc214557075"/>
      <w:bookmarkStart w:id="66" w:name="_Toc9770"/>
      <w:bookmarkStart w:id="67" w:name="_Toc11203"/>
      <w:bookmarkStart w:id="68" w:name="_Toc2138"/>
      <w:bookmarkStart w:id="69" w:name="_Toc9001"/>
      <w:bookmarkStart w:id="70" w:name="_Toc244263713"/>
      <w:r>
        <w:rPr>
          <w:rFonts w:hint="eastAsia" w:hAnsi="Times New Roman" w:cs="Times New Roman"/>
        </w:rPr>
        <w:t>3.1经络</w:t>
      </w:r>
      <w:bookmarkEnd w:id="65"/>
      <w:bookmarkEnd w:id="66"/>
      <w:bookmarkEnd w:id="67"/>
      <w:bookmarkEnd w:id="68"/>
      <w:bookmarkEnd w:id="69"/>
      <w:bookmarkEnd w:id="70"/>
    </w:p>
    <w:p w14:paraId="3B04456F">
      <w:pPr>
        <w:adjustRightInd/>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经脉和络脉的总称，是人体运行气血、联络脏腑、沟通内外、贯穿上下的通路。</w:t>
      </w:r>
      <w:bookmarkStart w:id="71" w:name="_Toc20942"/>
      <w:bookmarkStart w:id="72" w:name="_Toc18072"/>
      <w:bookmarkStart w:id="73" w:name="_Toc13202"/>
      <w:bookmarkStart w:id="74" w:name="_Toc214557076"/>
      <w:bookmarkStart w:id="75" w:name="_Toc24567"/>
    </w:p>
    <w:p w14:paraId="2DE8878C">
      <w:pPr>
        <w:pStyle w:val="104"/>
        <w:numPr>
          <w:ilvl w:val="1"/>
          <w:numId w:val="0"/>
        </w:numPr>
        <w:spacing w:before="312" w:after="312"/>
        <w:ind w:leftChars="0"/>
        <w:rPr>
          <w:rFonts w:hint="eastAsia" w:hAnsi="Times New Roman" w:cs="Times New Roman"/>
        </w:rPr>
      </w:pPr>
      <w:bookmarkStart w:id="76" w:name="_Toc244263714"/>
      <w:r>
        <w:rPr>
          <w:rFonts w:hint="eastAsia" w:hAnsi="Times New Roman" w:cs="Times New Roman"/>
        </w:rPr>
        <w:t>3.2原穴</w:t>
      </w:r>
      <w:bookmarkEnd w:id="71"/>
      <w:bookmarkEnd w:id="72"/>
      <w:bookmarkEnd w:id="73"/>
      <w:bookmarkEnd w:id="74"/>
      <w:bookmarkEnd w:id="75"/>
      <w:bookmarkEnd w:id="76"/>
      <w:r>
        <w:rPr>
          <w:rFonts w:hint="eastAsia" w:hAnsi="Times New Roman" w:cs="Times New Roman"/>
        </w:rPr>
        <w:t xml:space="preserve">   </w:t>
      </w:r>
    </w:p>
    <w:p w14:paraId="4CA4BFA1">
      <w:pPr>
        <w:adjustRightInd/>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位于四肢肘膝关节以下、为脏腑原气经过和留止之处的特定穴。 </w:t>
      </w:r>
    </w:p>
    <w:p w14:paraId="67585F0C">
      <w:pPr>
        <w:adjustRightInd/>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注 1：十二经脉在腕、踝关节附近各有一个原穴，合为十二原穴。 </w:t>
      </w:r>
    </w:p>
    <w:p w14:paraId="44434E37">
      <w:pPr>
        <w:adjustRightInd/>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注 2：原穴在临床上，能治疗各自所属脏、腑病变，也能根据原穴的反应变化，推测脏腑功能的盛衰。</w:t>
      </w:r>
      <w:bookmarkStart w:id="77" w:name="_Toc214557077"/>
      <w:bookmarkStart w:id="78" w:name="_Toc30754"/>
      <w:bookmarkStart w:id="79" w:name="_Toc26064"/>
      <w:bookmarkStart w:id="80" w:name="_Toc25675"/>
      <w:bookmarkStart w:id="81" w:name="_Toc20388"/>
    </w:p>
    <w:p w14:paraId="651C5B4F">
      <w:pPr>
        <w:pStyle w:val="104"/>
        <w:numPr>
          <w:ilvl w:val="1"/>
          <w:numId w:val="0"/>
        </w:numPr>
        <w:spacing w:before="312" w:after="312"/>
        <w:ind w:leftChars="0"/>
        <w:rPr>
          <w:rFonts w:hint="eastAsia" w:hAnsi="Times New Roman" w:cs="Times New Roman"/>
        </w:rPr>
      </w:pPr>
      <w:bookmarkStart w:id="82" w:name="_Toc244263715"/>
      <w:r>
        <w:rPr>
          <w:rFonts w:hint="eastAsia" w:hAnsi="Times New Roman" w:cs="Times New Roman"/>
        </w:rPr>
        <w:t>3.3虚证</w:t>
      </w:r>
      <w:bookmarkEnd w:id="82"/>
    </w:p>
    <w:p w14:paraId="0BE7E2E8">
      <w:pPr>
        <w:adjustRightInd/>
        <w:spacing w:line="240" w:lineRule="auto"/>
        <w:ind w:firstLine="420" w:firstLineChars="200"/>
        <w:rPr>
          <w:rFonts w:hint="eastAsia" w:ascii="宋体" w:hAnsi="宋体" w:eastAsia="宋体" w:cs="宋体"/>
          <w:color w:val="auto"/>
          <w:sz w:val="21"/>
          <w:szCs w:val="21"/>
        </w:rPr>
      </w:pPr>
      <w:bookmarkStart w:id="83" w:name="_Toc27510"/>
      <w:r>
        <w:rPr>
          <w:rFonts w:hint="eastAsia" w:ascii="宋体" w:hAnsi="宋体" w:eastAsia="宋体" w:cs="宋体"/>
          <w:color w:val="auto"/>
          <w:sz w:val="21"/>
          <w:szCs w:val="21"/>
        </w:rPr>
        <w:t>与实证相对，泛指因正气不足，人体气血津精阴阳虚损而引起气血、阴阳、脏腑、经络功能衰退等相应征象为特征的一类证候。</w:t>
      </w:r>
      <w:bookmarkEnd w:id="83"/>
    </w:p>
    <w:p w14:paraId="59F8A5C3">
      <w:pPr>
        <w:pStyle w:val="104"/>
        <w:numPr>
          <w:ilvl w:val="1"/>
          <w:numId w:val="0"/>
        </w:numPr>
        <w:spacing w:before="312" w:after="312"/>
        <w:ind w:leftChars="0"/>
        <w:rPr>
          <w:rFonts w:hint="eastAsia" w:hAnsi="Times New Roman" w:cs="Times New Roman"/>
        </w:rPr>
      </w:pPr>
      <w:bookmarkStart w:id="84" w:name="_Toc244263716"/>
      <w:r>
        <w:rPr>
          <w:rFonts w:hint="eastAsia" w:hAnsi="Times New Roman" w:cs="Times New Roman"/>
        </w:rPr>
        <w:t>3.4实证</w:t>
      </w:r>
      <w:bookmarkEnd w:id="84"/>
    </w:p>
    <w:p w14:paraId="32FC0E9F">
      <w:pPr>
        <w:adjustRightInd/>
        <w:spacing w:line="240" w:lineRule="auto"/>
        <w:ind w:firstLine="420" w:firstLineChars="200"/>
        <w:rPr>
          <w:rFonts w:hint="eastAsia" w:ascii="宋体" w:hAnsi="宋体" w:eastAsia="宋体" w:cs="宋体"/>
          <w:color w:val="auto"/>
          <w:sz w:val="21"/>
          <w:szCs w:val="21"/>
        </w:rPr>
      </w:pPr>
      <w:bookmarkStart w:id="85" w:name="_Toc17987"/>
      <w:r>
        <w:rPr>
          <w:rFonts w:hint="eastAsia" w:ascii="宋体" w:hAnsi="宋体" w:eastAsia="宋体" w:cs="宋体"/>
          <w:color w:val="auto"/>
          <w:sz w:val="21"/>
          <w:szCs w:val="21"/>
        </w:rPr>
        <w:t>与虚证相对，泛指外邪侵袭人体，或因情志、食积、痰饮、水湿、瘀血等引起气血、阴阳、脏腑、经络功能亢进，邪气壅滞或炽盛等相应征象为特征的一类证候。</w:t>
      </w:r>
      <w:bookmarkEnd w:id="85"/>
    </w:p>
    <w:p w14:paraId="0AC9A901">
      <w:pPr>
        <w:pStyle w:val="104"/>
        <w:numPr>
          <w:ilvl w:val="1"/>
          <w:numId w:val="0"/>
        </w:numPr>
        <w:spacing w:before="312" w:after="312"/>
        <w:ind w:leftChars="0"/>
        <w:rPr>
          <w:rFonts w:hint="eastAsia" w:hAnsi="Times New Roman" w:cs="Times New Roman"/>
        </w:rPr>
      </w:pPr>
      <w:bookmarkStart w:id="86" w:name="_Toc244263717"/>
      <w:r>
        <w:rPr>
          <w:rFonts w:hint="eastAsia" w:hAnsi="Times New Roman" w:cs="Times New Roman"/>
        </w:rPr>
        <w:t>3.5寒证</w:t>
      </w:r>
      <w:bookmarkEnd w:id="86"/>
    </w:p>
    <w:p w14:paraId="75654A86">
      <w:pPr>
        <w:adjustRightInd/>
        <w:spacing w:line="240" w:lineRule="auto"/>
        <w:ind w:firstLine="420" w:firstLineChars="200"/>
        <w:rPr>
          <w:rFonts w:hint="eastAsia" w:ascii="宋体" w:hAnsi="宋体" w:eastAsia="宋体" w:cs="宋体"/>
          <w:color w:val="auto"/>
          <w:sz w:val="21"/>
          <w:szCs w:val="21"/>
        </w:rPr>
      </w:pPr>
      <w:bookmarkStart w:id="87" w:name="_Toc17843"/>
      <w:r>
        <w:rPr>
          <w:rFonts w:hint="eastAsia" w:ascii="宋体" w:hAnsi="宋体" w:eastAsia="宋体" w:cs="宋体"/>
          <w:color w:val="auto"/>
          <w:sz w:val="21"/>
          <w:szCs w:val="21"/>
        </w:rPr>
        <w:t>与热证相对，泛指外感寒邪，或因阳气不足，阴气过盛等而引起寒凝肌表、经络、骨节，或脏腑虚寒、寒实等相应征象为特征的一类证候。</w:t>
      </w:r>
      <w:bookmarkEnd w:id="87"/>
    </w:p>
    <w:p w14:paraId="49E8FB9A">
      <w:pPr>
        <w:pStyle w:val="104"/>
        <w:numPr>
          <w:ilvl w:val="1"/>
          <w:numId w:val="0"/>
        </w:numPr>
        <w:spacing w:before="312" w:after="312"/>
        <w:ind w:leftChars="0"/>
        <w:rPr>
          <w:rFonts w:hint="eastAsia" w:hAnsi="Times New Roman" w:cs="Times New Roman"/>
        </w:rPr>
      </w:pPr>
      <w:bookmarkStart w:id="88" w:name="_Toc244263718"/>
      <w:r>
        <w:rPr>
          <w:rFonts w:hint="eastAsia" w:hAnsi="Times New Roman" w:cs="Times New Roman"/>
        </w:rPr>
        <w:t>3.6热证</w:t>
      </w:r>
      <w:bookmarkEnd w:id="88"/>
    </w:p>
    <w:p w14:paraId="0A0925C8">
      <w:pPr>
        <w:adjustRightInd/>
        <w:spacing w:line="240" w:lineRule="auto"/>
        <w:ind w:firstLine="420" w:firstLineChars="200"/>
        <w:rPr>
          <w:rFonts w:hint="eastAsia" w:ascii="宋体" w:hAnsi="宋体" w:eastAsia="宋体" w:cs="宋体"/>
          <w:color w:val="auto"/>
          <w:sz w:val="21"/>
          <w:szCs w:val="21"/>
        </w:rPr>
      </w:pPr>
      <w:bookmarkStart w:id="89" w:name="_Toc31072"/>
      <w:r>
        <w:rPr>
          <w:rFonts w:hint="eastAsia" w:ascii="宋体" w:hAnsi="宋体" w:eastAsia="宋体" w:cs="宋体"/>
          <w:color w:val="auto"/>
          <w:sz w:val="21"/>
          <w:szCs w:val="21"/>
        </w:rPr>
        <w:t>与寒证相对，泛指外感热邪，或诸邪入里化热，或因阴虚阳亢等而引起邪热袭表、经气痹阻，或邪入脏腑经络，阳气亢盛、阴津亏损等相应征象为特征的一类证候。</w:t>
      </w:r>
      <w:bookmarkEnd w:id="89"/>
    </w:p>
    <w:bookmarkEnd w:id="77"/>
    <w:bookmarkEnd w:id="78"/>
    <w:bookmarkEnd w:id="79"/>
    <w:bookmarkEnd w:id="80"/>
    <w:bookmarkEnd w:id="81"/>
    <w:p w14:paraId="1BFB0D2D">
      <w:pPr>
        <w:pStyle w:val="104"/>
        <w:numPr>
          <w:ilvl w:val="1"/>
          <w:numId w:val="0"/>
        </w:numPr>
        <w:spacing w:before="312" w:after="312"/>
        <w:ind w:leftChars="0"/>
        <w:rPr>
          <w:rFonts w:hint="eastAsia" w:hAnsi="Times New Roman" w:cs="Times New Roman"/>
        </w:rPr>
      </w:pPr>
      <w:bookmarkStart w:id="90" w:name="_Toc244263719"/>
      <w:r>
        <w:rPr>
          <w:rFonts w:hint="eastAsia" w:hAnsi="Times New Roman" w:cs="Times New Roman"/>
          <w:lang w:val="en-US" w:eastAsia="zh-CN"/>
        </w:rPr>
        <w:t>3.7 错杂</w:t>
      </w:r>
      <w:bookmarkEnd w:id="90"/>
      <w:r>
        <w:rPr>
          <w:rFonts w:hint="eastAsia" w:hAnsi="Times New Roman" w:cs="Times New Roman"/>
          <w:lang w:val="en-US" w:eastAsia="zh-CN"/>
        </w:rPr>
        <w:t xml:space="preserve"> </w:t>
      </w:r>
      <w:r>
        <w:rPr>
          <w:rFonts w:hint="eastAsia" w:hAnsi="Times New Roman" w:cs="Times New Roman"/>
        </w:rPr>
        <w:t xml:space="preserve">  </w:t>
      </w:r>
    </w:p>
    <w:p w14:paraId="09352E93">
      <w:pPr>
        <w:adjustRightInd/>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检测仪器法检测身体左右两侧原穴的检测指标</w:t>
      </w:r>
      <w:bookmarkStart w:id="91" w:name="OLE_LINK12"/>
      <w:r>
        <w:rPr>
          <w:rFonts w:hint="eastAsia" w:ascii="宋体" w:hAnsi="宋体" w:eastAsia="宋体" w:cs="宋体"/>
          <w:color w:val="auto"/>
          <w:sz w:val="21"/>
          <w:szCs w:val="21"/>
        </w:rPr>
        <w:t>或传统中医望闻问切</w:t>
      </w:r>
      <w:bookmarkEnd w:id="91"/>
      <w:r>
        <w:rPr>
          <w:rFonts w:hint="eastAsia" w:ascii="宋体" w:hAnsi="宋体" w:eastAsia="宋体" w:cs="宋体"/>
          <w:color w:val="auto"/>
          <w:sz w:val="21"/>
          <w:szCs w:val="21"/>
        </w:rPr>
        <w:t>结果所反映的虚实或寒热属性相反时的健康状态，也称为反差。</w:t>
      </w:r>
    </w:p>
    <w:p w14:paraId="58486BDB">
      <w:pPr>
        <w:pStyle w:val="104"/>
        <w:numPr>
          <w:ilvl w:val="1"/>
          <w:numId w:val="0"/>
        </w:numPr>
        <w:spacing w:before="312" w:after="312"/>
        <w:ind w:leftChars="0"/>
        <w:rPr>
          <w:rFonts w:hint="eastAsia" w:hAnsi="Times New Roman" w:cs="Times New Roman"/>
          <w:lang w:val="en-US" w:eastAsia="zh-CN"/>
        </w:rPr>
      </w:pPr>
      <w:bookmarkStart w:id="92" w:name="_Toc244263720"/>
      <w:r>
        <w:rPr>
          <w:rFonts w:hint="eastAsia" w:hAnsi="Times New Roman" w:cs="Times New Roman"/>
          <w:lang w:val="en-US" w:eastAsia="zh-CN"/>
        </w:rPr>
        <w:t>3.8 偏颇</w:t>
      </w:r>
      <w:bookmarkEnd w:id="92"/>
      <w:r>
        <w:rPr>
          <w:rFonts w:hint="eastAsia" w:hAnsi="Times New Roman" w:cs="Times New Roman"/>
          <w:lang w:val="en-US" w:eastAsia="zh-CN"/>
        </w:rPr>
        <w:t xml:space="preserve">   </w:t>
      </w:r>
    </w:p>
    <w:p w14:paraId="6D5EA213">
      <w:pPr>
        <w:adjustRightInd/>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同一经络左右两侧原穴的检测指标或传统中医望闻问切结果所反映的虚实或寒热属性相同但存在较大差异时的健康状态，也称为失衡。</w:t>
      </w:r>
    </w:p>
    <w:p w14:paraId="627C93DC">
      <w:pPr>
        <w:pStyle w:val="104"/>
        <w:numPr>
          <w:ilvl w:val="1"/>
          <w:numId w:val="0"/>
        </w:numPr>
        <w:spacing w:before="312" w:after="312"/>
        <w:ind w:leftChars="0"/>
        <w:rPr>
          <w:rFonts w:hint="eastAsia" w:hAnsi="Times New Roman" w:cs="Times New Roman"/>
          <w:lang w:val="en-US" w:eastAsia="zh-CN"/>
        </w:rPr>
      </w:pPr>
      <w:bookmarkStart w:id="93" w:name="_Toc244263721"/>
      <w:r>
        <w:rPr>
          <w:rFonts w:hint="eastAsia" w:hAnsi="Times New Roman" w:cs="Times New Roman"/>
          <w:lang w:val="en-US" w:eastAsia="zh-CN"/>
        </w:rPr>
        <w:t>3.9经络健康辨识</w:t>
      </w:r>
      <w:bookmarkEnd w:id="93"/>
    </w:p>
    <w:p w14:paraId="60413A8F">
      <w:pPr>
        <w:adjustRightInd/>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通过对仪器所测量经络原穴伏安特性曲线数据进行分析的方法，对与之相应的人体脏腑虚实寒热、阴阳平衡等健康状态和发展趋势进行辨识的方法。</w:t>
      </w:r>
      <w:bookmarkStart w:id="94" w:name="_Toc214557088"/>
      <w:bookmarkStart w:id="95" w:name="_Toc23748"/>
      <w:bookmarkStart w:id="96" w:name="_Toc22110"/>
      <w:bookmarkStart w:id="97" w:name="_Toc18184"/>
      <w:bookmarkStart w:id="98" w:name="_Toc23683"/>
    </w:p>
    <w:p w14:paraId="41705F68">
      <w:pPr>
        <w:pStyle w:val="104"/>
        <w:numPr>
          <w:ilvl w:val="1"/>
          <w:numId w:val="0"/>
        </w:numPr>
        <w:spacing w:before="312" w:after="312"/>
        <w:ind w:leftChars="0"/>
        <w:rPr>
          <w:rFonts w:hint="eastAsia" w:hAnsi="Times New Roman" w:cs="Times New Roman"/>
        </w:rPr>
      </w:pPr>
      <w:bookmarkStart w:id="99" w:name="_Toc244263722"/>
      <w:r>
        <w:rPr>
          <w:rFonts w:hint="eastAsia" w:hAnsi="Times New Roman" w:cs="Times New Roman"/>
        </w:rPr>
        <w:t>4 辨识仪器要求</w:t>
      </w:r>
      <w:bookmarkEnd w:id="94"/>
      <w:bookmarkEnd w:id="95"/>
      <w:bookmarkEnd w:id="96"/>
      <w:bookmarkEnd w:id="97"/>
      <w:bookmarkEnd w:id="98"/>
      <w:bookmarkEnd w:id="99"/>
    </w:p>
    <w:p w14:paraId="0F09025C">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仪器应符合 T/CRACM 0004的相关要求。</w:t>
      </w:r>
    </w:p>
    <w:p w14:paraId="67AC3446">
      <w:pPr>
        <w:pStyle w:val="104"/>
        <w:numPr>
          <w:ilvl w:val="1"/>
          <w:numId w:val="0"/>
        </w:numPr>
        <w:spacing w:before="312" w:after="312"/>
        <w:ind w:leftChars="0"/>
        <w:rPr>
          <w:rFonts w:hint="eastAsia" w:hAnsi="Times New Roman" w:cs="Times New Roman"/>
        </w:rPr>
      </w:pPr>
      <w:bookmarkStart w:id="100" w:name="_Toc26065"/>
      <w:bookmarkStart w:id="101" w:name="_Toc9925"/>
      <w:bookmarkStart w:id="102" w:name="_Toc21953"/>
      <w:bookmarkStart w:id="103" w:name="_Toc19080"/>
      <w:bookmarkStart w:id="104" w:name="_Toc214557089"/>
      <w:bookmarkStart w:id="105" w:name="_Toc244263723"/>
      <w:r>
        <w:rPr>
          <w:rFonts w:hint="eastAsia" w:hAnsi="Times New Roman" w:cs="Times New Roman"/>
        </w:rPr>
        <w:t>5 检测前准备</w:t>
      </w:r>
      <w:bookmarkEnd w:id="100"/>
      <w:bookmarkEnd w:id="101"/>
      <w:bookmarkEnd w:id="102"/>
      <w:bookmarkEnd w:id="103"/>
      <w:bookmarkEnd w:id="104"/>
      <w:bookmarkEnd w:id="105"/>
    </w:p>
    <w:p w14:paraId="545E4BC1">
      <w:pPr>
        <w:pStyle w:val="104"/>
        <w:numPr>
          <w:ilvl w:val="1"/>
          <w:numId w:val="0"/>
        </w:numPr>
        <w:spacing w:before="312" w:after="312"/>
        <w:ind w:leftChars="0"/>
        <w:rPr>
          <w:rFonts w:hint="eastAsia" w:hAnsi="Times New Roman" w:cs="Times New Roman"/>
          <w:lang w:val="en-US" w:eastAsia="zh-CN"/>
        </w:rPr>
      </w:pPr>
      <w:bookmarkStart w:id="106" w:name="_Toc244263724"/>
      <w:r>
        <w:rPr>
          <w:rFonts w:hint="eastAsia" w:hAnsi="Times New Roman" w:cs="Times New Roman"/>
          <w:lang w:val="en-US" w:eastAsia="zh-CN"/>
        </w:rPr>
        <w:t>5.1 适用人群</w:t>
      </w:r>
      <w:bookmarkEnd w:id="106"/>
    </w:p>
    <w:p w14:paraId="408CFB49">
      <w:pPr>
        <w:adjustRightInd/>
        <w:spacing w:line="240" w:lineRule="auto"/>
        <w:ind w:firstLine="210" w:firstLineChars="1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检测适用于6岁及以上、无以下检测禁忌的人群：</w:t>
      </w:r>
    </w:p>
    <w:p w14:paraId="7B9106FE">
      <w:pPr>
        <w:adjustRightInd/>
        <w:spacing w:line="240" w:lineRule="auto"/>
        <w:ind w:firstLine="420"/>
        <w:rPr>
          <w:rFonts w:hint="eastAsia" w:ascii="宋体" w:hAnsi="宋体" w:eastAsia="宋体" w:cs="宋体"/>
          <w:color w:val="auto"/>
          <w:kern w:val="0"/>
          <w:sz w:val="21"/>
          <w:szCs w:val="21"/>
        </w:rPr>
      </w:pPr>
      <w:r>
        <w:rPr>
          <w:rFonts w:hint="eastAsia" w:ascii="黑体" w:hAnsi="黑体" w:eastAsia="黑体" w:cs="黑体"/>
          <w:color w:val="auto"/>
          <w:sz w:val="21"/>
          <w:szCs w:val="21"/>
        </w:rPr>
        <w:t>5.1.1</w:t>
      </w:r>
      <w:r>
        <w:rPr>
          <w:rFonts w:hint="eastAsia" w:ascii="宋体" w:hAnsi="宋体" w:eastAsia="宋体" w:cs="宋体"/>
          <w:color w:val="auto"/>
          <w:kern w:val="0"/>
          <w:sz w:val="21"/>
          <w:szCs w:val="21"/>
        </w:rPr>
        <w:t>佩戴心脏起搏器或植入金属装置者；</w:t>
      </w:r>
    </w:p>
    <w:p w14:paraId="05C6388F">
      <w:pPr>
        <w:adjustRightInd/>
        <w:spacing w:line="240" w:lineRule="auto"/>
        <w:ind w:firstLine="420"/>
        <w:rPr>
          <w:rFonts w:hint="eastAsia" w:ascii="宋体" w:hAnsi="宋体" w:eastAsia="宋体" w:cs="宋体"/>
          <w:color w:val="auto"/>
          <w:kern w:val="0"/>
          <w:sz w:val="21"/>
          <w:szCs w:val="21"/>
        </w:rPr>
      </w:pPr>
      <w:r>
        <w:rPr>
          <w:rFonts w:hint="eastAsia" w:ascii="黑体" w:hAnsi="黑体" w:eastAsia="黑体" w:cs="黑体"/>
          <w:color w:val="auto"/>
          <w:sz w:val="21"/>
          <w:szCs w:val="21"/>
        </w:rPr>
        <w:t>5.1.2</w:t>
      </w:r>
      <w:r>
        <w:rPr>
          <w:rFonts w:hint="eastAsia" w:ascii="宋体" w:hAnsi="宋体" w:eastAsia="宋体" w:cs="宋体"/>
          <w:color w:val="auto"/>
          <w:kern w:val="0"/>
          <w:sz w:val="21"/>
          <w:szCs w:val="21"/>
        </w:rPr>
        <w:t>严重肝、肾、心、肺衰竭者；</w:t>
      </w:r>
    </w:p>
    <w:p w14:paraId="20748A36">
      <w:pPr>
        <w:adjustRightInd/>
        <w:spacing w:line="240" w:lineRule="auto"/>
        <w:ind w:firstLine="420"/>
        <w:rPr>
          <w:rFonts w:hint="eastAsia" w:ascii="宋体" w:hAnsi="宋体" w:eastAsia="宋体" w:cs="宋体"/>
          <w:color w:val="auto"/>
          <w:kern w:val="0"/>
          <w:sz w:val="21"/>
          <w:szCs w:val="21"/>
        </w:rPr>
      </w:pPr>
      <w:r>
        <w:rPr>
          <w:rFonts w:hint="eastAsia" w:ascii="黑体" w:hAnsi="黑体" w:eastAsia="黑体" w:cs="黑体"/>
          <w:color w:val="auto"/>
          <w:sz w:val="21"/>
          <w:szCs w:val="21"/>
        </w:rPr>
        <w:t>5.1.3</w:t>
      </w:r>
      <w:r>
        <w:rPr>
          <w:rFonts w:hint="eastAsia" w:ascii="宋体" w:hAnsi="宋体" w:eastAsia="宋体" w:cs="宋体"/>
          <w:color w:val="auto"/>
          <w:kern w:val="0"/>
          <w:sz w:val="21"/>
          <w:szCs w:val="21"/>
        </w:rPr>
        <w:t>手、足皮肤病患及皮肤创伤者；</w:t>
      </w:r>
    </w:p>
    <w:p w14:paraId="31E6FF4D">
      <w:pPr>
        <w:adjustRightInd/>
        <w:spacing w:line="240" w:lineRule="auto"/>
        <w:ind w:firstLine="420"/>
        <w:rPr>
          <w:rFonts w:hint="eastAsia" w:ascii="宋体" w:hAnsi="宋体" w:eastAsia="宋体" w:cs="宋体"/>
          <w:color w:val="auto"/>
          <w:kern w:val="0"/>
          <w:sz w:val="21"/>
          <w:szCs w:val="21"/>
        </w:rPr>
      </w:pPr>
      <w:r>
        <w:rPr>
          <w:rFonts w:hint="eastAsia" w:ascii="黑体" w:hAnsi="黑体" w:eastAsia="黑体" w:cs="黑体"/>
          <w:color w:val="auto"/>
          <w:sz w:val="21"/>
          <w:szCs w:val="21"/>
        </w:rPr>
        <w:t>5.1.4</w:t>
      </w:r>
      <w:r>
        <w:rPr>
          <w:rFonts w:hint="eastAsia" w:ascii="宋体" w:hAnsi="宋体" w:eastAsia="宋体" w:cs="宋体"/>
          <w:color w:val="auto"/>
          <w:kern w:val="0"/>
          <w:sz w:val="21"/>
          <w:szCs w:val="21"/>
        </w:rPr>
        <w:t>精神障碍者、无自理能力者；</w:t>
      </w:r>
    </w:p>
    <w:p w14:paraId="05DD03F8">
      <w:pPr>
        <w:adjustRightInd/>
        <w:spacing w:line="240" w:lineRule="auto"/>
        <w:ind w:firstLine="420"/>
        <w:rPr>
          <w:rFonts w:hint="eastAsia" w:ascii="宋体" w:hAnsi="宋体" w:eastAsia="宋体" w:cs="宋体"/>
          <w:color w:val="auto"/>
          <w:kern w:val="0"/>
          <w:sz w:val="21"/>
          <w:szCs w:val="21"/>
        </w:rPr>
      </w:pPr>
      <w:r>
        <w:rPr>
          <w:rFonts w:hint="eastAsia" w:ascii="黑体" w:hAnsi="黑体" w:eastAsia="黑体" w:cs="黑体"/>
          <w:color w:val="auto"/>
          <w:sz w:val="21"/>
          <w:szCs w:val="21"/>
        </w:rPr>
        <w:t>5.1.5</w:t>
      </w:r>
      <w:r>
        <w:rPr>
          <w:rFonts w:hint="eastAsia" w:ascii="宋体" w:hAnsi="宋体" w:eastAsia="宋体" w:cs="宋体"/>
          <w:color w:val="auto"/>
          <w:kern w:val="0"/>
          <w:sz w:val="21"/>
          <w:szCs w:val="21"/>
        </w:rPr>
        <w:t>对检测仪过敏或对声、光、电、磁刺激有过敏史或不良反应者。</w:t>
      </w:r>
    </w:p>
    <w:p w14:paraId="0AEDF027">
      <w:pPr>
        <w:pStyle w:val="104"/>
        <w:numPr>
          <w:ilvl w:val="1"/>
          <w:numId w:val="0"/>
        </w:numPr>
        <w:spacing w:before="312" w:after="312"/>
        <w:ind w:leftChars="0"/>
        <w:rPr>
          <w:rFonts w:hint="eastAsia" w:hAnsi="Times New Roman" w:cs="Times New Roman"/>
          <w:lang w:val="en-US" w:eastAsia="zh-CN"/>
        </w:rPr>
      </w:pPr>
      <w:bookmarkStart w:id="107" w:name="_Toc244263725"/>
      <w:r>
        <w:rPr>
          <w:rFonts w:hint="eastAsia" w:hAnsi="Times New Roman" w:cs="Times New Roman"/>
          <w:lang w:val="en-US" w:eastAsia="zh-CN"/>
        </w:rPr>
        <w:t>5.2被检测者和检测人员要求</w:t>
      </w:r>
      <w:bookmarkEnd w:id="107"/>
    </w:p>
    <w:p w14:paraId="6522BE57">
      <w:pPr>
        <w:adjustRightInd/>
        <w:spacing w:line="276" w:lineRule="auto"/>
        <w:ind w:firstLine="360"/>
        <w:rPr>
          <w:rFonts w:hint="eastAsia" w:ascii="宋体" w:hAnsi="宋体" w:eastAsia="宋体" w:cs="宋体"/>
          <w:color w:val="auto"/>
          <w:sz w:val="21"/>
          <w:szCs w:val="21"/>
        </w:rPr>
      </w:pPr>
      <w:r>
        <w:rPr>
          <w:rFonts w:hint="eastAsia" w:ascii="黑体" w:hAnsi="黑体" w:eastAsia="黑体" w:cs="黑体"/>
          <w:color w:val="auto"/>
          <w:sz w:val="21"/>
          <w:szCs w:val="21"/>
        </w:rPr>
        <w:t>5.2.1</w:t>
      </w:r>
      <w:r>
        <w:rPr>
          <w:rFonts w:hint="eastAsia" w:ascii="宋体" w:hAnsi="宋体" w:eastAsia="宋体" w:cs="宋体"/>
          <w:color w:val="auto"/>
          <w:sz w:val="21"/>
          <w:szCs w:val="21"/>
        </w:rPr>
        <w:t>被检测者检测前8小时不应饮酒、咖啡和浓茶；</w:t>
      </w:r>
    </w:p>
    <w:p w14:paraId="00ECF5F6">
      <w:pPr>
        <w:adjustRightInd/>
        <w:spacing w:line="276" w:lineRule="auto"/>
        <w:ind w:firstLine="360"/>
        <w:rPr>
          <w:rFonts w:hint="eastAsia" w:ascii="宋体" w:hAnsi="宋体" w:eastAsia="宋体" w:cs="宋体"/>
          <w:color w:val="auto"/>
          <w:sz w:val="21"/>
          <w:szCs w:val="21"/>
        </w:rPr>
      </w:pPr>
      <w:r>
        <w:rPr>
          <w:rFonts w:hint="eastAsia" w:ascii="黑体" w:hAnsi="黑体" w:eastAsia="黑体" w:cs="黑体"/>
          <w:color w:val="auto"/>
          <w:sz w:val="21"/>
          <w:szCs w:val="21"/>
        </w:rPr>
        <w:t>5.2.2</w:t>
      </w:r>
      <w:r>
        <w:rPr>
          <w:rFonts w:hint="eastAsia" w:ascii="宋体" w:hAnsi="宋体" w:eastAsia="宋体" w:cs="宋体"/>
          <w:color w:val="auto"/>
          <w:sz w:val="21"/>
          <w:szCs w:val="21"/>
        </w:rPr>
        <w:t>被检测者检测前不应剧烈活动；</w:t>
      </w:r>
    </w:p>
    <w:p w14:paraId="1DA4967E">
      <w:pPr>
        <w:adjustRightInd/>
        <w:spacing w:line="276" w:lineRule="auto"/>
        <w:ind w:firstLine="360"/>
        <w:rPr>
          <w:rFonts w:hint="eastAsia" w:ascii="宋体" w:hAnsi="宋体" w:eastAsia="宋体" w:cs="宋体"/>
          <w:color w:val="auto"/>
          <w:sz w:val="21"/>
          <w:szCs w:val="21"/>
        </w:rPr>
      </w:pPr>
      <w:r>
        <w:rPr>
          <w:rFonts w:hint="eastAsia" w:ascii="黑体" w:hAnsi="黑体" w:eastAsia="黑体" w:cs="黑体"/>
          <w:color w:val="auto"/>
          <w:sz w:val="21"/>
          <w:szCs w:val="21"/>
        </w:rPr>
        <w:t>5.2.3</w:t>
      </w:r>
      <w:r>
        <w:rPr>
          <w:rFonts w:hint="eastAsia" w:ascii="宋体" w:hAnsi="宋体" w:eastAsia="宋体" w:cs="宋体"/>
          <w:color w:val="auto"/>
          <w:sz w:val="21"/>
          <w:szCs w:val="21"/>
        </w:rPr>
        <w:t>被检测者检测前至少15分钟在室温 18℃～26℃、相对湿度 30%～80%环境中以保持身心平静状态；</w:t>
      </w:r>
    </w:p>
    <w:p w14:paraId="4E2E151F">
      <w:pPr>
        <w:adjustRightInd/>
        <w:spacing w:line="276" w:lineRule="auto"/>
        <w:ind w:firstLine="420" w:firstLineChars="200"/>
        <w:rPr>
          <w:rFonts w:hint="eastAsia" w:ascii="宋体" w:hAnsi="宋体" w:eastAsia="宋体" w:cs="宋体"/>
          <w:color w:val="auto"/>
          <w:sz w:val="21"/>
          <w:szCs w:val="21"/>
        </w:rPr>
      </w:pPr>
      <w:r>
        <w:rPr>
          <w:rFonts w:hint="eastAsia" w:ascii="黑体" w:hAnsi="黑体" w:eastAsia="黑体" w:cs="黑体"/>
          <w:color w:val="auto"/>
          <w:sz w:val="21"/>
          <w:szCs w:val="21"/>
        </w:rPr>
        <w:t>5.2.4</w:t>
      </w:r>
      <w:r>
        <w:rPr>
          <w:rFonts w:hint="eastAsia" w:ascii="宋体" w:hAnsi="宋体" w:eastAsia="宋体" w:cs="宋体"/>
          <w:color w:val="auto"/>
          <w:sz w:val="21"/>
          <w:szCs w:val="21"/>
        </w:rPr>
        <w:t>被检测者检测时半空腹状态或饭前、饭后半小时以上；衣着宽松；需摘除被检测者身上金属物品及电子通讯器材，被检测者身体任何部位不接触地面及导电良好物品。</w:t>
      </w:r>
    </w:p>
    <w:p w14:paraId="58ED3830">
      <w:pPr>
        <w:adjustRightInd/>
        <w:spacing w:line="276" w:lineRule="auto"/>
        <w:ind w:firstLine="420"/>
        <w:rPr>
          <w:rFonts w:hint="eastAsia" w:ascii="宋体" w:hAnsi="宋体" w:eastAsia="宋体" w:cs="宋体"/>
          <w:color w:val="auto"/>
          <w:sz w:val="21"/>
          <w:szCs w:val="21"/>
        </w:rPr>
      </w:pPr>
      <w:r>
        <w:rPr>
          <w:rFonts w:hint="eastAsia" w:ascii="黑体" w:hAnsi="黑体" w:eastAsia="黑体" w:cs="黑体"/>
          <w:color w:val="auto"/>
          <w:sz w:val="21"/>
          <w:szCs w:val="21"/>
        </w:rPr>
        <w:t>5.2.5</w:t>
      </w:r>
      <w:r>
        <w:rPr>
          <w:rFonts w:hint="eastAsia" w:ascii="宋体" w:hAnsi="宋体" w:eastAsia="宋体" w:cs="宋体"/>
          <w:color w:val="auto"/>
          <w:sz w:val="21"/>
          <w:szCs w:val="21"/>
        </w:rPr>
        <w:t>检测人员应能找到十二原穴的准确位置。</w:t>
      </w:r>
    </w:p>
    <w:p w14:paraId="1F917D94">
      <w:pPr>
        <w:pStyle w:val="104"/>
        <w:numPr>
          <w:ilvl w:val="1"/>
          <w:numId w:val="0"/>
        </w:numPr>
        <w:spacing w:before="312" w:after="312"/>
        <w:ind w:leftChars="0"/>
        <w:rPr>
          <w:rFonts w:hint="eastAsia" w:hAnsi="Times New Roman" w:cs="Times New Roman"/>
          <w:lang w:val="en-US" w:eastAsia="zh-CN"/>
        </w:rPr>
      </w:pPr>
      <w:bookmarkStart w:id="108" w:name="_Toc244263726"/>
      <w:r>
        <w:rPr>
          <w:rFonts w:hint="eastAsia" w:hAnsi="Times New Roman" w:cs="Times New Roman"/>
          <w:lang w:val="en-US" w:eastAsia="zh-CN"/>
        </w:rPr>
        <w:t>5.3 检测环境要求</w:t>
      </w:r>
      <w:bookmarkEnd w:id="108"/>
    </w:p>
    <w:p w14:paraId="2B8B5F13">
      <w:pPr>
        <w:adjustRightInd/>
        <w:spacing w:line="276" w:lineRule="auto"/>
        <w:ind w:firstLine="420"/>
        <w:rPr>
          <w:rFonts w:hint="eastAsia" w:ascii="宋体" w:hAnsi="宋体" w:eastAsia="宋体" w:cs="宋体"/>
          <w:color w:val="auto"/>
          <w:sz w:val="21"/>
          <w:szCs w:val="21"/>
        </w:rPr>
      </w:pPr>
      <w:r>
        <w:rPr>
          <w:rFonts w:hint="eastAsia" w:ascii="黑体" w:hAnsi="黑体" w:eastAsia="黑体" w:cs="黑体"/>
          <w:color w:val="auto"/>
          <w:sz w:val="21"/>
          <w:szCs w:val="21"/>
        </w:rPr>
        <w:t>5.3.1</w:t>
      </w:r>
      <w:r>
        <w:rPr>
          <w:rFonts w:hint="eastAsia" w:ascii="宋体" w:hAnsi="宋体" w:eastAsia="宋体" w:cs="宋体"/>
          <w:color w:val="auto"/>
          <w:sz w:val="21"/>
          <w:szCs w:val="21"/>
        </w:rPr>
        <w:t>检测的房间面积应大于15㎡，室内空气流通良好。</w:t>
      </w:r>
    </w:p>
    <w:p w14:paraId="1CCB1A3F">
      <w:pPr>
        <w:adjustRightInd/>
        <w:spacing w:line="276" w:lineRule="auto"/>
        <w:ind w:firstLine="420"/>
        <w:rPr>
          <w:rFonts w:hint="eastAsia" w:ascii="宋体" w:hAnsi="宋体" w:eastAsia="宋体" w:cs="宋体"/>
          <w:color w:val="auto"/>
          <w:sz w:val="21"/>
          <w:szCs w:val="21"/>
        </w:rPr>
      </w:pPr>
      <w:r>
        <w:rPr>
          <w:rFonts w:hint="eastAsia" w:ascii="黑体" w:hAnsi="黑体" w:eastAsia="黑体" w:cs="黑体"/>
          <w:color w:val="auto"/>
          <w:sz w:val="21"/>
          <w:szCs w:val="21"/>
        </w:rPr>
        <w:t>5.3.2</w:t>
      </w:r>
      <w:r>
        <w:rPr>
          <w:rFonts w:hint="eastAsia" w:ascii="宋体" w:hAnsi="宋体" w:eastAsia="宋体" w:cs="宋体"/>
          <w:color w:val="auto"/>
          <w:sz w:val="21"/>
          <w:szCs w:val="21"/>
        </w:rPr>
        <w:t>应防止强电磁、高频信号干扰源的影响；雷电天气不应使用。</w:t>
      </w:r>
    </w:p>
    <w:p w14:paraId="36BA9B29">
      <w:pPr>
        <w:adjustRightInd/>
        <w:spacing w:line="276" w:lineRule="auto"/>
        <w:ind w:firstLine="420"/>
        <w:rPr>
          <w:rFonts w:hint="eastAsia" w:ascii="宋体" w:hAnsi="宋体" w:eastAsia="宋体" w:cs="宋体"/>
          <w:color w:val="auto"/>
          <w:sz w:val="21"/>
          <w:szCs w:val="21"/>
        </w:rPr>
      </w:pPr>
      <w:r>
        <w:rPr>
          <w:rFonts w:hint="eastAsia" w:ascii="黑体" w:hAnsi="黑体" w:eastAsia="黑体" w:cs="黑体"/>
          <w:color w:val="auto"/>
          <w:sz w:val="21"/>
          <w:szCs w:val="21"/>
        </w:rPr>
        <w:t>5.3.3</w:t>
      </w:r>
      <w:r>
        <w:rPr>
          <w:rFonts w:hint="eastAsia" w:ascii="宋体" w:hAnsi="宋体" w:eastAsia="宋体" w:cs="宋体"/>
          <w:color w:val="auto"/>
          <w:sz w:val="21"/>
          <w:szCs w:val="21"/>
        </w:rPr>
        <w:t xml:space="preserve">室温应在 18℃～26℃，相对湿度 30%～80%，大气压力 700hPa～1060hPa，噪声＜40dB (A)。  </w:t>
      </w:r>
    </w:p>
    <w:p w14:paraId="2FDF372E">
      <w:pPr>
        <w:pStyle w:val="104"/>
        <w:numPr>
          <w:ilvl w:val="1"/>
          <w:numId w:val="0"/>
        </w:numPr>
        <w:spacing w:before="312" w:after="312"/>
        <w:ind w:leftChars="0"/>
        <w:rPr>
          <w:rFonts w:hint="eastAsia" w:hAnsi="Times New Roman" w:cs="Times New Roman"/>
        </w:rPr>
      </w:pPr>
      <w:bookmarkStart w:id="109" w:name="_Toc25309"/>
      <w:bookmarkStart w:id="110" w:name="_Toc9125"/>
      <w:bookmarkStart w:id="111" w:name="_Toc214557090"/>
      <w:bookmarkStart w:id="112" w:name="_Toc21773"/>
      <w:bookmarkStart w:id="113" w:name="_Toc8972"/>
      <w:bookmarkStart w:id="114" w:name="_Toc244263727"/>
      <w:r>
        <w:rPr>
          <w:rFonts w:hint="eastAsia" w:hAnsi="Times New Roman" w:cs="Times New Roman"/>
        </w:rPr>
        <w:t>6 辨识步骤</w:t>
      </w:r>
      <w:bookmarkEnd w:id="109"/>
      <w:bookmarkEnd w:id="110"/>
      <w:bookmarkEnd w:id="111"/>
      <w:bookmarkEnd w:id="112"/>
      <w:bookmarkEnd w:id="113"/>
      <w:bookmarkEnd w:id="114"/>
    </w:p>
    <w:p w14:paraId="2154BDE6">
      <w:pPr>
        <w:pStyle w:val="104"/>
        <w:numPr>
          <w:ilvl w:val="1"/>
          <w:numId w:val="0"/>
        </w:numPr>
        <w:spacing w:before="312" w:after="312"/>
        <w:ind w:leftChars="0"/>
        <w:rPr>
          <w:rFonts w:hint="eastAsia" w:hAnsi="Times New Roman" w:cs="Times New Roman"/>
          <w:lang w:val="en-US" w:eastAsia="zh-CN"/>
        </w:rPr>
      </w:pPr>
      <w:bookmarkStart w:id="115" w:name="_Toc244263728"/>
      <w:bookmarkStart w:id="116" w:name="_Toc21710"/>
      <w:bookmarkStart w:id="117" w:name="_Toc3217"/>
      <w:bookmarkStart w:id="118" w:name="_Toc214557091"/>
      <w:bookmarkStart w:id="119" w:name="_Toc21074"/>
      <w:bookmarkStart w:id="120" w:name="_Toc21059"/>
      <w:r>
        <w:rPr>
          <w:rFonts w:hint="eastAsia" w:hAnsi="Times New Roman" w:cs="Times New Roman"/>
          <w:lang w:val="en-US" w:eastAsia="zh-CN"/>
        </w:rPr>
        <w:t>6.1 设备开机检查</w:t>
      </w:r>
      <w:bookmarkEnd w:id="115"/>
      <w:bookmarkEnd w:id="116"/>
      <w:bookmarkEnd w:id="117"/>
      <w:bookmarkEnd w:id="118"/>
      <w:bookmarkEnd w:id="119"/>
      <w:bookmarkEnd w:id="120"/>
    </w:p>
    <w:p w14:paraId="4B05E065">
      <w:pPr>
        <w:adjustRightInd/>
        <w:spacing w:line="276"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确认检测仪各部件连接良好，开机运行正常。</w:t>
      </w:r>
    </w:p>
    <w:p w14:paraId="3B7E533D">
      <w:pPr>
        <w:pStyle w:val="104"/>
        <w:numPr>
          <w:ilvl w:val="1"/>
          <w:numId w:val="0"/>
        </w:numPr>
        <w:spacing w:before="312" w:after="312"/>
        <w:ind w:leftChars="0"/>
        <w:rPr>
          <w:rFonts w:hint="eastAsia" w:hAnsi="Times New Roman" w:cs="Times New Roman"/>
          <w:lang w:val="en-US" w:eastAsia="zh-CN"/>
        </w:rPr>
      </w:pPr>
      <w:bookmarkStart w:id="121" w:name="_Toc244263729"/>
      <w:bookmarkStart w:id="122" w:name="_Toc14276"/>
      <w:bookmarkStart w:id="123" w:name="_Toc26450"/>
      <w:bookmarkStart w:id="124" w:name="_Toc214557092"/>
      <w:bookmarkStart w:id="125" w:name="_Toc30147"/>
      <w:bookmarkStart w:id="126" w:name="_Toc30951"/>
      <w:r>
        <w:rPr>
          <w:rFonts w:hint="eastAsia" w:hAnsi="Times New Roman" w:cs="Times New Roman"/>
          <w:lang w:val="en-US" w:eastAsia="zh-CN"/>
        </w:rPr>
        <w:t>6.2 信息录入</w:t>
      </w:r>
      <w:bookmarkEnd w:id="121"/>
      <w:bookmarkEnd w:id="122"/>
      <w:bookmarkEnd w:id="123"/>
      <w:bookmarkEnd w:id="124"/>
      <w:bookmarkEnd w:id="125"/>
      <w:bookmarkEnd w:id="126"/>
    </w:p>
    <w:p w14:paraId="784C2F1D">
      <w:pPr>
        <w:adjustRightInd/>
        <w:spacing w:line="240"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将被检测者的基本信息准确录入系统，包括姓名、性别、出生年月日、联系方式、主要健康问题等。</w:t>
      </w:r>
    </w:p>
    <w:p w14:paraId="1DB85137">
      <w:pPr>
        <w:pStyle w:val="104"/>
        <w:numPr>
          <w:ilvl w:val="1"/>
          <w:numId w:val="0"/>
        </w:numPr>
        <w:spacing w:before="312" w:after="312"/>
        <w:ind w:leftChars="0"/>
        <w:rPr>
          <w:rFonts w:hint="eastAsia" w:hAnsi="Times New Roman" w:cs="Times New Roman"/>
          <w:lang w:val="en-US" w:eastAsia="zh-CN"/>
        </w:rPr>
      </w:pPr>
      <w:bookmarkStart w:id="127" w:name="_Toc214557093"/>
      <w:bookmarkStart w:id="128" w:name="_Toc27837"/>
      <w:bookmarkStart w:id="129" w:name="_Toc244263730"/>
      <w:bookmarkStart w:id="130" w:name="_Toc18132"/>
      <w:bookmarkStart w:id="131" w:name="_Toc6751"/>
      <w:bookmarkStart w:id="132" w:name="_Toc5233"/>
      <w:r>
        <w:rPr>
          <w:rFonts w:hint="eastAsia" w:hAnsi="Times New Roman" w:cs="Times New Roman"/>
          <w:lang w:val="en-US" w:eastAsia="zh-CN"/>
        </w:rPr>
        <w:t>6.3 检测穴位选择与定位</w:t>
      </w:r>
      <w:bookmarkEnd w:id="127"/>
      <w:bookmarkEnd w:id="128"/>
      <w:bookmarkEnd w:id="129"/>
      <w:bookmarkEnd w:id="130"/>
      <w:bookmarkEnd w:id="131"/>
      <w:bookmarkEnd w:id="132"/>
    </w:p>
    <w:p w14:paraId="43107130">
      <w:pPr>
        <w:adjustRightInd/>
        <w:spacing w:line="276" w:lineRule="auto"/>
        <w:ind w:firstLine="420"/>
        <w:rPr>
          <w:rFonts w:hint="eastAsia" w:ascii="宋体" w:hAnsi="宋体" w:eastAsia="宋体" w:cs="宋体"/>
          <w:color w:val="auto"/>
          <w:sz w:val="21"/>
          <w:szCs w:val="21"/>
        </w:rPr>
      </w:pPr>
      <w:r>
        <w:rPr>
          <w:rFonts w:hint="eastAsia" w:ascii="黑体" w:hAnsi="黑体" w:eastAsia="黑体" w:cs="黑体"/>
          <w:color w:val="auto"/>
          <w:sz w:val="21"/>
          <w:szCs w:val="21"/>
        </w:rPr>
        <w:t xml:space="preserve">6.3.1 </w:t>
      </w:r>
      <w:r>
        <w:rPr>
          <w:rFonts w:hint="eastAsia" w:ascii="宋体" w:hAnsi="宋体" w:eastAsia="宋体" w:cs="宋体"/>
          <w:color w:val="auto"/>
          <w:sz w:val="21"/>
          <w:szCs w:val="21"/>
        </w:rPr>
        <w:t>选择身体左右两侧十二原穴作为检测穴位，各穴位的定位应符合 GB/T 12346 的规定。</w:t>
      </w:r>
    </w:p>
    <w:p w14:paraId="68D31FD8">
      <w:pPr>
        <w:adjustRightInd/>
        <w:spacing w:line="276" w:lineRule="auto"/>
        <w:ind w:firstLine="420"/>
        <w:rPr>
          <w:rFonts w:hint="eastAsia" w:ascii="宋体" w:hAnsi="宋体" w:eastAsia="宋体" w:cs="宋体"/>
          <w:color w:val="auto"/>
          <w:sz w:val="21"/>
          <w:szCs w:val="21"/>
        </w:rPr>
      </w:pPr>
      <w:r>
        <w:rPr>
          <w:rFonts w:hint="eastAsia" w:ascii="黑体" w:hAnsi="黑体" w:eastAsia="黑体" w:cs="黑体"/>
          <w:color w:val="auto"/>
          <w:sz w:val="21"/>
          <w:szCs w:val="21"/>
        </w:rPr>
        <w:t>6.3.2</w:t>
      </w:r>
      <w:r>
        <w:rPr>
          <w:rFonts w:hint="eastAsia" w:ascii="宋体" w:hAnsi="宋体" w:eastAsia="宋体" w:cs="宋体"/>
          <w:color w:val="auto"/>
          <w:sz w:val="21"/>
          <w:szCs w:val="21"/>
        </w:rPr>
        <w:t xml:space="preserve"> 采用手指触摸、骨度分寸法等传统中医定位方法，结合检测仪器配套软件提供的穴位定位图示，在被检测者身体上进行穴位定位。</w:t>
      </w:r>
    </w:p>
    <w:p w14:paraId="06798068">
      <w:pPr>
        <w:pStyle w:val="104"/>
        <w:numPr>
          <w:ilvl w:val="1"/>
          <w:numId w:val="0"/>
        </w:numPr>
        <w:spacing w:before="312" w:after="312"/>
        <w:ind w:leftChars="0"/>
        <w:rPr>
          <w:rFonts w:hint="eastAsia" w:hAnsi="Times New Roman" w:cs="Times New Roman"/>
          <w:lang w:val="en-US" w:eastAsia="zh-CN"/>
        </w:rPr>
      </w:pPr>
      <w:bookmarkStart w:id="133" w:name="_Toc214557094"/>
      <w:bookmarkStart w:id="134" w:name="_Toc244263731"/>
      <w:bookmarkStart w:id="135" w:name="_Toc8601"/>
      <w:bookmarkStart w:id="136" w:name="_Toc7700"/>
      <w:bookmarkStart w:id="137" w:name="_Toc15220"/>
      <w:bookmarkStart w:id="138" w:name="_Toc21709"/>
      <w:r>
        <w:rPr>
          <w:rFonts w:hint="eastAsia" w:hAnsi="Times New Roman" w:cs="Times New Roman"/>
          <w:lang w:val="en-US" w:eastAsia="zh-CN"/>
        </w:rPr>
        <w:t xml:space="preserve">6.4 </w:t>
      </w:r>
      <w:bookmarkStart w:id="139" w:name="OLE_LINK3"/>
      <w:r>
        <w:rPr>
          <w:rFonts w:hint="eastAsia" w:hAnsi="Times New Roman" w:cs="Times New Roman"/>
          <w:lang w:val="en-US" w:eastAsia="zh-CN"/>
        </w:rPr>
        <w:t>检测操作</w:t>
      </w:r>
      <w:bookmarkEnd w:id="133"/>
      <w:bookmarkEnd w:id="134"/>
      <w:bookmarkEnd w:id="135"/>
      <w:bookmarkEnd w:id="136"/>
      <w:bookmarkEnd w:id="137"/>
      <w:bookmarkEnd w:id="138"/>
    </w:p>
    <w:bookmarkEnd w:id="139"/>
    <w:p w14:paraId="7E3FCE93">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40" w:name="_Toc244263732"/>
      <w:r>
        <w:rPr>
          <w:rFonts w:hint="eastAsia" w:ascii="黑体" w:hAnsi="黑体" w:eastAsia="黑体" w:cs="黑体"/>
          <w:color w:val="auto"/>
          <w:sz w:val="21"/>
          <w:szCs w:val="21"/>
        </w:rPr>
        <w:t>6.4.1 电极准备</w:t>
      </w:r>
      <w:bookmarkEnd w:id="140"/>
    </w:p>
    <w:p w14:paraId="70E4D177">
      <w:pPr>
        <w:adjustRightInd/>
        <w:spacing w:line="276" w:lineRule="auto"/>
        <w:ind w:firstLine="420"/>
        <w:rPr>
          <w:rFonts w:hint="eastAsia" w:ascii="宋体" w:hAnsi="宋体" w:eastAsia="宋体" w:cs="宋体"/>
          <w:color w:val="auto"/>
          <w:sz w:val="21"/>
          <w:szCs w:val="21"/>
        </w:rPr>
      </w:pPr>
      <w:bookmarkStart w:id="141" w:name="OLE_LINK5"/>
      <w:bookmarkStart w:id="142" w:name="OLE_LINK4"/>
      <w:r>
        <w:rPr>
          <w:rFonts w:hint="eastAsia" w:ascii="黑体" w:hAnsi="黑体" w:eastAsia="黑体" w:cs="黑体"/>
          <w:color w:val="auto"/>
          <w:sz w:val="21"/>
          <w:szCs w:val="21"/>
        </w:rPr>
        <w:t>6.4.1.1</w:t>
      </w:r>
      <w:bookmarkEnd w:id="141"/>
      <w:bookmarkEnd w:id="142"/>
      <w:r>
        <w:rPr>
          <w:rFonts w:hint="eastAsia" w:ascii="宋体" w:hAnsi="宋体" w:eastAsia="宋体" w:cs="宋体"/>
          <w:color w:val="auto"/>
          <w:sz w:val="21"/>
          <w:szCs w:val="21"/>
        </w:rPr>
        <w:t xml:space="preserve">  检测前，将生理盐水润湿的探头用镊子塞入测量电极内腔里，形成测量电极。将测量电极与主机连接，检查接口处是否牢固；</w:t>
      </w:r>
    </w:p>
    <w:p w14:paraId="1544AA02">
      <w:pPr>
        <w:adjustRightInd/>
        <w:spacing w:line="276" w:lineRule="auto"/>
        <w:ind w:firstLine="420"/>
        <w:rPr>
          <w:rFonts w:hint="eastAsia" w:ascii="宋体" w:hAnsi="宋体" w:eastAsia="宋体" w:cs="宋体"/>
          <w:color w:val="auto"/>
          <w:sz w:val="21"/>
          <w:szCs w:val="21"/>
        </w:rPr>
      </w:pPr>
      <w:r>
        <w:rPr>
          <w:rFonts w:hint="eastAsia" w:ascii="黑体" w:hAnsi="黑体" w:eastAsia="黑体" w:cs="黑体"/>
          <w:color w:val="auto"/>
          <w:sz w:val="21"/>
          <w:szCs w:val="21"/>
        </w:rPr>
        <w:t>6.4.1.2</w:t>
      </w:r>
      <w:r>
        <w:rPr>
          <w:rFonts w:hint="eastAsia" w:ascii="宋体" w:hAnsi="宋体" w:eastAsia="宋体" w:cs="宋体"/>
          <w:color w:val="auto"/>
          <w:sz w:val="21"/>
          <w:szCs w:val="21"/>
        </w:rPr>
        <w:t xml:space="preserve"> 将辅助电极平稳粘贴于被检测者左侧腕关节内侧横纹上五寸皮肤处（郄门穴最佳），将辅助电极与皮肤紧密贴合，无气泡或缝隙。</w:t>
      </w:r>
    </w:p>
    <w:p w14:paraId="063AD83C">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43" w:name="_Toc244263733"/>
      <w:r>
        <w:rPr>
          <w:rFonts w:hint="eastAsia" w:ascii="黑体" w:hAnsi="黑体" w:eastAsia="黑体" w:cs="黑体"/>
          <w:color w:val="auto"/>
          <w:sz w:val="21"/>
          <w:szCs w:val="21"/>
        </w:rPr>
        <w:t>6.4.2 检测顺序与操作要求</w:t>
      </w:r>
      <w:bookmarkEnd w:id="143"/>
    </w:p>
    <w:p w14:paraId="1A86308B">
      <w:pPr>
        <w:keepNext/>
        <w:keepLines/>
        <w:adjustRightInd/>
        <w:spacing w:before="40" w:line="240" w:lineRule="auto"/>
        <w:ind w:firstLine="420" w:firstLineChars="200"/>
        <w:outlineLvl w:val="2"/>
        <w:rPr>
          <w:rFonts w:hint="eastAsia" w:ascii="宋体" w:hAnsi="宋体" w:eastAsia="宋体" w:cs="宋体"/>
          <w:color w:val="auto"/>
          <w:sz w:val="21"/>
          <w:szCs w:val="21"/>
        </w:rPr>
      </w:pPr>
      <w:bookmarkStart w:id="144" w:name="OLE_LINK7"/>
      <w:bookmarkStart w:id="145" w:name="OLE_LINK6"/>
      <w:r>
        <w:rPr>
          <w:rFonts w:hint="eastAsia" w:ascii="黑体" w:hAnsi="黑体" w:eastAsia="黑体" w:cs="黑体"/>
          <w:color w:val="auto"/>
          <w:sz w:val="21"/>
          <w:szCs w:val="21"/>
        </w:rPr>
        <w:t>6.4.2.</w:t>
      </w:r>
      <w:bookmarkEnd w:id="144"/>
      <w:bookmarkEnd w:id="145"/>
      <w:r>
        <w:rPr>
          <w:rFonts w:hint="eastAsia" w:ascii="黑体" w:hAnsi="黑体" w:eastAsia="黑体" w:cs="黑体"/>
          <w:color w:val="auto"/>
          <w:sz w:val="21"/>
          <w:szCs w:val="21"/>
        </w:rPr>
        <w:t xml:space="preserve">1 </w:t>
      </w:r>
      <w:r>
        <w:rPr>
          <w:rFonts w:hint="eastAsia" w:ascii="宋体" w:hAnsi="宋体" w:eastAsia="宋体" w:cs="宋体"/>
          <w:color w:val="auto"/>
          <w:sz w:val="21"/>
          <w:szCs w:val="21"/>
        </w:rPr>
        <w:t>检测前需保持被检测者手部、足部皮肤清洁干燥。</w:t>
      </w:r>
    </w:p>
    <w:p w14:paraId="2901078F">
      <w:pPr>
        <w:adjustRightInd/>
        <w:spacing w:line="240" w:lineRule="auto"/>
        <w:ind w:firstLine="420" w:firstLineChars="200"/>
        <w:rPr>
          <w:rFonts w:hint="eastAsia" w:ascii="宋体" w:hAnsi="宋体" w:eastAsia="宋体" w:cs="宋体"/>
          <w:color w:val="auto"/>
          <w:sz w:val="21"/>
          <w:szCs w:val="21"/>
        </w:rPr>
      </w:pPr>
      <w:r>
        <w:rPr>
          <w:rFonts w:hint="eastAsia" w:ascii="黑体" w:hAnsi="黑体" w:eastAsia="黑体" w:cs="黑体"/>
          <w:color w:val="auto"/>
          <w:sz w:val="21"/>
          <w:szCs w:val="21"/>
        </w:rPr>
        <w:t>6.4.2.2</w:t>
      </w:r>
      <w:r>
        <w:rPr>
          <w:rFonts w:hint="eastAsia" w:ascii="宋体" w:hAnsi="宋体" w:eastAsia="宋体" w:cs="宋体"/>
          <w:color w:val="auto"/>
          <w:sz w:val="21"/>
          <w:szCs w:val="21"/>
        </w:rPr>
        <w:t>检测按照先手部后足部、先左侧后右侧的总体顺序进行，手部依次检测腕骨、神门、阳池、大陵、合谷、太渊，足部依次检测京骨、太溪、丘墟、太冲、冲阳、太白。</w:t>
      </w:r>
    </w:p>
    <w:p w14:paraId="278BC23B">
      <w:pPr>
        <w:adjustRightInd/>
        <w:spacing w:line="240" w:lineRule="auto"/>
        <w:ind w:firstLine="420" w:firstLineChars="200"/>
        <w:rPr>
          <w:rFonts w:hint="eastAsia" w:ascii="宋体" w:hAnsi="宋体" w:eastAsia="宋体" w:cs="宋体"/>
          <w:color w:val="auto"/>
          <w:sz w:val="21"/>
          <w:szCs w:val="21"/>
        </w:rPr>
      </w:pPr>
      <w:r>
        <w:rPr>
          <w:rFonts w:hint="eastAsia" w:ascii="黑体" w:hAnsi="黑体" w:eastAsia="黑体" w:cs="黑体"/>
          <w:color w:val="auto"/>
          <w:sz w:val="21"/>
          <w:szCs w:val="21"/>
        </w:rPr>
        <w:t>6.4.2.3</w:t>
      </w:r>
      <w:r>
        <w:rPr>
          <w:rFonts w:hint="eastAsia" w:ascii="宋体" w:hAnsi="宋体" w:eastAsia="宋体" w:cs="宋体"/>
          <w:color w:val="auto"/>
          <w:sz w:val="21"/>
          <w:szCs w:val="21"/>
        </w:rPr>
        <w:t>操作时将测量电极垂直对准穴位皮肤并保持稳定压力，每个穴位保持1 秒以上采集信号。需避免反复检测同一穴位。</w:t>
      </w:r>
    </w:p>
    <w:p w14:paraId="37A71DA3">
      <w:pPr>
        <w:pStyle w:val="104"/>
        <w:numPr>
          <w:ilvl w:val="1"/>
          <w:numId w:val="0"/>
        </w:numPr>
        <w:spacing w:before="312" w:after="312"/>
        <w:ind w:leftChars="0"/>
        <w:rPr>
          <w:rFonts w:hint="eastAsia" w:hAnsi="Times New Roman" w:cs="Times New Roman"/>
        </w:rPr>
      </w:pPr>
      <w:bookmarkStart w:id="146" w:name="_Toc5773"/>
      <w:bookmarkStart w:id="147" w:name="_Toc19000"/>
      <w:bookmarkStart w:id="148" w:name="_Toc244263734"/>
      <w:bookmarkStart w:id="149" w:name="_Toc18329"/>
      <w:bookmarkStart w:id="150" w:name="_Toc3612"/>
      <w:bookmarkStart w:id="151" w:name="_Toc214557095"/>
      <w:r>
        <w:rPr>
          <w:rFonts w:hint="eastAsia" w:hAnsi="Times New Roman" w:cs="Times New Roman"/>
        </w:rPr>
        <w:t>7 经络健康性质辨识</w:t>
      </w:r>
      <w:bookmarkEnd w:id="146"/>
      <w:bookmarkEnd w:id="147"/>
      <w:bookmarkEnd w:id="148"/>
      <w:bookmarkEnd w:id="149"/>
      <w:bookmarkEnd w:id="150"/>
      <w:bookmarkEnd w:id="151"/>
    </w:p>
    <w:p w14:paraId="2128C5A4">
      <w:pPr>
        <w:pStyle w:val="104"/>
        <w:numPr>
          <w:ilvl w:val="1"/>
          <w:numId w:val="0"/>
        </w:numPr>
        <w:spacing w:before="312" w:after="312"/>
        <w:ind w:leftChars="0"/>
        <w:rPr>
          <w:rFonts w:hint="eastAsia" w:hAnsi="Times New Roman" w:cs="Times New Roman"/>
        </w:rPr>
      </w:pPr>
      <w:bookmarkStart w:id="152" w:name="_Toc244263735"/>
      <w:bookmarkStart w:id="153" w:name="_Toc4960"/>
      <w:bookmarkStart w:id="154" w:name="_Toc214557096"/>
      <w:bookmarkStart w:id="155" w:name="_Toc30501"/>
      <w:bookmarkStart w:id="156" w:name="_Toc30830"/>
      <w:bookmarkStart w:id="157" w:name="_Toc7620"/>
      <w:r>
        <w:rPr>
          <w:rFonts w:hint="eastAsia" w:hAnsi="Times New Roman" w:cs="Times New Roman"/>
        </w:rPr>
        <w:t>7.1 计算方法</w:t>
      </w:r>
      <w:bookmarkEnd w:id="152"/>
    </w:p>
    <w:p w14:paraId="3432ECBC">
      <w:pPr>
        <w:keepNext/>
        <w:keepLines/>
        <w:adjustRightInd/>
        <w:spacing w:before="40" w:line="240" w:lineRule="auto"/>
        <w:ind w:firstLine="420" w:firstLineChars="200"/>
        <w:outlineLvl w:val="2"/>
        <w:rPr>
          <w:rFonts w:hint="eastAsia" w:ascii="宋体" w:hAnsi="宋体" w:eastAsia="宋体" w:cs="宋体"/>
          <w:color w:val="auto"/>
          <w:sz w:val="21"/>
          <w:szCs w:val="21"/>
        </w:rPr>
      </w:pPr>
      <w:bookmarkStart w:id="158" w:name="_Toc244263736"/>
      <w:r>
        <w:rPr>
          <w:rFonts w:hint="eastAsia" w:ascii="黑体" w:hAnsi="黑体" w:eastAsia="黑体" w:cs="黑体"/>
          <w:color w:val="auto"/>
          <w:sz w:val="21"/>
          <w:szCs w:val="21"/>
        </w:rPr>
        <w:t>7.1.1 虚实指标</w:t>
      </w:r>
      <w:bookmarkEnd w:id="158"/>
      <w:r>
        <w:rPr>
          <w:rFonts w:hint="eastAsia" w:ascii="黑体" w:hAnsi="黑体" w:eastAsia="黑体" w:cs="黑体"/>
          <w:color w:val="auto"/>
          <w:sz w:val="21"/>
          <w:szCs w:val="21"/>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rPr>
        <w:t xml:space="preserve">  </w:t>
      </w:r>
    </w:p>
    <w:p w14:paraId="20B0BF11">
      <w:pPr>
        <w:adjustRightInd/>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提取身体双侧十二原穴共 24 个点位伏安特性曲线 1 秒时刻电压值，计算整体均值后，通过各穴位电压与均值的差值正负判定对应经络脏腑的虚实状态。</w:t>
      </w:r>
    </w:p>
    <w:p w14:paraId="379EAFB1">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59" w:name="_Toc244263737"/>
      <w:r>
        <w:rPr>
          <w:rFonts w:hint="eastAsia" w:ascii="黑体" w:hAnsi="黑体" w:eastAsia="黑体" w:cs="黑体"/>
          <w:color w:val="auto"/>
          <w:sz w:val="21"/>
          <w:szCs w:val="21"/>
        </w:rPr>
        <w:t>7.1.2 寒热指标</w:t>
      </w:r>
      <w:bookmarkEnd w:id="159"/>
    </w:p>
    <w:p w14:paraId="5DC6DBD6">
      <w:pPr>
        <w:adjustRightInd/>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基于原穴伏安时间响应曲率（电压–时间曲线一阶导数），计算双侧十二原穴的曲率均值，以各原穴曲率与均值的差值判定寒热。</w:t>
      </w:r>
    </w:p>
    <w:p w14:paraId="30EC85F9">
      <w:pPr>
        <w:adjustRightInd/>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提取身体双侧十二原穴共 24 个点位1秒时刻伏安特性曲线的一阶导数（伏安时间响应曲率），计算整体曲率均值，依据各原穴曲率与均值的差值判定对应经络脏腑的寒热状态。</w:t>
      </w:r>
    </w:p>
    <w:bookmarkEnd w:id="153"/>
    <w:bookmarkEnd w:id="154"/>
    <w:bookmarkEnd w:id="155"/>
    <w:bookmarkEnd w:id="156"/>
    <w:bookmarkEnd w:id="157"/>
    <w:p w14:paraId="7CDC6424">
      <w:pPr>
        <w:pStyle w:val="104"/>
        <w:numPr>
          <w:ilvl w:val="1"/>
          <w:numId w:val="0"/>
        </w:numPr>
        <w:spacing w:before="312" w:after="312"/>
        <w:ind w:leftChars="0"/>
        <w:rPr>
          <w:rFonts w:hint="eastAsia" w:hAnsi="Times New Roman" w:cs="Times New Roman"/>
          <w:lang w:val="en-US" w:eastAsia="zh-CN"/>
        </w:rPr>
      </w:pPr>
      <w:bookmarkStart w:id="160" w:name="_Toc13387"/>
      <w:bookmarkStart w:id="161" w:name="_Toc244263738"/>
      <w:bookmarkStart w:id="162" w:name="_Toc27572"/>
      <w:bookmarkStart w:id="163" w:name="_Toc20208"/>
      <w:bookmarkStart w:id="164" w:name="_Toc5871"/>
      <w:bookmarkStart w:id="165" w:name="_Toc214557097"/>
      <w:r>
        <w:rPr>
          <w:rFonts w:hint="eastAsia" w:hAnsi="Times New Roman" w:cs="Times New Roman"/>
          <w:lang w:val="en-US" w:eastAsia="zh-CN"/>
        </w:rPr>
        <w:t>7.2 虚证与实证辨识</w:t>
      </w:r>
      <w:bookmarkEnd w:id="160"/>
      <w:bookmarkEnd w:id="161"/>
      <w:bookmarkEnd w:id="162"/>
      <w:bookmarkEnd w:id="163"/>
      <w:bookmarkEnd w:id="164"/>
      <w:bookmarkEnd w:id="165"/>
      <w:bookmarkStart w:id="166" w:name="OLE_LINK10"/>
      <w:bookmarkStart w:id="167" w:name="OLE_LINK11"/>
    </w:p>
    <w:bookmarkEnd w:id="166"/>
    <w:bookmarkEnd w:id="167"/>
    <w:p w14:paraId="2DFAAC3F">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68" w:name="_Toc244263739"/>
      <w:r>
        <w:rPr>
          <w:rFonts w:hint="eastAsia" w:ascii="黑体" w:hAnsi="黑体" w:eastAsia="黑体" w:cs="黑体"/>
          <w:color w:val="auto"/>
          <w:sz w:val="21"/>
          <w:szCs w:val="21"/>
        </w:rPr>
        <w:t>7.2.1 虚证典型症状</w:t>
      </w:r>
      <w:bookmarkEnd w:id="168"/>
    </w:p>
    <w:p w14:paraId="04AEA769">
      <w:pPr>
        <w:adjustRightInd/>
        <w:spacing w:line="240" w:lineRule="auto"/>
        <w:ind w:firstLine="420" w:firstLineChars="200"/>
        <w:rPr>
          <w:rFonts w:hint="eastAsia" w:ascii="宋体" w:hAnsi="宋体" w:eastAsia="宋体" w:cs="宋体"/>
          <w:color w:val="auto"/>
          <w:sz w:val="21"/>
          <w:szCs w:val="21"/>
        </w:rPr>
      </w:pPr>
      <w:bookmarkStart w:id="169" w:name="_Toc1953"/>
      <w:r>
        <w:rPr>
          <w:rFonts w:hint="eastAsia" w:ascii="宋体" w:hAnsi="宋体" w:eastAsia="宋体" w:cs="宋体"/>
          <w:color w:val="auto"/>
          <w:sz w:val="21"/>
          <w:szCs w:val="21"/>
        </w:rPr>
        <w:t>虚证典型症状是由于正气亏虚、脏腑功能衰退、经脉失养，多见神疲乏力、气短懒言、面色淡白或萎黄、肢体酸软、不</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耐劳作；脏腑功能减弱，可出现食欲减退、心神不足、头晕眼花等；经络层面表现为循行部位酸软、隐痛、无力，活动后不适加重，局部酸痛喜按等。</w:t>
      </w:r>
      <w:bookmarkEnd w:id="169"/>
    </w:p>
    <w:p w14:paraId="3B59154D">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70" w:name="_Toc244263740"/>
      <w:r>
        <w:rPr>
          <w:rFonts w:hint="eastAsia" w:ascii="黑体" w:hAnsi="黑体" w:eastAsia="黑体" w:cs="黑体"/>
          <w:color w:val="auto"/>
          <w:sz w:val="21"/>
          <w:szCs w:val="21"/>
        </w:rPr>
        <w:t xml:space="preserve">7.2.2 </w:t>
      </w:r>
      <w:bookmarkStart w:id="171" w:name="OLE_LINK14"/>
      <w:bookmarkStart w:id="172" w:name="OLE_LINK13"/>
      <w:r>
        <w:rPr>
          <w:rFonts w:hint="eastAsia" w:ascii="黑体" w:hAnsi="黑体" w:eastAsia="黑体" w:cs="黑体"/>
          <w:color w:val="auto"/>
          <w:sz w:val="21"/>
          <w:szCs w:val="21"/>
        </w:rPr>
        <w:t>实证</w:t>
      </w:r>
      <w:bookmarkEnd w:id="171"/>
      <w:bookmarkEnd w:id="172"/>
      <w:r>
        <w:rPr>
          <w:rFonts w:hint="eastAsia" w:ascii="黑体" w:hAnsi="黑体" w:eastAsia="黑体" w:cs="黑体"/>
          <w:color w:val="auto"/>
          <w:sz w:val="21"/>
          <w:szCs w:val="21"/>
        </w:rPr>
        <w:t>典型症状</w:t>
      </w:r>
      <w:bookmarkEnd w:id="170"/>
    </w:p>
    <w:p w14:paraId="6393009D">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证典型症状是由于邪气壅滞、气血运行受阻，多见由外邪、食积、痰饮、水湿、气滞、瘀血等所致的胀满、烦闷、气机壅塞等症状；脏腑功能亢进、传导失常，易出现咳喘、胀痛、二便不通、肿痛等；经络循行区域以胀痛、僵硬、麻木为主，活动不利，胀痛明显甚至拒按。</w:t>
      </w:r>
    </w:p>
    <w:p w14:paraId="198B787B">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73" w:name="_Toc244263741"/>
      <w:r>
        <w:rPr>
          <w:rFonts w:hint="eastAsia" w:ascii="黑体" w:hAnsi="黑体" w:eastAsia="黑体" w:cs="黑体"/>
          <w:color w:val="auto"/>
          <w:sz w:val="21"/>
          <w:szCs w:val="21"/>
        </w:rPr>
        <w:t>7.2.3 指标辨识</w:t>
      </w:r>
      <w:bookmarkEnd w:id="173"/>
    </w:p>
    <w:p w14:paraId="1699BA50">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本项指标基于原穴伏安特性电压值计算得出。通过计算双侧十二原穴的电压均值，以各原穴电压与均值的差值判定虚实。其中：</w:t>
      </w:r>
    </w:p>
    <w:p w14:paraId="228D484F">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（1）正常：指标值处于[-50，+50]区间。</w:t>
      </w:r>
    </w:p>
    <w:p w14:paraId="211BCFD9">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（2）虚证：指标值低于-50。</w:t>
      </w:r>
    </w:p>
    <w:p w14:paraId="430186CE">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（3）实证：指标值高于+50。</w:t>
      </w:r>
    </w:p>
    <w:p w14:paraId="2C9D77E9">
      <w:pPr>
        <w:pStyle w:val="104"/>
        <w:numPr>
          <w:ilvl w:val="1"/>
          <w:numId w:val="0"/>
        </w:numPr>
        <w:spacing w:before="312" w:after="312"/>
        <w:ind w:leftChars="0"/>
        <w:rPr>
          <w:rFonts w:hint="eastAsia" w:hAnsi="Times New Roman" w:cs="Times New Roman"/>
        </w:rPr>
      </w:pPr>
      <w:bookmarkStart w:id="174" w:name="_Toc244263742"/>
      <w:r>
        <w:rPr>
          <w:rFonts w:hint="eastAsia" w:hAnsi="Times New Roman" w:cs="Times New Roman"/>
        </w:rPr>
        <w:t>7.3 寒证与热证辨识</w:t>
      </w:r>
      <w:bookmarkEnd w:id="174"/>
    </w:p>
    <w:p w14:paraId="300DEEC7">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75" w:name="_Toc244263743"/>
      <w:r>
        <w:rPr>
          <w:rFonts w:hint="eastAsia" w:ascii="黑体" w:hAnsi="黑体" w:eastAsia="黑体" w:cs="黑体"/>
          <w:color w:val="auto"/>
          <w:sz w:val="21"/>
          <w:szCs w:val="21"/>
        </w:rPr>
        <w:t>7.3.1 寒证典型症状</w:t>
      </w:r>
      <w:bookmarkEnd w:id="175"/>
    </w:p>
    <w:p w14:paraId="218E0690">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寒证由于寒邪凝滞、阳气不足、气血运行不畅，多见畏寒怕冷、四肢不温、口淡不渴、舌苔白等；脏腑多见气化功能受抑，脘腹冷痛、泻下清稀、小便清长等；经络循行部位易发凉、冷痛、拘挛收紧，遇寒加重、得温痛减等。</w:t>
      </w:r>
    </w:p>
    <w:p w14:paraId="609E739D">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76" w:name="_Toc244263744"/>
      <w:r>
        <w:rPr>
          <w:rFonts w:hint="eastAsia" w:ascii="黑体" w:hAnsi="黑体" w:eastAsia="黑体" w:cs="黑体"/>
          <w:color w:val="auto"/>
          <w:sz w:val="21"/>
          <w:szCs w:val="21"/>
        </w:rPr>
        <w:t>7.3.2 热证典型症状</w:t>
      </w:r>
      <w:bookmarkEnd w:id="176"/>
    </w:p>
    <w:p w14:paraId="39C63BCE">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热证由于热邪内盛、阴虚阳亢、阴津耗伤，多见发热、面红、口干口渴、心烦、小便短黄、大便干结、舌红苔黄等；脏腑受热邪熏灼，功能亢进、津液耗伤，易出现灼痛、口苦、疮肿、出血等；经络循行区域红肿、灼热、胀痛，局部皮温升高，可伴瘙痒、溃烂等热象表现。</w:t>
      </w:r>
    </w:p>
    <w:p w14:paraId="04F12BA6">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77" w:name="_Toc244263745"/>
      <w:r>
        <w:rPr>
          <w:rFonts w:hint="eastAsia" w:ascii="黑体" w:hAnsi="黑体" w:eastAsia="黑体" w:cs="黑体"/>
          <w:color w:val="auto"/>
          <w:sz w:val="21"/>
          <w:szCs w:val="21"/>
        </w:rPr>
        <w:t>7.3.3 指标辨识</w:t>
      </w:r>
      <w:bookmarkEnd w:id="177"/>
    </w:p>
    <w:p w14:paraId="332442AB">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本项指标基于原穴伏安时间响应曲率计算得出。通过计算双侧十二原穴的曲率均值，以各原穴曲率与均值的差值判定寒热。其中：</w:t>
      </w:r>
    </w:p>
    <w:p w14:paraId="111E58EA">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（1）正常：指标值处于[-50，+50]区间。</w:t>
      </w:r>
    </w:p>
    <w:p w14:paraId="5445C4BA">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（2）寒证：指标值低于-50。</w:t>
      </w:r>
    </w:p>
    <w:p w14:paraId="1398E47F">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（3）热证：指标值高于+50。</w:t>
      </w:r>
    </w:p>
    <w:p w14:paraId="6B829634">
      <w:pPr>
        <w:pStyle w:val="104"/>
        <w:numPr>
          <w:ilvl w:val="1"/>
          <w:numId w:val="0"/>
        </w:numPr>
        <w:spacing w:before="312" w:after="312"/>
        <w:ind w:leftChars="0"/>
        <w:rPr>
          <w:rFonts w:hint="eastAsia" w:hAnsi="Times New Roman" w:cs="Times New Roman"/>
        </w:rPr>
      </w:pPr>
      <w:bookmarkStart w:id="178" w:name="_Toc244263746"/>
      <w:r>
        <w:rPr>
          <w:rFonts w:hint="eastAsia" w:hAnsi="Times New Roman" w:cs="Times New Roman"/>
        </w:rPr>
        <w:t>7.4 错杂辨识</w:t>
      </w:r>
      <w:bookmarkEnd w:id="178"/>
    </w:p>
    <w:p w14:paraId="0BC94054">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79" w:name="_Toc244263747"/>
      <w:r>
        <w:rPr>
          <w:rFonts w:hint="eastAsia" w:ascii="黑体" w:hAnsi="黑体" w:eastAsia="黑体" w:cs="黑体"/>
          <w:color w:val="auto"/>
          <w:sz w:val="21"/>
          <w:szCs w:val="21"/>
        </w:rPr>
        <w:t>7.4.1 虚实错杂</w:t>
      </w:r>
      <w:bookmarkEnd w:id="179"/>
    </w:p>
    <w:p w14:paraId="42B59EAC">
      <w:pPr>
        <w:adjustRightInd/>
        <w:spacing w:line="276" w:lineRule="auto"/>
        <w:ind w:firstLine="420" w:firstLineChars="200"/>
        <w:rPr>
          <w:rFonts w:hint="eastAsia" w:ascii="宋体" w:hAnsi="宋体" w:eastAsia="宋体" w:cs="宋体"/>
          <w:color w:val="auto"/>
          <w:sz w:val="21"/>
          <w:szCs w:val="21"/>
        </w:rPr>
      </w:pPr>
      <w:r>
        <w:rPr>
          <w:rFonts w:hint="eastAsia" w:ascii="黑体" w:hAnsi="黑体" w:eastAsia="黑体" w:cs="黑体"/>
          <w:color w:val="auto"/>
          <w:sz w:val="21"/>
          <w:szCs w:val="21"/>
        </w:rPr>
        <w:t xml:space="preserve">7.4.1.1 </w:t>
      </w:r>
      <w:r>
        <w:rPr>
          <w:rFonts w:hint="eastAsia" w:ascii="宋体" w:hAnsi="宋体" w:eastAsia="宋体" w:cs="宋体"/>
          <w:color w:val="auto"/>
          <w:sz w:val="21"/>
          <w:szCs w:val="21"/>
        </w:rPr>
        <w:t>身体左右两侧原穴的检测指标所反映的虚证和实证属性相反时，通过计算同一原穴左右两侧虚实检测指标之差的绝对值得到虚实差值。若虚实差值大于50，则认定为虚实错杂。</w:t>
      </w:r>
    </w:p>
    <w:p w14:paraId="4C950340">
      <w:pPr>
        <w:adjustRightInd/>
        <w:spacing w:line="276" w:lineRule="auto"/>
        <w:ind w:firstLine="420" w:firstLineChars="200"/>
        <w:rPr>
          <w:rFonts w:hint="eastAsia" w:ascii="宋体" w:hAnsi="宋体" w:eastAsia="宋体" w:cs="宋体"/>
          <w:color w:val="auto"/>
          <w:sz w:val="21"/>
          <w:szCs w:val="21"/>
        </w:rPr>
      </w:pPr>
      <w:r>
        <w:rPr>
          <w:rFonts w:hint="eastAsia" w:ascii="黑体" w:hAnsi="黑体" w:eastAsia="黑体" w:cs="黑体"/>
          <w:color w:val="auto"/>
          <w:sz w:val="21"/>
          <w:szCs w:val="21"/>
        </w:rPr>
        <w:t xml:space="preserve">7.4.1.2 </w:t>
      </w:r>
      <w:r>
        <w:rPr>
          <w:rFonts w:hint="eastAsia" w:ascii="宋体" w:hAnsi="宋体" w:eastAsia="宋体" w:cs="宋体"/>
          <w:color w:val="auto"/>
          <w:sz w:val="21"/>
          <w:szCs w:val="21"/>
        </w:rPr>
        <w:t>虚实错杂表明该经络及对应脏腑正邪相干，左右两侧的正气不足与邪气亢盛并存，经络气血运行及相应脏腑功能处于失调状态。其中：</w:t>
      </w:r>
    </w:p>
    <w:p w14:paraId="0BAA9521">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（1）指标负值对应虚证，正值对应实证，绝对数值更高的一侧，症状表现居于主导。</w:t>
      </w:r>
    </w:p>
    <w:p w14:paraId="2A27D587">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（2）若两侧指标值均偏高，则提示正气亏虚显著与邪气亢盛并存，为较重的失调状态，可能存在邪气入里之态势。</w:t>
      </w:r>
    </w:p>
    <w:p w14:paraId="55375AE8">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80" w:name="_Toc244263748"/>
      <w:r>
        <w:rPr>
          <w:rFonts w:hint="eastAsia" w:ascii="黑体" w:hAnsi="黑体" w:eastAsia="黑体" w:cs="黑体"/>
          <w:color w:val="auto"/>
          <w:sz w:val="21"/>
          <w:szCs w:val="21"/>
        </w:rPr>
        <w:t>7.4.2 寒热错杂</w:t>
      </w:r>
      <w:bookmarkEnd w:id="180"/>
    </w:p>
    <w:p w14:paraId="47A75F55">
      <w:pPr>
        <w:adjustRightInd/>
        <w:spacing w:line="276" w:lineRule="auto"/>
        <w:ind w:firstLine="420" w:firstLineChars="200"/>
        <w:rPr>
          <w:rFonts w:hint="eastAsia" w:ascii="宋体" w:hAnsi="宋体" w:eastAsia="宋体" w:cs="宋体"/>
          <w:color w:val="auto"/>
          <w:sz w:val="21"/>
          <w:szCs w:val="21"/>
        </w:rPr>
      </w:pPr>
      <w:bookmarkStart w:id="181" w:name="OLE_LINK2"/>
      <w:bookmarkStart w:id="182" w:name="OLE_LINK1"/>
      <w:r>
        <w:rPr>
          <w:rFonts w:hint="eastAsia" w:ascii="黑体" w:hAnsi="黑体" w:eastAsia="黑体" w:cs="黑体"/>
          <w:color w:val="auto"/>
          <w:sz w:val="21"/>
          <w:szCs w:val="21"/>
        </w:rPr>
        <w:t>7.4.2.1</w:t>
      </w:r>
      <w:r>
        <w:rPr>
          <w:rFonts w:hint="eastAsia" w:ascii="宋体" w:hAnsi="宋体" w:eastAsia="宋体" w:cs="宋体"/>
          <w:color w:val="auto"/>
          <w:sz w:val="21"/>
          <w:szCs w:val="21"/>
        </w:rPr>
        <w:t xml:space="preserve"> </w:t>
      </w:r>
      <w:bookmarkEnd w:id="181"/>
      <w:bookmarkEnd w:id="182"/>
      <w:r>
        <w:rPr>
          <w:rFonts w:hint="eastAsia" w:ascii="宋体" w:hAnsi="宋体" w:eastAsia="宋体" w:cs="宋体"/>
          <w:color w:val="auto"/>
          <w:sz w:val="21"/>
          <w:szCs w:val="21"/>
        </w:rPr>
        <w:t>身体左右两侧原穴的检测指标所反映的寒证和热证属性相反时，通过计算同一原穴左右两侧寒热检测指标之差的绝对值得到寒热差值。若寒热差值大于50，则认定为寒热错杂。</w:t>
      </w:r>
    </w:p>
    <w:p w14:paraId="7B010CAD">
      <w:pPr>
        <w:adjustRightInd/>
        <w:spacing w:line="276" w:lineRule="auto"/>
        <w:ind w:firstLine="420" w:firstLineChars="200"/>
        <w:rPr>
          <w:rFonts w:hint="eastAsia" w:ascii="宋体" w:hAnsi="宋体" w:eastAsia="宋体" w:cs="宋体"/>
          <w:color w:val="auto"/>
          <w:sz w:val="21"/>
          <w:szCs w:val="21"/>
        </w:rPr>
      </w:pPr>
      <w:r>
        <w:rPr>
          <w:rFonts w:hint="eastAsia" w:ascii="黑体" w:hAnsi="黑体" w:eastAsia="黑体" w:cs="黑体"/>
          <w:color w:val="auto"/>
          <w:sz w:val="21"/>
          <w:szCs w:val="21"/>
        </w:rPr>
        <w:t xml:space="preserve">7.4.2.2 </w:t>
      </w:r>
      <w:r>
        <w:rPr>
          <w:rFonts w:hint="eastAsia" w:ascii="宋体" w:hAnsi="宋体" w:eastAsia="宋体" w:cs="宋体"/>
          <w:color w:val="auto"/>
          <w:sz w:val="21"/>
          <w:szCs w:val="21"/>
        </w:rPr>
        <w:t>寒热错杂表明该经络气血运行及相应脏腑功能处于失和状态。其中：</w:t>
      </w:r>
    </w:p>
    <w:p w14:paraId="72505004">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（1）指标负值对应寒证，正值对应热证，绝对数值更突出的一侧，症状表现居于主导。</w:t>
      </w:r>
    </w:p>
    <w:p w14:paraId="0E1A9D5F">
      <w:pPr>
        <w:adjustRightInd/>
        <w:spacing w:line="276"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（2）若两侧指标值均偏高，则提示寒证热证并存，交争激烈，为寒热较重的失和状态。</w:t>
      </w:r>
    </w:p>
    <w:p w14:paraId="2E13F8FD">
      <w:pPr>
        <w:pStyle w:val="104"/>
        <w:numPr>
          <w:ilvl w:val="1"/>
          <w:numId w:val="0"/>
        </w:numPr>
        <w:spacing w:before="312" w:after="312"/>
        <w:ind w:leftChars="0"/>
        <w:rPr>
          <w:rFonts w:hint="eastAsia" w:hAnsi="Times New Roman" w:cs="Times New Roman"/>
        </w:rPr>
      </w:pPr>
      <w:bookmarkStart w:id="183" w:name="_Toc244263749"/>
      <w:r>
        <w:rPr>
          <w:rFonts w:hint="eastAsia" w:hAnsi="Times New Roman" w:cs="Times New Roman"/>
        </w:rPr>
        <w:t>7.5 偏颇辨识</w:t>
      </w:r>
      <w:bookmarkEnd w:id="183"/>
    </w:p>
    <w:p w14:paraId="4F43D395">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84" w:name="_Toc244263750"/>
      <w:r>
        <w:rPr>
          <w:rFonts w:hint="eastAsia" w:ascii="黑体" w:hAnsi="黑体" w:eastAsia="黑体" w:cs="黑体"/>
          <w:color w:val="auto"/>
          <w:sz w:val="21"/>
          <w:szCs w:val="21"/>
        </w:rPr>
        <w:t>7.5.1 虚实偏颇</w:t>
      </w:r>
      <w:bookmarkEnd w:id="184"/>
    </w:p>
    <w:p w14:paraId="7818D484">
      <w:pPr>
        <w:adjustRightInd/>
        <w:spacing w:line="276" w:lineRule="auto"/>
        <w:ind w:firstLine="420" w:firstLineChars="200"/>
        <w:rPr>
          <w:rFonts w:hint="eastAsia" w:ascii="宋体" w:hAnsi="宋体" w:eastAsia="宋体" w:cs="宋体"/>
          <w:color w:val="auto"/>
          <w:sz w:val="21"/>
          <w:szCs w:val="21"/>
        </w:rPr>
      </w:pPr>
      <w:r>
        <w:rPr>
          <w:rFonts w:hint="eastAsia" w:ascii="黑体" w:hAnsi="黑体" w:eastAsia="黑体" w:cs="黑体"/>
          <w:color w:val="auto"/>
          <w:sz w:val="21"/>
          <w:szCs w:val="21"/>
        </w:rPr>
        <w:t xml:space="preserve">7.5.1.1 </w:t>
      </w:r>
      <w:r>
        <w:rPr>
          <w:rFonts w:hint="eastAsia" w:ascii="宋体" w:hAnsi="宋体" w:eastAsia="宋体" w:cs="宋体"/>
          <w:color w:val="auto"/>
          <w:sz w:val="21"/>
          <w:szCs w:val="21"/>
        </w:rPr>
        <w:t>同一经络左右两侧原穴的检测指标呈现虚实属性相同但存在较大差异的情况时，通过计算同一原穴左右两侧虚实属性检测指标的差值，当该值大于50时，认定为虚实偏颇。</w:t>
      </w:r>
    </w:p>
    <w:p w14:paraId="6B9DC08A">
      <w:pPr>
        <w:adjustRightInd/>
        <w:spacing w:line="276" w:lineRule="auto"/>
        <w:ind w:firstLine="420" w:firstLineChars="200"/>
        <w:rPr>
          <w:rFonts w:hint="eastAsia" w:ascii="宋体" w:hAnsi="宋体" w:eastAsia="宋体" w:cs="宋体"/>
          <w:color w:val="auto"/>
          <w:sz w:val="21"/>
          <w:szCs w:val="21"/>
        </w:rPr>
      </w:pPr>
      <w:r>
        <w:rPr>
          <w:rFonts w:hint="eastAsia" w:ascii="黑体" w:hAnsi="黑体" w:eastAsia="黑体" w:cs="黑体"/>
          <w:color w:val="auto"/>
          <w:sz w:val="21"/>
          <w:szCs w:val="21"/>
        </w:rPr>
        <w:t xml:space="preserve">7.5.1.2 </w:t>
      </w:r>
      <w:r>
        <w:rPr>
          <w:rFonts w:hint="eastAsia" w:ascii="宋体" w:hAnsi="宋体" w:eastAsia="宋体" w:cs="宋体"/>
          <w:color w:val="auto"/>
          <w:sz w:val="21"/>
          <w:szCs w:val="21"/>
        </w:rPr>
        <w:t>虚实偏颇时，临床可见相应虚证或实证表现，指标数值偏高一侧的症状更为突出，具体参照已列明的虚证或实证常见症状。</w:t>
      </w:r>
    </w:p>
    <w:p w14:paraId="1DF06040">
      <w:pPr>
        <w:keepNext/>
        <w:keepLines/>
        <w:adjustRightInd/>
        <w:spacing w:before="40" w:line="240" w:lineRule="auto"/>
        <w:ind w:firstLine="420" w:firstLineChars="200"/>
        <w:outlineLvl w:val="2"/>
        <w:rPr>
          <w:rFonts w:hint="eastAsia" w:ascii="黑体" w:hAnsi="黑体" w:eastAsia="黑体" w:cs="黑体"/>
          <w:color w:val="auto"/>
          <w:sz w:val="21"/>
          <w:szCs w:val="21"/>
        </w:rPr>
      </w:pPr>
      <w:bookmarkStart w:id="185" w:name="_Toc244263751"/>
      <w:r>
        <w:rPr>
          <w:rFonts w:hint="eastAsia" w:ascii="黑体" w:hAnsi="黑体" w:eastAsia="黑体" w:cs="黑体"/>
          <w:color w:val="auto"/>
          <w:sz w:val="21"/>
          <w:szCs w:val="21"/>
        </w:rPr>
        <w:t>7.5.2 寒热偏颇</w:t>
      </w:r>
      <w:bookmarkEnd w:id="185"/>
    </w:p>
    <w:p w14:paraId="29A9434E">
      <w:pPr>
        <w:adjustRightInd/>
        <w:spacing w:line="276" w:lineRule="auto"/>
        <w:ind w:firstLine="420" w:firstLineChars="200"/>
        <w:rPr>
          <w:rFonts w:hint="eastAsia" w:ascii="宋体" w:hAnsi="宋体" w:eastAsia="宋体" w:cs="宋体"/>
          <w:color w:val="auto"/>
          <w:sz w:val="21"/>
          <w:szCs w:val="21"/>
        </w:rPr>
      </w:pPr>
      <w:r>
        <w:rPr>
          <w:rFonts w:hint="eastAsia" w:ascii="黑体" w:hAnsi="黑体" w:eastAsia="黑体" w:cs="黑体"/>
          <w:color w:val="auto"/>
          <w:sz w:val="21"/>
          <w:szCs w:val="21"/>
        </w:rPr>
        <w:t xml:space="preserve">7.5.2.1 </w:t>
      </w:r>
      <w:r>
        <w:rPr>
          <w:rFonts w:hint="eastAsia" w:ascii="宋体" w:hAnsi="宋体" w:eastAsia="宋体" w:cs="宋体"/>
          <w:color w:val="auto"/>
          <w:sz w:val="21"/>
          <w:szCs w:val="21"/>
        </w:rPr>
        <w:t>同一经络左右两侧原穴的检测指标呈现寒热属性相同但存在较大差异的情况时，通过计算同一原穴左右两侧寒热检测指标的差值，当该差值大于50时，认定为寒热偏颇。</w:t>
      </w:r>
    </w:p>
    <w:p w14:paraId="5D87C8D2">
      <w:pPr>
        <w:adjustRightInd/>
        <w:spacing w:line="276" w:lineRule="auto"/>
        <w:ind w:firstLine="420" w:firstLineChars="200"/>
        <w:rPr>
          <w:rFonts w:hint="eastAsia" w:ascii="宋体" w:hAnsi="宋体" w:eastAsia="宋体" w:cs="宋体"/>
          <w:color w:val="auto"/>
          <w:sz w:val="21"/>
          <w:szCs w:val="21"/>
        </w:rPr>
      </w:pPr>
      <w:r>
        <w:rPr>
          <w:rFonts w:hint="eastAsia" w:ascii="黑体" w:hAnsi="黑体" w:eastAsia="黑体" w:cs="黑体"/>
          <w:color w:val="auto"/>
          <w:sz w:val="21"/>
          <w:szCs w:val="21"/>
        </w:rPr>
        <w:t xml:space="preserve">7.5.2.2 </w:t>
      </w:r>
      <w:r>
        <w:rPr>
          <w:rFonts w:hint="eastAsia" w:ascii="宋体" w:hAnsi="宋体" w:eastAsia="宋体" w:cs="宋体"/>
          <w:color w:val="auto"/>
          <w:sz w:val="21"/>
          <w:szCs w:val="21"/>
        </w:rPr>
        <w:t>寒热偏颇时，临床可见相应寒证或热证表现，指标数值偏高一侧的症状更为突出，具体参照已列明的寒证或热证常见症状。</w:t>
      </w:r>
    </w:p>
    <w:p w14:paraId="3D30170D">
      <w:pPr>
        <w:pStyle w:val="104"/>
        <w:numPr>
          <w:ilvl w:val="1"/>
          <w:numId w:val="0"/>
        </w:numPr>
        <w:spacing w:before="312" w:after="312"/>
        <w:ind w:leftChars="0"/>
        <w:rPr>
          <w:rFonts w:hint="eastAsia" w:hAnsi="Times New Roman" w:cs="Times New Roman"/>
        </w:rPr>
      </w:pPr>
      <w:bookmarkStart w:id="186" w:name="_Toc214557099"/>
      <w:bookmarkStart w:id="187" w:name="_Toc6776"/>
      <w:bookmarkStart w:id="188" w:name="_Toc22600"/>
      <w:bookmarkStart w:id="189" w:name="_Toc28974"/>
      <w:bookmarkStart w:id="190" w:name="_Toc24247"/>
      <w:bookmarkStart w:id="191" w:name="_Toc244263752"/>
      <w:r>
        <w:rPr>
          <w:rFonts w:hint="eastAsia" w:hAnsi="Times New Roman" w:cs="Times New Roman"/>
        </w:rPr>
        <w:t>8 经络健康状态</w:t>
      </w:r>
      <w:bookmarkEnd w:id="186"/>
      <w:bookmarkEnd w:id="187"/>
      <w:bookmarkEnd w:id="188"/>
      <w:bookmarkEnd w:id="189"/>
      <w:bookmarkEnd w:id="190"/>
      <w:r>
        <w:rPr>
          <w:rFonts w:hint="eastAsia" w:hAnsi="Times New Roman" w:cs="Times New Roman"/>
        </w:rPr>
        <w:t>辨识</w:t>
      </w:r>
      <w:bookmarkEnd w:id="191"/>
    </w:p>
    <w:p w14:paraId="78F123BD">
      <w:pPr>
        <w:pStyle w:val="104"/>
        <w:numPr>
          <w:ilvl w:val="1"/>
          <w:numId w:val="0"/>
        </w:numPr>
        <w:spacing w:before="312" w:after="312"/>
        <w:ind w:leftChars="0"/>
        <w:rPr>
          <w:rFonts w:hint="eastAsia" w:hAnsi="Times New Roman" w:cs="Times New Roman"/>
        </w:rPr>
      </w:pPr>
      <w:bookmarkStart w:id="192" w:name="_Toc17618"/>
      <w:bookmarkStart w:id="193" w:name="_Toc32014"/>
      <w:bookmarkStart w:id="194" w:name="_Toc214557101"/>
      <w:bookmarkStart w:id="195" w:name="_Toc24408"/>
      <w:bookmarkStart w:id="196" w:name="_Toc11575"/>
      <w:bookmarkStart w:id="197" w:name="_Toc244263753"/>
      <w:bookmarkStart w:id="198" w:name="_Toc4303"/>
      <w:bookmarkStart w:id="199" w:name="_Toc5151"/>
      <w:bookmarkStart w:id="200" w:name="_Toc18246"/>
      <w:bookmarkStart w:id="201" w:name="_Toc13379"/>
      <w:bookmarkStart w:id="202" w:name="_Toc214557100"/>
      <w:bookmarkStart w:id="203" w:name="_Toc17505"/>
      <w:r>
        <w:rPr>
          <w:rFonts w:hint="eastAsia" w:hAnsi="Times New Roman" w:cs="Times New Roman"/>
        </w:rPr>
        <w:t>8.1 经络健康状态</w:t>
      </w:r>
      <w:bookmarkEnd w:id="192"/>
      <w:bookmarkEnd w:id="193"/>
      <w:bookmarkEnd w:id="194"/>
      <w:bookmarkEnd w:id="195"/>
      <w:bookmarkEnd w:id="196"/>
      <w:r>
        <w:rPr>
          <w:rFonts w:hint="eastAsia" w:hAnsi="Times New Roman" w:cs="Times New Roman"/>
        </w:rPr>
        <w:t>辨识原则</w:t>
      </w:r>
      <w:bookmarkEnd w:id="197"/>
      <w:bookmarkEnd w:id="198"/>
    </w:p>
    <w:p w14:paraId="55F4F794">
      <w:pPr>
        <w:adjustRightInd/>
        <w:spacing w:line="276" w:lineRule="auto"/>
        <w:ind w:firstLine="420" w:firstLineChars="200"/>
        <w:rPr>
          <w:rFonts w:hint="eastAsia" w:ascii="宋体" w:hAnsi="宋体" w:eastAsia="宋体" w:cs="宋体"/>
          <w:color w:val="auto"/>
          <w:sz w:val="21"/>
          <w:szCs w:val="21"/>
        </w:rPr>
      </w:pPr>
      <w:r>
        <w:rPr>
          <w:rFonts w:hint="eastAsia" w:ascii="黑体" w:hAnsi="Times New Roman" w:eastAsia="黑体" w:cs="Times New Roman"/>
          <w:kern w:val="0"/>
          <w:sz w:val="21"/>
          <w:szCs w:val="20"/>
          <w:lang w:val="en-US" w:eastAsia="zh-CN" w:bidi="ar-SA"/>
        </w:rPr>
        <w:t xml:space="preserve">8.1.1 </w:t>
      </w:r>
      <w:r>
        <w:rPr>
          <w:rFonts w:hint="eastAsia" w:ascii="宋体" w:hAnsi="宋体" w:eastAsia="宋体" w:cs="宋体"/>
          <w:color w:val="auto"/>
          <w:sz w:val="21"/>
          <w:szCs w:val="21"/>
        </w:rPr>
        <w:t>经络健康状态应优先评估与检测者症状最直接、最突出、最主要相关的经络。若该经络无明显异常，需进一步排查其表里经。若表里经正常，需排查是否存在的相生经络异常或相克经络异常。</w:t>
      </w:r>
    </w:p>
    <w:p w14:paraId="31CAD497">
      <w:pPr>
        <w:adjustRightInd/>
        <w:spacing w:line="276" w:lineRule="auto"/>
        <w:ind w:firstLine="420" w:firstLineChars="200"/>
        <w:rPr>
          <w:rFonts w:hint="eastAsia" w:ascii="宋体" w:hAnsi="宋体" w:eastAsia="宋体" w:cs="宋体"/>
          <w:color w:val="auto"/>
          <w:sz w:val="21"/>
          <w:szCs w:val="21"/>
        </w:rPr>
      </w:pPr>
      <w:r>
        <w:rPr>
          <w:rFonts w:hint="eastAsia" w:ascii="黑体" w:hAnsi="Times New Roman" w:eastAsia="黑体" w:cs="Times New Roman"/>
          <w:kern w:val="0"/>
          <w:sz w:val="21"/>
          <w:szCs w:val="20"/>
          <w:lang w:val="en-US" w:eastAsia="zh-CN" w:bidi="ar-SA"/>
        </w:rPr>
        <w:t xml:space="preserve">8.1.2 </w:t>
      </w:r>
      <w:r>
        <w:rPr>
          <w:rFonts w:hint="eastAsia" w:ascii="宋体" w:hAnsi="宋体" w:eastAsia="宋体" w:cs="宋体"/>
          <w:color w:val="auto"/>
          <w:sz w:val="21"/>
          <w:szCs w:val="21"/>
        </w:rPr>
        <w:t>当一个健康问题涉及多条经络时或无主诉健康问题时，优先选择“错杂”性质的异常经络进行评估，其次评估“偏颇”性质的异常的经络，最后根据虚实/寒热属性的异常数值的轻重程度，由重到轻依次评估。</w:t>
      </w:r>
    </w:p>
    <w:p w14:paraId="4D4A66F1">
      <w:pPr>
        <w:adjustRightInd/>
        <w:spacing w:line="276" w:lineRule="auto"/>
        <w:ind w:firstLine="420" w:firstLineChars="200"/>
        <w:rPr>
          <w:rFonts w:hint="eastAsia" w:ascii="宋体" w:hAnsi="宋体" w:eastAsia="宋体" w:cs="宋体"/>
          <w:color w:val="auto"/>
          <w:sz w:val="21"/>
          <w:szCs w:val="21"/>
        </w:rPr>
      </w:pPr>
      <w:r>
        <w:rPr>
          <w:rFonts w:hint="eastAsia" w:ascii="黑体" w:hAnsi="Times New Roman" w:eastAsia="黑体" w:cs="Times New Roman"/>
          <w:kern w:val="0"/>
          <w:sz w:val="21"/>
          <w:szCs w:val="20"/>
          <w:lang w:val="en-US" w:eastAsia="zh-CN" w:bidi="ar-SA"/>
        </w:rPr>
        <w:t xml:space="preserve">8.1.3 </w:t>
      </w:r>
      <w:r>
        <w:rPr>
          <w:rFonts w:hint="eastAsia" w:ascii="宋体" w:hAnsi="宋体" w:eastAsia="宋体" w:cs="宋体"/>
          <w:color w:val="auto"/>
          <w:sz w:val="21"/>
          <w:szCs w:val="21"/>
        </w:rPr>
        <w:t>当一个健康问题涉及的异常经络不是最严重的异常经络，但这是被检测者最关心的健康问题，因此该经络的评估优先级最高。</w:t>
      </w:r>
    </w:p>
    <w:p w14:paraId="3A5C0D55">
      <w:pPr>
        <w:adjustRightInd/>
        <w:spacing w:line="276" w:lineRule="auto"/>
        <w:ind w:firstLine="420" w:firstLineChars="200"/>
        <w:rPr>
          <w:rFonts w:hint="eastAsia" w:ascii="宋体" w:hAnsi="宋体" w:eastAsia="宋体" w:cs="宋体"/>
          <w:color w:val="auto"/>
          <w:sz w:val="21"/>
          <w:szCs w:val="21"/>
        </w:rPr>
      </w:pPr>
      <w:r>
        <w:rPr>
          <w:rFonts w:hint="eastAsia" w:ascii="黑体" w:hAnsi="Times New Roman" w:eastAsia="黑体" w:cs="Times New Roman"/>
          <w:kern w:val="0"/>
          <w:sz w:val="21"/>
          <w:szCs w:val="20"/>
          <w:lang w:val="en-US" w:eastAsia="zh-CN" w:bidi="ar-SA"/>
        </w:rPr>
        <w:t>8.1.4</w:t>
      </w:r>
      <w:r>
        <w:rPr>
          <w:rFonts w:hint="eastAsia" w:ascii="宋体" w:hAnsi="宋体" w:eastAsia="宋体" w:cs="宋体"/>
          <w:color w:val="auto"/>
          <w:sz w:val="21"/>
          <w:szCs w:val="21"/>
        </w:rPr>
        <w:t xml:space="preserve"> 当一个健康问题找不到直接相关异常经络时，则应找到多个与该健康问题相关的异常经络，评估十二经整体健康状态。</w:t>
      </w:r>
    </w:p>
    <w:p w14:paraId="7878514A">
      <w:pPr>
        <w:pStyle w:val="104"/>
        <w:numPr>
          <w:ilvl w:val="1"/>
          <w:numId w:val="0"/>
        </w:numPr>
        <w:spacing w:before="312" w:after="312"/>
        <w:ind w:leftChars="0"/>
        <w:rPr>
          <w:rFonts w:hint="eastAsia" w:hAnsi="Times New Roman" w:cs="Times New Roman"/>
        </w:rPr>
      </w:pPr>
      <w:bookmarkStart w:id="204" w:name="_Toc244263754"/>
      <w:r>
        <w:rPr>
          <w:rFonts w:hint="eastAsia" w:hAnsi="Times New Roman" w:cs="Times New Roman"/>
        </w:rPr>
        <w:t>8.2 经络健康状态的评估</w:t>
      </w:r>
      <w:bookmarkEnd w:id="199"/>
      <w:bookmarkEnd w:id="200"/>
      <w:bookmarkEnd w:id="201"/>
      <w:bookmarkEnd w:id="202"/>
      <w:bookmarkEnd w:id="203"/>
      <w:bookmarkEnd w:id="204"/>
    </w:p>
    <w:p w14:paraId="3AD374CD">
      <w:pPr>
        <w:adjustRightInd/>
        <w:spacing w:line="276" w:lineRule="auto"/>
        <w:ind w:firstLine="360"/>
        <w:rPr>
          <w:rFonts w:hint="eastAsia" w:ascii="宋体" w:hAnsi="宋体" w:eastAsia="宋体" w:cs="宋体"/>
          <w:color w:val="auto"/>
          <w:sz w:val="21"/>
          <w:szCs w:val="21"/>
        </w:rPr>
      </w:pPr>
      <w:r>
        <w:rPr>
          <w:rFonts w:hint="eastAsia" w:ascii="黑体" w:hAnsi="Times New Roman" w:eastAsia="黑体" w:cs="Times New Roman"/>
          <w:kern w:val="0"/>
          <w:sz w:val="21"/>
          <w:szCs w:val="20"/>
          <w:lang w:val="en-US" w:eastAsia="zh-CN" w:bidi="ar-SA"/>
        </w:rPr>
        <w:t>8.2.1</w:t>
      </w:r>
      <w:r>
        <w:rPr>
          <w:rFonts w:hint="eastAsia" w:ascii="宋体" w:hAnsi="宋体" w:eastAsia="宋体" w:cs="宋体"/>
          <w:color w:val="auto"/>
          <w:sz w:val="21"/>
          <w:szCs w:val="21"/>
        </w:rPr>
        <w:t xml:space="preserve"> 经络健康状态可分为正常和异常两种。身体左右两侧原穴的虚实寒热检测属性性质相同且处于[-50, +50]区间，或身体左右两侧原穴的虚实寒热检测属性性质不同且指标之差的绝对值小于50的状态为正常状态，正常以外的状态为异常状态。</w:t>
      </w:r>
    </w:p>
    <w:p w14:paraId="039A29EA">
      <w:pPr>
        <w:adjustRightInd/>
        <w:spacing w:line="276" w:lineRule="auto"/>
        <w:ind w:firstLine="360"/>
        <w:rPr>
          <w:rFonts w:hint="eastAsia" w:ascii="宋体" w:hAnsi="宋体" w:eastAsia="宋体" w:cs="宋体"/>
          <w:color w:val="auto"/>
          <w:sz w:val="21"/>
          <w:szCs w:val="21"/>
        </w:rPr>
      </w:pPr>
      <w:r>
        <w:rPr>
          <w:rFonts w:hint="eastAsia" w:ascii="黑体" w:hAnsi="Times New Roman" w:eastAsia="黑体" w:cs="Times New Roman"/>
          <w:kern w:val="0"/>
          <w:sz w:val="21"/>
          <w:szCs w:val="20"/>
          <w:lang w:val="en-US" w:eastAsia="zh-CN" w:bidi="ar-SA"/>
        </w:rPr>
        <w:t xml:space="preserve">8.2.2 </w:t>
      </w:r>
      <w:r>
        <w:rPr>
          <w:rFonts w:hint="eastAsia" w:ascii="宋体" w:hAnsi="宋体" w:eastAsia="宋体" w:cs="宋体"/>
          <w:color w:val="auto"/>
          <w:sz w:val="21"/>
          <w:szCs w:val="21"/>
        </w:rPr>
        <w:t>异常状态可分为“虚证”“实证”“寒证”“热证”“虚实错杂”“寒热错杂”“虚实偏颇”“寒热偏颇”8个不同状态。</w:t>
      </w:r>
      <w:bookmarkStart w:id="210" w:name="_GoBack"/>
      <w:bookmarkEnd w:id="210"/>
    </w:p>
    <w:p w14:paraId="7739F086">
      <w:pPr>
        <w:adjustRightInd/>
        <w:spacing w:line="276" w:lineRule="auto"/>
        <w:ind w:firstLine="420" w:firstLineChars="200"/>
        <w:rPr>
          <w:rFonts w:hint="eastAsia" w:ascii="宋体" w:hAnsi="宋体" w:eastAsia="宋体" w:cs="宋体"/>
          <w:color w:val="auto"/>
          <w:sz w:val="21"/>
          <w:szCs w:val="21"/>
        </w:rPr>
      </w:pPr>
    </w:p>
    <w:p w14:paraId="6F18808E">
      <w:pPr>
        <w:adjustRightInd/>
        <w:spacing w:line="276" w:lineRule="auto"/>
        <w:ind w:firstLine="420" w:firstLineChars="200"/>
        <w:rPr>
          <w:rFonts w:hint="eastAsia" w:ascii="宋体" w:hAnsi="宋体" w:eastAsia="宋体" w:cs="宋体"/>
          <w:color w:val="auto"/>
          <w:sz w:val="21"/>
          <w:szCs w:val="21"/>
        </w:rPr>
      </w:pPr>
    </w:p>
    <w:p w14:paraId="1A08AF97">
      <w:pPr>
        <w:pStyle w:val="63"/>
        <w:shd w:val="clear" w:color="FFFFFF" w:fill="FFFFFF"/>
        <w:spacing w:after="156"/>
        <w:rPr>
          <w:rFonts w:hint="eastAsia" w:cs="Times New Roman"/>
          <w:spacing w:val="105"/>
        </w:rPr>
      </w:pPr>
      <w:bookmarkStart w:id="205" w:name="_Toc10323"/>
      <w:bookmarkStart w:id="206" w:name="_Toc244263755"/>
      <w:bookmarkStart w:id="207" w:name="_Toc16454"/>
      <w:bookmarkStart w:id="208" w:name="_Toc17165"/>
      <w:bookmarkStart w:id="209" w:name="_Toc29101"/>
      <w:r>
        <w:rPr>
          <w:rFonts w:hint="eastAsia" w:cs="Times New Roman"/>
          <w:spacing w:val="105"/>
        </w:rPr>
        <w:t>参考文献</w:t>
      </w:r>
      <w:bookmarkEnd w:id="205"/>
      <w:bookmarkEnd w:id="206"/>
      <w:bookmarkEnd w:id="207"/>
      <w:bookmarkEnd w:id="208"/>
      <w:bookmarkEnd w:id="209"/>
    </w:p>
    <w:p w14:paraId="5A44EBD3">
      <w:pPr>
        <w:pStyle w:val="56"/>
        <w:ind w:firstLine="420"/>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[1] 《穴位阻抗检测设备》，YY/T1661-2019，国家药品监督管理局，2019-7-24发布，2020-8-1实施。</w:t>
      </w:r>
    </w:p>
    <w:p w14:paraId="2117F1CB">
      <w:pPr>
        <w:pStyle w:val="56"/>
        <w:ind w:firstLine="420"/>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[2] 单片机在JXT-2型经络穴位特性图示仪中的应用，北京航空航天大学科学研究报告，第六研究室，董云凤、刘亦鸣，1989.11。</w:t>
      </w:r>
    </w:p>
    <w:p w14:paraId="2EA3C10E">
      <w:pPr>
        <w:pStyle w:val="56"/>
        <w:ind w:firstLine="420"/>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[3] 经络电测量诊疗法，冶金工业部，钢铁研究院经络研究组，李春浩，1971。</w:t>
      </w:r>
    </w:p>
    <w:p w14:paraId="5B31F46D">
      <w:pPr>
        <w:pStyle w:val="56"/>
        <w:ind w:firstLine="420"/>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[4] 经络寒热与经络原穴伏安特性曲线的关系，中国针灸，2007 年 1 月，第 27 卷第 1 期，解放军总医院，丁宇、石现、关玲杨、卓白晶、张伟平。</w:t>
      </w:r>
    </w:p>
    <w:p w14:paraId="267AD83C">
      <w:pPr>
        <w:pStyle w:val="56"/>
        <w:ind w:firstLine="420"/>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[5] TDS中医经络健康检测仪的原理和功用，中医学报，2011年4月1日第4期第26卷，南京中医药大学，朱亮、骆文斌、吴承玉。</w:t>
      </w:r>
    </w:p>
    <w:p w14:paraId="51C63915">
      <w:pPr>
        <w:pStyle w:val="56"/>
        <w:ind w:firstLine="420"/>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[6] 《便携式经络健康检测仪》，青旅时代健康管理（北京）有限公司企业标准。</w:t>
      </w:r>
    </w:p>
    <w:p w14:paraId="3C88B8D0">
      <w:pPr>
        <w:pStyle w:val="56"/>
        <w:ind w:firstLine="420"/>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[7] 《经络健康检测仪》，兴田健康产业（合肥）有限公司企业标准。</w:t>
      </w:r>
    </w:p>
    <w:p w14:paraId="6426E9C3">
      <w:pPr>
        <w:pStyle w:val="56"/>
        <w:ind w:firstLine="420"/>
        <w:rPr>
          <w:rFonts w:hint="eastAsia" w:ascii="Times New Roman" w:hAnsi="Times New Roman" w:eastAsia="宋体" w:cs="Times New Roman"/>
          <w:sz w:val="21"/>
          <w:lang w:val="en-US" w:eastAsia="zh-CN" w:bidi="ar-SA"/>
        </w:rPr>
      </w:pPr>
      <w:r>
        <w:rPr>
          <w:rFonts w:hint="eastAsia" w:ascii="Times New Roman" w:hAnsi="Times New Roman" w:eastAsia="宋体" w:cs="Times New Roman"/>
          <w:sz w:val="21"/>
          <w:lang w:val="en-US" w:eastAsia="zh-CN" w:bidi="ar-SA"/>
        </w:rPr>
        <w:t>[8] 《经络健康检测仪》，广东筑宾健康产业有限公司企业标准。</w:t>
      </w:r>
    </w:p>
    <w:bookmarkEnd w:id="30"/>
    <w:p w14:paraId="348E5DBB">
      <w:pPr>
        <w:pStyle w:val="56"/>
        <w:ind w:left="0" w:leftChars="0" w:firstLine="0" w:firstLineChars="0"/>
        <w:rPr>
          <w:rFonts w:hint="eastAsia" w:ascii="Times New Roman" w:hAnsi="Times New Roman" w:eastAsia="宋体" w:cs="Times New Roman"/>
          <w:sz w:val="21"/>
          <w:lang w:val="en-US" w:eastAsia="zh-CN" w:bidi="ar-SA"/>
        </w:rPr>
      </w:pPr>
      <w:r>
        <w:rPr>
          <w:rFonts w:hint="eastAsia"/>
          <w:lang w:eastAsia="zh-CN"/>
        </w:rPr>
        <w:drawing>
          <wp:anchor distT="0" distB="0" distL="114300" distR="114300" simplePos="0" relativeHeight="251661312" behindDoc="0" locked="0" layoutInCell="1" allowOverlap="1">
            <wp:simplePos x="0" y="0"/>
            <wp:positionH relativeFrom="column">
              <wp:posOffset>1943100</wp:posOffset>
            </wp:positionH>
            <wp:positionV relativeFrom="paragraph">
              <wp:posOffset>120650</wp:posOffset>
            </wp:positionV>
            <wp:extent cx="2047875" cy="466725"/>
            <wp:effectExtent l="0" t="0" r="9525" b="9525"/>
            <wp:wrapNone/>
            <wp:docPr id="6" name="图片 4" descr="e7bfe1a7-d394-461c-8435-ee32f22ca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e7bfe1a7-d394-461c-8435-ee32f22cae45"/>
                    <pic:cNvPicPr>
                      <a:picLocks noChangeAspect="1"/>
                    </pic:cNvPicPr>
                  </pic:nvPicPr>
                  <pic:blipFill>
                    <a:blip r:embed="rId17"/>
                    <a:stretch>
                      <a:fillRect/>
                    </a:stretch>
                  </pic:blipFill>
                  <pic:spPr>
                    <a:xfrm>
                      <a:off x="0" y="0"/>
                      <a:ext cx="2047875" cy="466725"/>
                    </a:xfrm>
                    <a:prstGeom prst="rect">
                      <a:avLst/>
                    </a:prstGeom>
                    <a:noFill/>
                    <a:ln>
                      <a:noFill/>
                    </a:ln>
                  </pic:spPr>
                </pic:pic>
              </a:graphicData>
            </a:graphic>
          </wp:anchor>
        </w:drawing>
      </w:r>
    </w:p>
    <w:p w14:paraId="17FCB812">
      <w:pPr>
        <w:widowControl/>
        <w:adjustRightInd/>
        <w:spacing w:line="240" w:lineRule="auto"/>
        <w:jc w:val="left"/>
        <w:rPr>
          <w:rFonts w:hint="eastAsia" w:ascii="宋体" w:hAnsi="宋体" w:eastAsia="宋体" w:cs="宋体"/>
          <w:color w:val="auto"/>
          <w:sz w:val="21"/>
          <w:szCs w:val="21"/>
        </w:rPr>
      </w:pPr>
    </w:p>
    <w:sectPr>
      <w:headerReference r:id="rId11" w:type="default"/>
      <w:footerReference r:id="rId13" w:type="default"/>
      <w:headerReference r:id="rId12" w:type="even"/>
      <w:pgSz w:w="11906" w:h="16838"/>
      <w:pgMar w:top="1928" w:right="1134" w:bottom="1134" w:left="1134" w:header="1418" w:footer="1134" w:gutter="284"/>
      <w:pgNumType w:start="1"/>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AA83B">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D414C">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43E85">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A0165">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88FFB">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ABB2">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41E6D">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255D3">
    <w:pPr>
      <w:pStyle w:val="61"/>
      <w:rPr>
        <w:rFonts w:hint="eastAsia"/>
      </w:rPr>
    </w:pPr>
    <w:r>
      <w:fldChar w:fldCharType="begin"/>
    </w:r>
    <w:r>
      <w:instrText xml:space="preserve"> STYLEREF  标准文件_文件编号  \* MERGEFORMAT </w:instrText>
    </w:r>
    <w:r>
      <w:fldChar w:fldCharType="separate"/>
    </w:r>
    <w:r>
      <w:t>T/XXX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70401">
    <w:pPr>
      <w:pStyle w:val="18"/>
      <w:jc w:val="right"/>
    </w:pPr>
    <w:r>
      <w:fldChar w:fldCharType="begin"/>
    </w:r>
    <w:r>
      <w:instrText xml:space="preserve"> STYLEREF  标准文件_文件编号  \* MERGEFORMAT </w:instrText>
    </w:r>
    <w:r>
      <w:fldChar w:fldCharType="separate"/>
    </w:r>
    <w:r>
      <w:t>T/XXX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1" w:cryptProviderType="rsaAES" w:cryptAlgorithmClass="hash" w:cryptAlgorithmType="typeAny" w:cryptAlgorithmSid="14" w:cryptSpinCount="100000" w:hash="TD8JjxQxiYsbx7ihIO8lgejWYiPEXZa+5y2nJanij2cEVTuYXMU7mE65WFzK0bMr1YJjtKxLcv9hZO4V7KjFnA==" w:salt="YmAso/DaHRrr/NqYKWDqVg=="/>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FE6"/>
    <w:rsid w:val="0000040A"/>
    <w:rsid w:val="00000A94"/>
    <w:rsid w:val="00001972"/>
    <w:rsid w:val="00001D9A"/>
    <w:rsid w:val="00006E93"/>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546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32F"/>
    <w:rsid w:val="00607D29"/>
    <w:rsid w:val="00612952"/>
    <w:rsid w:val="00614CC1"/>
    <w:rsid w:val="00615A9D"/>
    <w:rsid w:val="00617387"/>
    <w:rsid w:val="006205D6"/>
    <w:rsid w:val="006252D8"/>
    <w:rsid w:val="006259BC"/>
    <w:rsid w:val="0062636B"/>
    <w:rsid w:val="00632182"/>
    <w:rsid w:val="00632AE0"/>
    <w:rsid w:val="00633C17"/>
    <w:rsid w:val="00634D9E"/>
    <w:rsid w:val="00635724"/>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559"/>
    <w:rsid w:val="0069396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3FE6"/>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1FDC"/>
    <w:rsid w:val="008F4C29"/>
    <w:rsid w:val="008F70BD"/>
    <w:rsid w:val="008F788F"/>
    <w:rsid w:val="008F7EA2"/>
    <w:rsid w:val="00902722"/>
    <w:rsid w:val="009027BC"/>
    <w:rsid w:val="00905FEF"/>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1608"/>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408"/>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65344DE"/>
    <w:rsid w:val="0B512FB6"/>
    <w:rsid w:val="0F3C4F8C"/>
    <w:rsid w:val="12582E7C"/>
    <w:rsid w:val="1627221C"/>
    <w:rsid w:val="16D57556"/>
    <w:rsid w:val="19E215E1"/>
    <w:rsid w:val="1B444488"/>
    <w:rsid w:val="1B8E37DE"/>
    <w:rsid w:val="1D540F6D"/>
    <w:rsid w:val="2077476C"/>
    <w:rsid w:val="222F1E4B"/>
    <w:rsid w:val="239F6B5C"/>
    <w:rsid w:val="241565BF"/>
    <w:rsid w:val="27C26695"/>
    <w:rsid w:val="2D6A07AF"/>
    <w:rsid w:val="2EB40924"/>
    <w:rsid w:val="2F76433B"/>
    <w:rsid w:val="383A26CD"/>
    <w:rsid w:val="3B8907CC"/>
    <w:rsid w:val="3EAF5B65"/>
    <w:rsid w:val="41BB2BB0"/>
    <w:rsid w:val="4224068F"/>
    <w:rsid w:val="4295347D"/>
    <w:rsid w:val="48DD14BD"/>
    <w:rsid w:val="4A2A7770"/>
    <w:rsid w:val="4AD30A19"/>
    <w:rsid w:val="4DF6221A"/>
    <w:rsid w:val="4E676743"/>
    <w:rsid w:val="5232688C"/>
    <w:rsid w:val="55DF4BE8"/>
    <w:rsid w:val="597F77E2"/>
    <w:rsid w:val="619C73B1"/>
    <w:rsid w:val="61D76EE6"/>
    <w:rsid w:val="67183B38"/>
    <w:rsid w:val="694B2B30"/>
    <w:rsid w:val="6D54286C"/>
    <w:rsid w:val="70A906E5"/>
    <w:rsid w:val="76182881"/>
    <w:rsid w:val="7C706380"/>
    <w:rsid w:val="7CBB4B08"/>
    <w:rsid w:val="7EB77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0" w:name="toc 8"/>
    <w:lsdException w:uiPriority="0" w:name="toc 9"/>
    <w:lsdException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uiPriority w:val="39"/>
    <w:pPr>
      <w:tabs>
        <w:tab w:val="right" w:leader="dot" w:pos="9344"/>
      </w:tabs>
      <w:spacing w:line="300" w:lineRule="exact"/>
      <w:ind w:left="1259"/>
    </w:pPr>
    <w:rPr>
      <w:rFonts w:ascii="宋体"/>
    </w:rPr>
  </w:style>
  <w:style w:type="paragraph" w:styleId="12">
    <w:name w:val="Normal Indent"/>
    <w:basedOn w:val="1"/>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uiPriority w:val="39"/>
    <w:pPr>
      <w:ind w:left="839"/>
    </w:pPr>
    <w:rPr>
      <w:rFonts w:ascii="宋体"/>
    </w:rPr>
  </w:style>
  <w:style w:type="paragraph" w:styleId="15">
    <w:name w:val="toc 3"/>
    <w:basedOn w:val="1"/>
    <w:next w:val="1"/>
    <w:autoRedefine/>
    <w:unhideWhenUsed/>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uiPriority w:val="39"/>
    <w:rPr>
      <w:rFonts w:ascii="宋体"/>
    </w:rPr>
  </w:style>
  <w:style w:type="paragraph" w:styleId="20">
    <w:name w:val="toc 4"/>
    <w:basedOn w:val="1"/>
    <w:next w:val="1"/>
    <w:autoRedefine/>
    <w:unhideWhenUsed/>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uiPriority w:val="39"/>
    <w:pPr>
      <w:spacing w:line="300" w:lineRule="exact"/>
      <w:ind w:left="1049"/>
    </w:pPr>
    <w:rPr>
      <w:rFonts w:ascii="宋体"/>
    </w:rPr>
  </w:style>
  <w:style w:type="paragraph" w:styleId="23">
    <w:name w:val="table of figures"/>
    <w:basedOn w:val="1"/>
    <w:next w:val="1"/>
    <w:semiHidden/>
    <w:uiPriority w:val="0"/>
    <w:pPr>
      <w:adjustRightInd/>
      <w:spacing w:line="240" w:lineRule="auto"/>
      <w:jc w:val="left"/>
    </w:pPr>
    <w:rPr>
      <w:szCs w:val="24"/>
    </w:rPr>
  </w:style>
  <w:style w:type="paragraph" w:styleId="24">
    <w:name w:val="toc 2"/>
    <w:basedOn w:val="1"/>
    <w:next w:val="1"/>
    <w:autoRedefine/>
    <w:unhideWhenUsed/>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uiPriority w:val="0"/>
    <w:rPr>
      <w:rFonts w:ascii="Arial" w:hAnsi="Arial" w:eastAsia="宋体" w:cs="Arial"/>
      <w:color w:val="auto"/>
      <w:spacing w:val="0"/>
      <w:sz w:val="20"/>
    </w:rPr>
  </w:style>
  <w:style w:type="character" w:customStyle="1" w:styleId="137">
    <w:name w:val="个人撰写风格"/>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uiPriority w:val="0"/>
    <w:pPr>
      <w:tabs>
        <w:tab w:val="left" w:pos="840"/>
      </w:tabs>
    </w:pPr>
  </w:style>
  <w:style w:type="paragraph" w:customStyle="1" w:styleId="141">
    <w:name w:val="目次、索引正文"/>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uiPriority w:val="0"/>
    <w:pPr>
      <w:adjustRightInd/>
      <w:spacing w:line="240" w:lineRule="auto"/>
      <w:jc w:val="left"/>
    </w:pPr>
    <w:rPr>
      <w:bCs/>
      <w:iCs/>
    </w:rPr>
  </w:style>
  <w:style w:type="paragraph" w:customStyle="1" w:styleId="143">
    <w:name w:val="目录 31"/>
    <w:basedOn w:val="1"/>
    <w:next w:val="1"/>
    <w:autoRedefine/>
    <w:semiHidden/>
    <w:uiPriority w:val="0"/>
    <w:pPr>
      <w:spacing w:line="240" w:lineRule="auto"/>
    </w:pPr>
    <w:rPr>
      <w:rFonts w:ascii="宋体" w:hAnsi="宋体"/>
      <w:iCs/>
    </w:rPr>
  </w:style>
  <w:style w:type="paragraph" w:customStyle="1" w:styleId="144">
    <w:name w:val="目录 41"/>
    <w:basedOn w:val="1"/>
    <w:next w:val="1"/>
    <w:autoRedefine/>
    <w:semiHidden/>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uiPriority w:val="0"/>
    <w:pPr>
      <w:adjustRightInd/>
      <w:spacing w:line="240" w:lineRule="auto"/>
      <w:jc w:val="left"/>
    </w:pPr>
  </w:style>
  <w:style w:type="paragraph" w:customStyle="1" w:styleId="147">
    <w:name w:val="目录 71"/>
    <w:basedOn w:val="146"/>
    <w:autoRedefine/>
    <w:semiHidden/>
    <w:uiPriority w:val="0"/>
    <w:pPr>
      <w:ind w:left="1260"/>
    </w:pPr>
  </w:style>
  <w:style w:type="paragraph" w:customStyle="1" w:styleId="148">
    <w:name w:val="目录 81"/>
    <w:basedOn w:val="147"/>
    <w:autoRedefine/>
    <w:semiHidden/>
    <w:uiPriority w:val="0"/>
    <w:pPr>
      <w:ind w:left="1470"/>
    </w:pPr>
  </w:style>
  <w:style w:type="paragraph" w:customStyle="1" w:styleId="149">
    <w:name w:val="目录 91"/>
    <w:basedOn w:val="148"/>
    <w:autoRedefine/>
    <w:semiHidden/>
    <w:uiPriority w:val="0"/>
    <w:pPr>
      <w:ind w:left="1680"/>
    </w:pPr>
  </w:style>
  <w:style w:type="paragraph" w:customStyle="1" w:styleId="150">
    <w:name w:val="其他标准称谓"/>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uiPriority w:val="0"/>
    <w:pPr>
      <w:numPr>
        <w:ilvl w:val="5"/>
        <w:numId w:val="20"/>
      </w:numPr>
      <w:adjustRightInd/>
      <w:spacing w:line="240" w:lineRule="auto"/>
    </w:pPr>
    <w:rPr>
      <w:rFonts w:ascii="宋体" w:hAnsi="宋体"/>
      <w:szCs w:val="24"/>
    </w:rPr>
  </w:style>
  <w:style w:type="paragraph" w:customStyle="1" w:styleId="156">
    <w:name w:val="文献分类号"/>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uiPriority w:val="0"/>
    <w:pPr>
      <w:jc w:val="both"/>
    </w:pPr>
    <w:rPr>
      <w:rFonts w:ascii="宋体" w:hAnsi="宋体" w:eastAsia="宋体" w:cs="Times New Roman"/>
      <w:sz w:val="21"/>
      <w:lang w:val="en-US" w:eastAsia="zh-CN" w:bidi="ar-SA"/>
    </w:rPr>
  </w:style>
  <w:style w:type="paragraph" w:customStyle="1" w:styleId="158">
    <w:name w:val="五级无标题条"/>
    <w:basedOn w:val="1"/>
    <w:uiPriority w:val="0"/>
    <w:pPr>
      <w:numPr>
        <w:ilvl w:val="6"/>
        <w:numId w:val="20"/>
      </w:numPr>
      <w:adjustRightInd/>
    </w:pPr>
    <w:rPr>
      <w:szCs w:val="24"/>
    </w:rPr>
  </w:style>
  <w:style w:type="paragraph" w:customStyle="1" w:styleId="159">
    <w:name w:val="一级无标题条"/>
    <w:basedOn w:val="1"/>
    <w:uiPriority w:val="0"/>
    <w:pPr>
      <w:numPr>
        <w:ilvl w:val="2"/>
        <w:numId w:val="20"/>
      </w:numPr>
      <w:adjustRightInd/>
      <w:spacing w:before="10" w:after="10" w:line="240" w:lineRule="auto"/>
    </w:pPr>
    <w:rPr>
      <w:rFonts w:ascii="宋体" w:hAnsi="宋体"/>
      <w:szCs w:val="24"/>
    </w:rPr>
  </w:style>
  <w:style w:type="paragraph" w:customStyle="1" w:styleId="160">
    <w:name w:val="注:后续"/>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uiPriority w:val="0"/>
    <w:rPr>
      <w:rFonts w:ascii="宋体" w:hAnsi="Times New Roman" w:eastAsia="宋体" w:cs="Times New Roman"/>
      <w:sz w:val="21"/>
      <w:lang w:val="en-US" w:eastAsia="zh-CN" w:bidi="ar-SA"/>
    </w:rPr>
  </w:style>
  <w:style w:type="paragraph" w:customStyle="1" w:styleId="172">
    <w:name w:val="标准文件_三级项"/>
    <w:basedOn w:val="1"/>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uiPriority w:val="0"/>
    <w:pPr>
      <w:framePr w:w="3997" w:h="471" w:hRule="exact" w:hSpace="0" w:vSpace="181" w:wrap="around" w:vAnchor="page" w:hAnchor="page" w:x="1419" w:y="14097"/>
    </w:pPr>
  </w:style>
  <w:style w:type="paragraph" w:customStyle="1" w:styleId="194">
    <w:name w:val="其他实施日期"/>
    <w:basedOn w:val="154"/>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AA7C13420C64203899D76944C5E38FF"/>
        <w:style w:val=""/>
        <w:category>
          <w:name w:val="常规"/>
          <w:gallery w:val="placeholder"/>
        </w:category>
        <w:types>
          <w:type w:val="bbPlcHdr"/>
        </w:types>
        <w:behaviors>
          <w:behavior w:val="content"/>
        </w:behaviors>
        <w:description w:val=""/>
        <w:guid w:val="{394955EF-A89E-4ABC-A1DD-E658B5263947}"/>
      </w:docPartPr>
      <w:docPartBody>
        <w:p w14:paraId="5296BF29">
          <w:pPr>
            <w:pStyle w:val="5"/>
            <w:rPr>
              <w:rFonts w:hint="eastAsia"/>
            </w:rPr>
          </w:pPr>
          <w:r>
            <w:rPr>
              <w:rStyle w:val="4"/>
              <w:rFonts w:hint="eastAsia"/>
            </w:rPr>
            <w:t>单击或点击此处输入文字。</w:t>
          </w:r>
        </w:p>
      </w:docPartBody>
    </w:docPart>
    <w:docPart>
      <w:docPartPr>
        <w:name w:val="D19DE4F597584CC08FBD38CCB0D03730"/>
        <w:style w:val=""/>
        <w:category>
          <w:name w:val="常规"/>
          <w:gallery w:val="placeholder"/>
        </w:category>
        <w:types>
          <w:type w:val="bbPlcHdr"/>
        </w:types>
        <w:behaviors>
          <w:behavior w:val="content"/>
        </w:behaviors>
        <w:description w:val=""/>
        <w:guid w:val="{38BF20B8-E3AC-4FCD-B96F-80D26BB75ECA}"/>
      </w:docPartPr>
      <w:docPartBody>
        <w:p w14:paraId="15ABFA4F">
          <w:pPr>
            <w:pStyle w:val="6"/>
            <w:rPr>
              <w:rFonts w:hint="eastAsia"/>
            </w:rPr>
          </w:pPr>
          <w:r>
            <w:rPr>
              <w:rStyle w:val="4"/>
              <w:rFonts w:hint="eastAsia"/>
            </w:rPr>
            <w:t>单击或点击此处输入文字。</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316"/>
    <w:rsid w:val="001C327E"/>
    <w:rsid w:val="002B6CFA"/>
    <w:rsid w:val="00905FEF"/>
    <w:rsid w:val="00B75408"/>
    <w:rsid w:val="00C8699E"/>
    <w:rsid w:val="00D70316"/>
    <w:rsid w:val="00EE2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CAA7C13420C64203899D76944C5E38FF"/>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D19DE4F597584CC08FBD38CCB0D03730"/>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团体标准.dotx</Template>
  <Company>PCMI</Company>
  <Pages>10</Pages>
  <Words>73</Words>
  <Characters>174</Characters>
  <Lines>259</Lines>
  <Paragraphs>336</Paragraphs>
  <TotalTime>0</TotalTime>
  <ScaleCrop>false</ScaleCrop>
  <LinksUpToDate>false</LinksUpToDate>
  <CharactersWithSpaces>199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2026-03-03T02:26:00Z</dcterms:created>
  <dc:creator>cuhui yi</dc:creator>
  <dc:description>&lt;config cover="true" show_menu="true" version="1.0.0" doctype="SDKXY"&gt;_x000d_
&lt;/config&gt;</dc:description>
  <cp:lastModifiedBy>王超</cp:lastModifiedBy>
  <cp:lastPrinted>2021-02-02T08:22:00Z</cp:lastPrinted>
  <dcterms:modified xsi:type="dcterms:W3CDTF">2026-10-30T08:40:08Z</dcterms:modified>
  <dc:title>团体标准</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eyJoZGlkIjoiN2UxYTI2MDM1NDQ2MjE4ZTdhYzY5MjVhNDY0Y2Y2NTciLCJ1c2VySWQiOiI2MzgyOTk4MjgifQ==</vt:lpwstr>
  </property>
  <property fmtid="{D5CDD505-2E9C-101B-9397-08002B2CF9AE}" pid="15" name="KSOProductBuildVer">
    <vt:lpwstr>2052-12.1.0.29161</vt:lpwstr>
  </property>
  <property fmtid="{D5CDD505-2E9C-101B-9397-08002B2CF9AE}" pid="16" name="ICV">
    <vt:lpwstr>5EEB709A6F6A49E6983E80EB67229051_12</vt:lpwstr>
  </property>
</Properties>
</file>