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5699CC">
      <w:pPr>
        <w:jc w:val="center"/>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《中医经络健康辨识技术规范》团体标准编制说明</w:t>
      </w:r>
    </w:p>
    <w:p w14:paraId="34ECF7A5">
      <w:pPr>
        <w:jc w:val="center"/>
        <w:rPr>
          <w:rFonts w:hint="eastAsia" w:ascii="黑体" w:hAnsi="黑体" w:eastAsia="黑体" w:cs="Times New Roman"/>
          <w:b/>
          <w:color w:val="000000"/>
          <w:sz w:val="28"/>
          <w:szCs w:val="28"/>
        </w:rPr>
      </w:pPr>
    </w:p>
    <w:p w14:paraId="2A56F70F">
      <w:pPr>
        <w:pStyle w:val="12"/>
        <w:numPr>
          <w:ilvl w:val="0"/>
          <w:numId w:val="1"/>
        </w:numPr>
        <w:spacing w:line="360" w:lineRule="auto"/>
        <w:ind w:firstLineChars="0"/>
        <w:rPr>
          <w:rFonts w:ascii="黑体" w:hAnsi="黑体" w:eastAsia="黑体"/>
          <w:b/>
          <w:sz w:val="28"/>
          <w:szCs w:val="28"/>
        </w:rPr>
      </w:pPr>
      <w:r>
        <w:rPr>
          <w:rFonts w:ascii="黑体" w:hAnsi="黑体" w:eastAsia="黑体"/>
          <w:b/>
          <w:color w:val="000000"/>
          <w:sz w:val="28"/>
          <w:szCs w:val="28"/>
        </w:rPr>
        <w:t>工作概况</w:t>
      </w:r>
    </w:p>
    <w:p w14:paraId="6550CD05">
      <w:pPr>
        <w:spacing w:line="360" w:lineRule="auto"/>
        <w:rPr>
          <w:rFonts w:ascii="黑体" w:hAnsi="黑体" w:eastAsia="黑体"/>
          <w:b/>
          <w:sz w:val="28"/>
          <w:szCs w:val="28"/>
        </w:rPr>
      </w:pPr>
      <w:r>
        <w:rPr>
          <w:rFonts w:hint="eastAsia"/>
          <w:b/>
          <w:color w:val="000000"/>
          <w:sz w:val="28"/>
          <w:szCs w:val="28"/>
        </w:rPr>
        <w:t>1</w:t>
      </w:r>
      <w:r>
        <w:rPr>
          <w:b/>
          <w:color w:val="000000"/>
          <w:sz w:val="28"/>
          <w:szCs w:val="28"/>
        </w:rPr>
        <w:t>.1任务来源</w:t>
      </w:r>
    </w:p>
    <w:p w14:paraId="67D61919">
      <w:pPr>
        <w:spacing w:line="360" w:lineRule="auto"/>
        <w:ind w:firstLine="420"/>
        <w:jc w:val="left"/>
        <w:rPr>
          <w:rFonts w:ascii="宋体" w:hAnsi="宋体" w:eastAsia="宋体" w:cs="宋体"/>
          <w:sz w:val="24"/>
          <w:szCs w:val="24"/>
        </w:rPr>
      </w:pPr>
      <w:r>
        <w:rPr>
          <w:rFonts w:ascii="宋体" w:hAnsi="宋体" w:eastAsia="宋体"/>
          <w:sz w:val="24"/>
          <w:szCs w:val="24"/>
        </w:rPr>
        <w:t>本标准由</w:t>
      </w:r>
      <w:r>
        <w:rPr>
          <w:rStyle w:val="10"/>
          <w:rFonts w:ascii="宋体" w:hAnsi="宋体" w:eastAsia="宋体" w:cs="Arial"/>
          <w:b w:val="0"/>
          <w:bCs w:val="0"/>
          <w:color w:val="000000"/>
          <w:sz w:val="24"/>
          <w:szCs w:val="24"/>
        </w:rPr>
        <w:t>中国中医药研究促进会</w:t>
      </w:r>
      <w:r>
        <w:rPr>
          <w:rFonts w:ascii="宋体" w:hAnsi="宋体" w:eastAsia="宋体"/>
          <w:sz w:val="24"/>
          <w:szCs w:val="24"/>
        </w:rPr>
        <w:t>提出并归口，列入促进会 2026 年度中医药数字化团体标准制修订专项计划。项目紧扣《中医药标准化行动计划（2024-2026 年）》中数字化中医医疗服务标准、中医证候量化评价标准攻关任务要求，针对当前经络电检测行业无统一操作、量化判定规范的行业痛点立项研制</w:t>
      </w:r>
      <w:r>
        <w:rPr>
          <w:rFonts w:hint="eastAsia" w:ascii="宋体" w:hAnsi="宋体" w:eastAsia="宋体" w:cs="宋体"/>
          <w:sz w:val="24"/>
          <w:szCs w:val="24"/>
        </w:rPr>
        <w:t>。</w:t>
      </w:r>
    </w:p>
    <w:p w14:paraId="1B8DBD95">
      <w:pPr>
        <w:spacing w:line="360" w:lineRule="auto"/>
        <w:rPr>
          <w:color w:val="000000"/>
          <w:sz w:val="28"/>
          <w:szCs w:val="28"/>
        </w:rPr>
      </w:pPr>
      <w:r>
        <w:rPr>
          <w:b/>
          <w:color w:val="000000"/>
          <w:sz w:val="28"/>
          <w:szCs w:val="28"/>
        </w:rPr>
        <w:t>1.</w:t>
      </w:r>
      <w:r>
        <w:rPr>
          <w:rFonts w:hint="eastAsia"/>
          <w:b/>
          <w:color w:val="000000"/>
          <w:sz w:val="28"/>
          <w:szCs w:val="28"/>
        </w:rPr>
        <w:t>2起草目的和意义</w:t>
      </w:r>
    </w:p>
    <w:p w14:paraId="27AECD61">
      <w:pPr>
        <w:widowControl/>
        <w:spacing w:line="360" w:lineRule="auto"/>
        <w:ind w:firstLine="420"/>
        <w:jc w:val="left"/>
        <w:rPr>
          <w:rFonts w:ascii="宋体" w:hAnsi="宋体" w:eastAsia="宋体"/>
          <w:sz w:val="24"/>
          <w:szCs w:val="24"/>
        </w:rPr>
      </w:pPr>
      <w:r>
        <w:rPr>
          <w:rFonts w:hint="eastAsia" w:ascii="宋体" w:hAnsi="宋体" w:eastAsia="宋体"/>
          <w:sz w:val="24"/>
          <w:szCs w:val="24"/>
        </w:rPr>
        <w:t>随着《中医药标准化行动计划（</w:t>
      </w:r>
      <w:r>
        <w:rPr>
          <w:rFonts w:ascii="宋体" w:hAnsi="宋体" w:eastAsia="宋体"/>
          <w:sz w:val="24"/>
          <w:szCs w:val="24"/>
        </w:rPr>
        <w:t>2024-2026 年）》的正式印发，中医药领域进入标准化体系完善与高质量发展的关键阶段。该计划围绕中医药标准化建设提出多维度核心要求：在标准体系优化层面，明确需强化数字化中医医疗服务标准、中医证候诊断标准、中医疗效评价标准等重点领域的修订技术方法研究与关键技术攻关，推动数字技术在诊疗规则读取、传输、应用全流程的落地应用，同时探索标准指导、推广、宣贯及实施的创新模式，提升标准的实用性与普及度；在技术装备升级层面，聚焦中医诊断、治疗、治未病等特色环节</w:t>
      </w:r>
      <w:r>
        <w:rPr>
          <w:rFonts w:hint="eastAsia" w:ascii="宋体" w:hAnsi="宋体" w:eastAsia="宋体"/>
          <w:sz w:val="24"/>
          <w:szCs w:val="24"/>
        </w:rPr>
        <w:t>，要求配备智能化装备，为中医药现代化进程中的标准化水平提升提供明确方向。</w:t>
      </w:r>
    </w:p>
    <w:p w14:paraId="7809CA51">
      <w:pPr>
        <w:widowControl/>
        <w:spacing w:before="100" w:beforeAutospacing="1" w:after="100" w:afterAutospacing="1" w:line="360" w:lineRule="auto"/>
        <w:ind w:firstLine="420"/>
        <w:jc w:val="left"/>
        <w:rPr>
          <w:rFonts w:ascii="宋体" w:hAnsi="宋体" w:eastAsia="宋体"/>
          <w:sz w:val="24"/>
          <w:szCs w:val="24"/>
        </w:rPr>
      </w:pPr>
      <w:r>
        <w:rPr>
          <w:rFonts w:hint="eastAsia" w:ascii="宋体" w:hAnsi="宋体" w:eastAsia="宋体"/>
          <w:sz w:val="24"/>
          <w:szCs w:val="24"/>
        </w:rPr>
        <w:t>作为当前中医药标准化建设的顶层设计文件，《中医药标准化行动计划（</w:t>
      </w:r>
      <w:r>
        <w:rPr>
          <w:rFonts w:ascii="宋体" w:hAnsi="宋体" w:eastAsia="宋体"/>
          <w:sz w:val="24"/>
          <w:szCs w:val="24"/>
        </w:rPr>
        <w:t>2024-2026 年）》不仅为行业绘制了清晰的发展蓝图，更确立“中医传统优势与现代科技深度融合” 的核心发展逻辑。其核心目标在于：通过智能化技术手段，优化中医诊断的精准性、治疗的规范性及治未病的系统性，提升中医药服务的可复制性，进而扩大高质量中医药服务的覆盖范围，保障不同场景、不同机构间中医药服务效果的一致性，为中医药事业可持续发展奠定标准化基础。</w:t>
      </w:r>
    </w:p>
    <w:p w14:paraId="2AA37B97">
      <w:pPr>
        <w:widowControl/>
        <w:spacing w:before="100" w:beforeAutospacing="1" w:after="100" w:afterAutospacing="1" w:line="360" w:lineRule="auto"/>
        <w:ind w:firstLine="420"/>
        <w:jc w:val="left"/>
        <w:rPr>
          <w:rFonts w:ascii="宋体" w:hAnsi="宋体" w:eastAsia="宋体"/>
          <w:sz w:val="24"/>
          <w:szCs w:val="24"/>
        </w:rPr>
      </w:pPr>
      <w:r>
        <w:rPr>
          <w:rFonts w:hint="eastAsia" w:ascii="宋体" w:hAnsi="宋体" w:eastAsia="宋体"/>
          <w:sz w:val="24"/>
          <w:szCs w:val="24"/>
        </w:rPr>
        <w:t>中医经络检测仪作为中医智能化装备的典型代表，在经络健康辨识与评估领域具有不可替代的应用价值。其核心技术基于生物电阻抗测量原理，操作流程明确：在人体十二经脉原穴皮肤表面注入安全范围的微小电流，通过专用传感模块测量各穴位相对于预设参考点的电压信号，经算法计算分析获得三类关键指标</w:t>
      </w:r>
      <w:r>
        <w:rPr>
          <w:rFonts w:ascii="宋体" w:hAnsi="宋体" w:eastAsia="宋体"/>
          <w:sz w:val="24"/>
          <w:szCs w:val="24"/>
        </w:rPr>
        <w:t xml:space="preserve"> —— 十二个原穴的阻抗平均值、单个原穴与平均值的阻抗差值、伏安特性曲线的曲率参数，最终实现对人体经络健康状态的定</w:t>
      </w:r>
      <w:r>
        <w:rPr>
          <w:rFonts w:hint="eastAsia" w:ascii="宋体" w:hAnsi="宋体" w:eastAsia="宋体"/>
          <w:sz w:val="24"/>
          <w:szCs w:val="24"/>
        </w:rPr>
        <w:t>性</w:t>
      </w:r>
      <w:r>
        <w:rPr>
          <w:rFonts w:ascii="宋体" w:hAnsi="宋体" w:eastAsia="宋体"/>
          <w:sz w:val="24"/>
          <w:szCs w:val="24"/>
        </w:rPr>
        <w:t>辨识。该检测模式的核心优势显著：一方面突破传统中医诊断对医者主观经验的依赖，通过电阻抗测量、信号数字化处</w:t>
      </w:r>
      <w:r>
        <w:rPr>
          <w:rFonts w:hint="eastAsia" w:ascii="宋体" w:hAnsi="宋体" w:eastAsia="宋体"/>
          <w:sz w:val="24"/>
          <w:szCs w:val="24"/>
        </w:rPr>
        <w:t>理等现代技术，将抽象经络状态转化为可量化客观数据，大幅提升诊断结果的客观性、重复性与科学性；另一方面具备强场景适配性，为后续辨证施治、健康干预提供数据化依据。上述特性与《中医药标准化行动计划（</w:t>
      </w:r>
      <w:r>
        <w:rPr>
          <w:rFonts w:ascii="宋体" w:hAnsi="宋体" w:eastAsia="宋体"/>
          <w:sz w:val="24"/>
          <w:szCs w:val="24"/>
        </w:rPr>
        <w:t>2024-2026 年）》中 “推进数字化中医医疗服务标准化”“配备中医特色诊断智能化装备” 的核心要求高度契合，为中医药技术的标准化、智能化发展提供实践路径。</w:t>
      </w:r>
    </w:p>
    <w:p w14:paraId="5CC91490">
      <w:pPr>
        <w:widowControl/>
        <w:spacing w:line="360" w:lineRule="auto"/>
        <w:ind w:firstLine="420"/>
        <w:jc w:val="left"/>
        <w:rPr>
          <w:rFonts w:ascii="宋体" w:hAnsi="宋体" w:eastAsia="宋体"/>
          <w:sz w:val="24"/>
          <w:szCs w:val="24"/>
        </w:rPr>
      </w:pPr>
      <w:r>
        <w:rPr>
          <w:rFonts w:hint="eastAsia" w:ascii="宋体" w:hAnsi="宋体" w:eastAsia="宋体"/>
          <w:sz w:val="24"/>
          <w:szCs w:val="24"/>
        </w:rPr>
        <w:t>为积极响应《中医药标准化行动计划（</w:t>
      </w:r>
      <w:r>
        <w:rPr>
          <w:rFonts w:ascii="宋体" w:hAnsi="宋体" w:eastAsia="宋体"/>
          <w:sz w:val="24"/>
          <w:szCs w:val="24"/>
        </w:rPr>
        <w:t>2024-2026 年）》部署要求，解决当前中医经络健康辨识与评估领域缺乏统一技术规范的问题，本文件严格参考国家标准制定流程（如 GB/T 1.1《标准化工作导则 第 1 部分：标准的结构和编写》），明确中医经络</w:t>
      </w:r>
      <w:r>
        <w:rPr>
          <w:rFonts w:hint="eastAsia" w:ascii="宋体" w:hAnsi="宋体" w:eastAsia="宋体"/>
          <w:sz w:val="24"/>
          <w:szCs w:val="24"/>
        </w:rPr>
        <w:t>健康辨识</w:t>
      </w:r>
      <w:r>
        <w:rPr>
          <w:rFonts w:ascii="宋体" w:hAnsi="宋体" w:eastAsia="宋体"/>
          <w:sz w:val="24"/>
          <w:szCs w:val="24"/>
        </w:rPr>
        <w:t>关键环节的技术要求：包括</w:t>
      </w:r>
      <w:r>
        <w:rPr>
          <w:rFonts w:hint="eastAsia" w:ascii="宋体" w:hAnsi="宋体" w:eastAsia="宋体"/>
          <w:sz w:val="24"/>
          <w:szCs w:val="24"/>
        </w:rPr>
        <w:t>辨识仪器要求、检测前准备、检测操作流程、经络健康状态辨识等。文件通过</w:t>
      </w:r>
      <w:bookmarkStart w:id="0" w:name="OLE_LINK8"/>
      <w:bookmarkStart w:id="1" w:name="OLE_LINK9"/>
      <w:r>
        <w:rPr>
          <w:rFonts w:hint="eastAsia" w:ascii="宋体" w:hAnsi="宋体" w:eastAsia="宋体"/>
          <w:sz w:val="24"/>
          <w:szCs w:val="24"/>
        </w:rPr>
        <w:t>中医经络健康检测仪</w:t>
      </w:r>
      <w:bookmarkEnd w:id="0"/>
      <w:bookmarkEnd w:id="1"/>
      <w:r>
        <w:rPr>
          <w:rFonts w:hint="eastAsia" w:ascii="宋体" w:hAnsi="宋体" w:eastAsia="宋体"/>
          <w:sz w:val="24"/>
          <w:szCs w:val="24"/>
        </w:rPr>
        <w:t>开展健康管理、保健服务等中医经络健康状态的辨识，助力中医智能化装备的标准化落地与高质量发展。</w:t>
      </w:r>
    </w:p>
    <w:p w14:paraId="2926C7CF">
      <w:pPr>
        <w:spacing w:line="360" w:lineRule="auto"/>
        <w:rPr>
          <w:b/>
          <w:bCs/>
          <w:color w:val="000000"/>
          <w:sz w:val="28"/>
          <w:szCs w:val="28"/>
        </w:rPr>
      </w:pPr>
      <w:r>
        <w:rPr>
          <w:b/>
          <w:bCs/>
          <w:color w:val="000000"/>
          <w:sz w:val="28"/>
          <w:szCs w:val="28"/>
        </w:rPr>
        <w:t xml:space="preserve">1. </w:t>
      </w:r>
      <w:r>
        <w:rPr>
          <w:rFonts w:hint="eastAsia"/>
          <w:b/>
          <w:bCs/>
          <w:color w:val="000000"/>
          <w:sz w:val="28"/>
          <w:szCs w:val="28"/>
        </w:rPr>
        <w:t>3国内外产业和标准现状</w:t>
      </w:r>
    </w:p>
    <w:p w14:paraId="4FCC0E77">
      <w:pPr>
        <w:spacing w:line="360" w:lineRule="auto"/>
        <w:ind w:firstLine="420"/>
        <w:jc w:val="left"/>
        <w:rPr>
          <w:rFonts w:ascii="宋体" w:hAnsi="宋体" w:eastAsia="宋体"/>
          <w:sz w:val="24"/>
          <w:szCs w:val="24"/>
        </w:rPr>
      </w:pPr>
      <w:r>
        <w:rPr>
          <w:rFonts w:hint="eastAsia" w:ascii="宋体" w:hAnsi="宋体" w:eastAsia="宋体"/>
          <w:sz w:val="24"/>
          <w:szCs w:val="24"/>
        </w:rPr>
        <w:t>中医经络检测是中医数字化健康管理主流技术，广泛应用于中医治未病、老年健康筛查、社区康养、保健服务等场景。但长期存在三大突出问题：</w:t>
      </w:r>
    </w:p>
    <w:p w14:paraId="4268B8F6">
      <w:pPr>
        <w:spacing w:line="360" w:lineRule="auto"/>
        <w:jc w:val="left"/>
        <w:rPr>
          <w:rFonts w:ascii="宋体" w:hAnsi="宋体" w:eastAsia="宋体"/>
          <w:sz w:val="24"/>
          <w:szCs w:val="24"/>
        </w:rPr>
      </w:pPr>
      <w:r>
        <w:rPr>
          <w:rFonts w:hint="eastAsia" w:ascii="宋体" w:hAnsi="宋体" w:eastAsia="宋体"/>
          <w:sz w:val="24"/>
          <w:szCs w:val="24"/>
        </w:rPr>
        <w:t>1）辨证判定无量化标准：虚实、寒热仅依靠设备厂商自定义算法，缺乏统一数值区间，不存在错杂、偏颇复合证候判定规则，中医辨证结论随意性强；</w:t>
      </w:r>
    </w:p>
    <w:p w14:paraId="468C932D">
      <w:pPr>
        <w:spacing w:line="360" w:lineRule="auto"/>
        <w:jc w:val="left"/>
        <w:rPr>
          <w:rFonts w:ascii="宋体" w:hAnsi="宋体" w:eastAsia="宋体"/>
          <w:sz w:val="24"/>
          <w:szCs w:val="24"/>
        </w:rPr>
      </w:pPr>
      <w:r>
        <w:rPr>
          <w:rFonts w:hint="eastAsia" w:ascii="宋体" w:hAnsi="宋体" w:eastAsia="宋体"/>
          <w:sz w:val="24"/>
          <w:szCs w:val="24"/>
        </w:rPr>
        <w:t>2）安全与适用人群无统一约束：起搏器植入、皮肤破损、精神障碍人群检测禁忌无明确界定，存在健康安全风险。</w:t>
      </w:r>
    </w:p>
    <w:p w14:paraId="19F70F13">
      <w:pPr>
        <w:spacing w:line="360" w:lineRule="auto"/>
        <w:jc w:val="left"/>
        <w:rPr>
          <w:rFonts w:ascii="宋体" w:hAnsi="宋体" w:eastAsia="宋体"/>
          <w:sz w:val="24"/>
          <w:szCs w:val="24"/>
        </w:rPr>
      </w:pPr>
      <w:r>
        <w:rPr>
          <w:rFonts w:hint="eastAsia" w:ascii="宋体" w:hAnsi="宋体" w:eastAsia="宋体"/>
          <w:sz w:val="24"/>
          <w:szCs w:val="24"/>
        </w:rPr>
        <w:t>3）目前仅有单项仪器团体标准</w:t>
      </w:r>
      <w:r>
        <w:rPr>
          <w:rFonts w:ascii="宋体" w:hAnsi="宋体" w:eastAsia="宋体"/>
          <w:sz w:val="24"/>
          <w:szCs w:val="24"/>
        </w:rPr>
        <w:t xml:space="preserve"> T/CRACM0004-2025《中医经络健康检测仪》，仅约束硬件设备，缺少全流程检测操作</w:t>
      </w:r>
      <w:r>
        <w:rPr>
          <w:rFonts w:hint="eastAsia" w:ascii="宋体" w:hAnsi="宋体" w:eastAsia="宋体"/>
          <w:sz w:val="24"/>
          <w:szCs w:val="24"/>
        </w:rPr>
        <w:t>以及</w:t>
      </w:r>
      <w:r>
        <w:rPr>
          <w:rFonts w:ascii="宋体" w:hAnsi="宋体" w:eastAsia="宋体"/>
          <w:sz w:val="24"/>
          <w:szCs w:val="24"/>
        </w:rPr>
        <w:t>量化辨证判定配套技术规范，存在标准空白。</w:t>
      </w:r>
    </w:p>
    <w:p w14:paraId="360A0AB1">
      <w:pPr>
        <w:spacing w:line="360" w:lineRule="auto"/>
        <w:ind w:firstLine="420"/>
        <w:jc w:val="left"/>
        <w:rPr>
          <w:rFonts w:ascii="宋体" w:hAnsi="宋体" w:eastAsia="宋体"/>
          <w:sz w:val="24"/>
          <w:szCs w:val="24"/>
        </w:rPr>
      </w:pPr>
      <w:r>
        <w:rPr>
          <w:rFonts w:hint="eastAsia" w:ascii="宋体" w:hAnsi="宋体" w:eastAsia="宋体"/>
          <w:sz w:val="24"/>
          <w:szCs w:val="24"/>
        </w:rPr>
        <w:t>《中医药标准化行动计划（</w:t>
      </w:r>
      <w:r>
        <w:rPr>
          <w:rFonts w:ascii="宋体" w:hAnsi="宋体" w:eastAsia="宋体"/>
          <w:sz w:val="24"/>
          <w:szCs w:val="24"/>
        </w:rPr>
        <w:t>2024-2026 年）》明确提出加快数字化中医诊疗、证候量化评价标准研制，推动经络、舌脉等客观化检测技术标准化落地。本标准打通 “设备硬件 — 检测操作 — 数据计算 — 证候辨识 — 健康分级” 全链条，填补经络客观辨识服务标准空白，支撑中医数字化服务规范化。</w:t>
      </w:r>
      <w:r>
        <w:rPr>
          <w:rFonts w:hint="eastAsia" w:ascii="宋体" w:hAnsi="宋体" w:eastAsia="宋体"/>
          <w:sz w:val="24"/>
          <w:szCs w:val="24"/>
        </w:rPr>
        <w:t>本标准的编制在理论层面将传统十二原穴辨证理论与现代伏安特性电学检测技术结合，实现虚实寒热中医证候客观量化，建立单一经络、双侧经络复合失调（错杂、偏颇）标准化判定体系，丰富中医客观化辨识理论；在产业层面统一行业操作与判定规则，规范经络检测仪配套健康服务，提升行业服务可信度。</w:t>
      </w:r>
    </w:p>
    <w:p w14:paraId="3A490A62">
      <w:pPr>
        <w:jc w:val="left"/>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二、起草单位及主要过程</w:t>
      </w:r>
    </w:p>
    <w:p w14:paraId="1F202287">
      <w:pPr>
        <w:spacing w:line="360" w:lineRule="auto"/>
        <w:jc w:val="left"/>
        <w:rPr>
          <w:b/>
          <w:bCs/>
          <w:color w:val="000000"/>
          <w:sz w:val="28"/>
          <w:szCs w:val="28"/>
        </w:rPr>
      </w:pPr>
      <w:r>
        <w:rPr>
          <w:b/>
          <w:bCs/>
          <w:color w:val="000000"/>
          <w:sz w:val="28"/>
          <w:szCs w:val="28"/>
        </w:rPr>
        <w:t xml:space="preserve">2.1 </w:t>
      </w:r>
      <w:r>
        <w:rPr>
          <w:rFonts w:hint="eastAsia"/>
          <w:b/>
          <w:bCs/>
          <w:color w:val="000000"/>
          <w:sz w:val="28"/>
          <w:szCs w:val="28"/>
        </w:rPr>
        <w:t>起草单位及人员</w:t>
      </w:r>
    </w:p>
    <w:p w14:paraId="2ED94F1D">
      <w:pPr>
        <w:spacing w:line="360" w:lineRule="auto"/>
        <w:ind w:firstLine="420"/>
        <w:jc w:val="left"/>
        <w:rPr>
          <w:rFonts w:ascii="宋体" w:hAnsi="宋体" w:eastAsia="宋体"/>
          <w:sz w:val="24"/>
          <w:szCs w:val="24"/>
        </w:rPr>
      </w:pPr>
      <w:r>
        <w:rPr>
          <w:rFonts w:hint="eastAsia" w:ascii="宋体" w:hAnsi="宋体" w:eastAsia="宋体"/>
          <w:sz w:val="24"/>
          <w:szCs w:val="24"/>
        </w:rPr>
        <w:t>本文件起草单位包括：北京十方泰和中医医学研究院、中国标准化研究院、大连理工大学、国家卫生健康委北京老年医学研究所、北京航天航空大学、北京大学医学部、山西中医药大学、重庆市长寿区精神卫生中心</w:t>
      </w:r>
      <w:r>
        <w:rPr>
          <w:rFonts w:ascii="宋体" w:hAnsi="宋体" w:eastAsia="宋体"/>
          <w:sz w:val="24"/>
          <w:szCs w:val="24"/>
        </w:rPr>
        <w:t>、原平市医疗集团。</w:t>
      </w:r>
    </w:p>
    <w:p w14:paraId="61BCDC9B">
      <w:pPr>
        <w:spacing w:line="360" w:lineRule="auto"/>
        <w:ind w:firstLine="420"/>
        <w:jc w:val="left"/>
        <w:rPr>
          <w:rFonts w:hint="default" w:ascii="宋体" w:hAnsi="宋体" w:eastAsia="宋体"/>
          <w:sz w:val="24"/>
          <w:szCs w:val="24"/>
          <w:lang w:val="en-US" w:eastAsia="zh-CN"/>
        </w:rPr>
      </w:pPr>
      <w:r>
        <w:rPr>
          <w:rFonts w:hint="eastAsia" w:ascii="宋体" w:hAnsi="宋体" w:eastAsia="宋体"/>
          <w:sz w:val="24"/>
          <w:szCs w:val="24"/>
        </w:rPr>
        <w:t>主要起草人：杜冰、席兴军、齐莉萍、蔡剑平、刘亦鸣、何其华、郝重耀、戴晓林、王武伟、朱峻涛、王</w:t>
      </w:r>
      <w:r>
        <w:rPr>
          <w:rFonts w:hint="eastAsia" w:ascii="宋体" w:hAnsi="宋体" w:eastAsia="宋体"/>
          <w:sz w:val="24"/>
          <w:szCs w:val="24"/>
          <w:lang w:val="en-US" w:eastAsia="zh-CN"/>
        </w:rPr>
        <w:t>伟、海尤尔。</w:t>
      </w:r>
    </w:p>
    <w:p w14:paraId="256814AE">
      <w:pPr>
        <w:spacing w:line="360" w:lineRule="auto"/>
        <w:ind w:firstLine="420"/>
        <w:jc w:val="left"/>
        <w:rPr>
          <w:rFonts w:ascii="宋体" w:hAnsi="宋体" w:eastAsia="宋体"/>
          <w:sz w:val="24"/>
          <w:szCs w:val="24"/>
        </w:rPr>
      </w:pPr>
      <w:r>
        <w:rPr>
          <w:rFonts w:hint="eastAsia" w:ascii="宋体" w:hAnsi="宋体" w:eastAsia="宋体"/>
          <w:sz w:val="24"/>
          <w:szCs w:val="24"/>
        </w:rPr>
        <w:t>各起草单位充分发挥在中医药临床、标准化研究、生物医学工程、电子信息、检验检测等领域的专业优势，分工协作完成标准调研、技术论证、临床验证、文本撰写等工作。其中北京十方泰和中医医学研究院负责核心技术路径梳理与临床数据统筹，中国标准化研究院负责标准结构与编写规范把控，大连理工大学、北京航空航天大学负责电信号检测原理与算法验证，国家卫生健康委北京老年医学研究所、山西中医药大学和各医疗机构负责临床适用性与辨证一致性验证。</w:t>
      </w:r>
    </w:p>
    <w:p w14:paraId="24EE200B">
      <w:pPr>
        <w:spacing w:line="360" w:lineRule="auto"/>
        <w:jc w:val="left"/>
        <w:rPr>
          <w:b/>
          <w:bCs/>
          <w:color w:val="000000"/>
          <w:sz w:val="28"/>
          <w:szCs w:val="28"/>
        </w:rPr>
      </w:pPr>
      <w:r>
        <w:rPr>
          <w:rFonts w:hint="eastAsia"/>
          <w:b/>
          <w:bCs/>
          <w:color w:val="000000"/>
          <w:sz w:val="28"/>
          <w:szCs w:val="28"/>
        </w:rPr>
        <w:t>2</w:t>
      </w:r>
      <w:r>
        <w:rPr>
          <w:b/>
          <w:bCs/>
          <w:color w:val="000000"/>
          <w:sz w:val="28"/>
          <w:szCs w:val="28"/>
        </w:rPr>
        <w:t xml:space="preserve">.2 </w:t>
      </w:r>
      <w:r>
        <w:rPr>
          <w:rFonts w:hint="eastAsia"/>
          <w:b/>
          <w:bCs/>
          <w:color w:val="000000"/>
          <w:sz w:val="28"/>
          <w:szCs w:val="28"/>
        </w:rPr>
        <w:t>起草过程</w:t>
      </w:r>
    </w:p>
    <w:p w14:paraId="50AC9298">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第一阶段，标准预研和立项阶段</w:t>
      </w:r>
    </w:p>
    <w:p w14:paraId="5E500EC0">
      <w:pPr>
        <w:numPr>
          <w:ilvl w:val="0"/>
          <w:numId w:val="2"/>
        </w:numPr>
        <w:spacing w:line="360" w:lineRule="auto"/>
        <w:ind w:left="425" w:leftChars="0" w:hanging="425" w:firstLineChars="0"/>
        <w:jc w:val="left"/>
        <w:rPr>
          <w:rFonts w:ascii="宋体" w:hAnsi="宋体" w:eastAsia="宋体"/>
          <w:sz w:val="24"/>
          <w:szCs w:val="24"/>
        </w:rPr>
      </w:pPr>
      <w:r>
        <w:rPr>
          <w:rFonts w:hint="eastAsia" w:ascii="宋体" w:hAnsi="宋体" w:eastAsia="宋体"/>
          <w:sz w:val="24"/>
          <w:szCs w:val="24"/>
        </w:rPr>
        <w:t>北京十方泰和中医医学研究院着手组织该项标准的制定工作，2025年8月7日召开了团体标准《</w:t>
      </w:r>
      <w:bookmarkStart w:id="2" w:name="OLE_LINK12"/>
      <w:bookmarkStart w:id="3" w:name="OLE_LINK13"/>
      <w:r>
        <w:rPr>
          <w:rFonts w:hint="eastAsia" w:ascii="宋体" w:hAnsi="宋体" w:eastAsia="宋体"/>
          <w:sz w:val="24"/>
          <w:szCs w:val="24"/>
        </w:rPr>
        <w:t>中医经络健康辨识技术规范</w:t>
      </w:r>
      <w:bookmarkEnd w:id="2"/>
      <w:bookmarkEnd w:id="3"/>
      <w:r>
        <w:rPr>
          <w:rFonts w:hint="eastAsia" w:ascii="宋体" w:hAnsi="宋体" w:eastAsia="宋体"/>
          <w:sz w:val="24"/>
          <w:szCs w:val="24"/>
        </w:rPr>
        <w:t>》第一次工作会议。该工作会上成立了标准起草预研工作组，确立了标准的制定原则和思路以及后续的工作安排和分工等。参会成员包括北京十方泰和中医医学研究院、大连理工大学、中国标准化研究院、北京航天航空大学、北京大学、山西中医药大学、重庆市长寿区精神卫生中心、原平市医疗集团。</w:t>
      </w:r>
    </w:p>
    <w:p w14:paraId="4052C3E7">
      <w:pPr>
        <w:numPr>
          <w:ilvl w:val="0"/>
          <w:numId w:val="2"/>
        </w:numPr>
        <w:spacing w:line="360" w:lineRule="auto"/>
        <w:ind w:left="425" w:leftChars="0" w:hanging="425" w:firstLineChars="0"/>
        <w:jc w:val="left"/>
        <w:rPr>
          <w:rFonts w:ascii="宋体" w:hAnsi="宋体" w:eastAsia="宋体"/>
          <w:sz w:val="24"/>
          <w:szCs w:val="24"/>
        </w:rPr>
      </w:pPr>
      <w:r>
        <w:rPr>
          <w:rFonts w:hint="eastAsia" w:ascii="宋体" w:hAnsi="宋体" w:eastAsia="宋体"/>
          <w:sz w:val="24"/>
          <w:szCs w:val="24"/>
        </w:rPr>
        <w:t>2025年9月10日</w:t>
      </w:r>
      <w:r>
        <w:rPr>
          <w:rFonts w:ascii="宋体" w:hAnsi="宋体" w:eastAsia="宋体"/>
          <w:sz w:val="24"/>
          <w:szCs w:val="24"/>
        </w:rPr>
        <w:t>结合杜冰等人持有的“经络穴位电信号采集组件及经络仪”（ZL202222128941.6）、“基于经络穴位测量的虚实寒热分析仪及虚实寒热分析方法”（ZL202210967067.7）等相关专利技术，明确以十二原穴伏安特性曲线为核心的技术路径，完成标准草案初稿。</w:t>
      </w:r>
    </w:p>
    <w:p w14:paraId="7FC7B362">
      <w:pPr>
        <w:numPr>
          <w:ilvl w:val="0"/>
          <w:numId w:val="2"/>
        </w:numPr>
        <w:spacing w:line="360" w:lineRule="auto"/>
        <w:ind w:left="425" w:leftChars="0" w:hanging="425" w:firstLineChars="0"/>
        <w:jc w:val="left"/>
        <w:rPr>
          <w:rFonts w:ascii="宋体" w:hAnsi="宋体" w:eastAsia="宋体"/>
          <w:sz w:val="24"/>
          <w:szCs w:val="24"/>
        </w:rPr>
      </w:pPr>
      <w:r>
        <w:rPr>
          <w:rFonts w:hint="eastAsia" w:ascii="宋体" w:hAnsi="宋体" w:eastAsia="宋体"/>
          <w:sz w:val="24"/>
          <w:szCs w:val="24"/>
        </w:rPr>
        <w:t>2025年11月13日，召开第二次预研会议，</w:t>
      </w:r>
      <w:r>
        <w:rPr>
          <w:rFonts w:ascii="宋体" w:hAnsi="宋体" w:eastAsia="宋体"/>
          <w:sz w:val="24"/>
          <w:szCs w:val="24"/>
        </w:rPr>
        <w:t>组织中医药临床专家、标准化专家、医疗器械研发专家开展三轮研讨，重点针对术语定义、检测流程、指标阈值、临床适用性等内容提出修改意见，形成讨论稿</w:t>
      </w:r>
      <w:r>
        <w:rPr>
          <w:rFonts w:hint="eastAsia" w:ascii="宋体" w:hAnsi="宋体" w:eastAsia="宋体"/>
          <w:sz w:val="24"/>
          <w:szCs w:val="24"/>
        </w:rPr>
        <w:t>。</w:t>
      </w:r>
    </w:p>
    <w:p w14:paraId="1A3673FD">
      <w:pPr>
        <w:numPr>
          <w:ilvl w:val="0"/>
          <w:numId w:val="2"/>
        </w:numPr>
        <w:spacing w:line="360" w:lineRule="auto"/>
        <w:ind w:left="425" w:leftChars="0" w:hanging="425" w:firstLineChars="0"/>
        <w:jc w:val="left"/>
        <w:rPr>
          <w:rFonts w:ascii="宋体" w:hAnsi="宋体" w:eastAsia="宋体"/>
          <w:sz w:val="24"/>
          <w:szCs w:val="24"/>
        </w:rPr>
      </w:pPr>
      <w:r>
        <w:rPr>
          <w:rFonts w:hint="eastAsia" w:ascii="宋体" w:hAnsi="宋体" w:eastAsia="宋体"/>
          <w:sz w:val="24"/>
          <w:szCs w:val="24"/>
        </w:rPr>
        <w:t>2026年3月18日，中国中医药研究促进会进行立项审批，2026年4月13日，中国中医药研究促进会发布立项公告。</w:t>
      </w:r>
    </w:p>
    <w:p w14:paraId="75269604">
      <w:pPr>
        <w:spacing w:line="360" w:lineRule="auto"/>
        <w:ind w:firstLine="480" w:firstLineChars="200"/>
        <w:jc w:val="left"/>
        <w:rPr>
          <w:rFonts w:ascii="宋体" w:hAnsi="宋体" w:eastAsia="宋体"/>
          <w:sz w:val="24"/>
          <w:szCs w:val="24"/>
        </w:rPr>
      </w:pPr>
      <w:r>
        <w:rPr>
          <w:rFonts w:hint="eastAsia" w:ascii="宋体" w:hAnsi="宋体" w:eastAsia="宋体"/>
          <w:sz w:val="24"/>
          <w:szCs w:val="24"/>
        </w:rPr>
        <w:t>第二阶段，编写标准征求意见稿阶段</w:t>
      </w:r>
    </w:p>
    <w:p w14:paraId="6B423DA8">
      <w:pPr>
        <w:spacing w:line="360" w:lineRule="auto"/>
        <w:ind w:firstLine="420"/>
        <w:jc w:val="left"/>
        <w:rPr>
          <w:rFonts w:ascii="宋体" w:hAnsi="宋体" w:eastAsia="宋体"/>
          <w:sz w:val="24"/>
          <w:szCs w:val="24"/>
        </w:rPr>
      </w:pPr>
      <w:r>
        <w:rPr>
          <w:rFonts w:ascii="宋体" w:hAnsi="宋体" w:eastAsia="宋体"/>
          <w:sz w:val="24"/>
          <w:szCs w:val="24"/>
        </w:rPr>
        <w:t>2026 年 6 月 17 日，标准起草工作组在北京十方泰和中医医学研究院组织召开《</w:t>
      </w:r>
      <w:r>
        <w:rPr>
          <w:rFonts w:hint="eastAsia" w:ascii="宋体" w:hAnsi="宋体" w:eastAsia="宋体"/>
          <w:sz w:val="24"/>
          <w:szCs w:val="24"/>
        </w:rPr>
        <w:t>中医经络健康辨识技术规范</w:t>
      </w:r>
      <w:r>
        <w:rPr>
          <w:rFonts w:ascii="宋体" w:hAnsi="宋体" w:eastAsia="宋体"/>
          <w:sz w:val="24"/>
          <w:szCs w:val="24"/>
        </w:rPr>
        <w:t>》团体标准专家研讨会。会议参会的专家</w:t>
      </w:r>
      <w:r>
        <w:rPr>
          <w:rFonts w:hint="eastAsia" w:ascii="宋体" w:hAnsi="宋体" w:eastAsia="宋体"/>
          <w:sz w:val="24"/>
          <w:szCs w:val="24"/>
        </w:rPr>
        <w:t>包括中国标准化研究院席兴军研究员、大连理工大学齐莉萍教授、</w:t>
      </w:r>
      <w:bookmarkStart w:id="4" w:name="OLE_LINK2"/>
      <w:bookmarkStart w:id="5" w:name="OLE_LINK1"/>
      <w:r>
        <w:rPr>
          <w:rFonts w:hint="eastAsia" w:ascii="宋体" w:hAnsi="宋体" w:eastAsia="宋体"/>
          <w:sz w:val="24"/>
          <w:szCs w:val="24"/>
        </w:rPr>
        <w:t>北京大学何其华</w:t>
      </w:r>
      <w:r>
        <w:rPr>
          <w:rFonts w:hint="eastAsia" w:ascii="宋体" w:hAnsi="宋体" w:eastAsia="宋体"/>
          <w:sz w:val="24"/>
          <w:szCs w:val="24"/>
          <w:lang w:eastAsia="zh-CN"/>
        </w:rPr>
        <w:t>（</w:t>
      </w:r>
      <w:r>
        <w:rPr>
          <w:rFonts w:hint="eastAsia" w:ascii="宋体" w:hAnsi="宋体" w:eastAsia="宋体"/>
          <w:sz w:val="24"/>
          <w:szCs w:val="24"/>
        </w:rPr>
        <w:t>教授</w:t>
      </w:r>
      <w:r>
        <w:rPr>
          <w:rFonts w:hint="eastAsia" w:ascii="宋体" w:hAnsi="宋体" w:eastAsia="宋体"/>
          <w:sz w:val="24"/>
          <w:szCs w:val="24"/>
          <w:lang w:val="en-US" w:eastAsia="zh-CN"/>
        </w:rPr>
        <w:t>级高工）、</w:t>
      </w:r>
      <w:r>
        <w:rPr>
          <w:rFonts w:hint="eastAsia" w:ascii="宋体" w:hAnsi="宋体" w:eastAsia="宋体"/>
          <w:sz w:val="24"/>
          <w:szCs w:val="24"/>
        </w:rPr>
        <w:t>山西省针灸医院</w:t>
      </w:r>
      <w:bookmarkEnd w:id="4"/>
      <w:bookmarkEnd w:id="5"/>
      <w:r>
        <w:rPr>
          <w:rFonts w:hint="eastAsia" w:ascii="宋体" w:hAnsi="宋体" w:eastAsia="宋体"/>
          <w:sz w:val="24"/>
          <w:szCs w:val="24"/>
        </w:rPr>
        <w:t>郝重耀教授、重庆市长寿区精神卫生中心戴晓林书记、朱峻涛、十方泰和中医研究院副院长王伟</w:t>
      </w:r>
      <w:r>
        <w:rPr>
          <w:rFonts w:ascii="宋体" w:hAnsi="宋体" w:eastAsia="宋体"/>
          <w:sz w:val="24"/>
          <w:szCs w:val="24"/>
        </w:rPr>
        <w:t>、国家卫健委北京老年医学研究所所长/研究员蔡</w:t>
      </w:r>
      <w:r>
        <w:rPr>
          <w:rFonts w:hint="eastAsia" w:ascii="宋体" w:hAnsi="宋体" w:eastAsia="宋体"/>
          <w:sz w:val="24"/>
          <w:szCs w:val="24"/>
          <w:lang w:val="en-US" w:eastAsia="zh-CN"/>
        </w:rPr>
        <w:t>剑</w:t>
      </w:r>
      <w:r>
        <w:rPr>
          <w:rFonts w:ascii="宋体" w:hAnsi="宋体" w:eastAsia="宋体"/>
          <w:sz w:val="24"/>
          <w:szCs w:val="24"/>
        </w:rPr>
        <w:t>平</w:t>
      </w:r>
      <w:r>
        <w:rPr>
          <w:rFonts w:hint="eastAsia" w:ascii="宋体" w:hAnsi="宋体" w:eastAsia="宋体"/>
          <w:sz w:val="24"/>
          <w:szCs w:val="24"/>
        </w:rPr>
        <w:t>等</w:t>
      </w:r>
      <w:r>
        <w:rPr>
          <w:rFonts w:ascii="宋体" w:hAnsi="宋体" w:eastAsia="宋体"/>
          <w:sz w:val="24"/>
          <w:szCs w:val="24"/>
        </w:rPr>
        <w:t>。在本次工作会上，研讨专家对《中医经络健康检测仪》团体标准讨论稿的主要内容进行了研讨，包括英文名称、范围、术语和定义、技术</w:t>
      </w:r>
      <w:r>
        <w:rPr>
          <w:rFonts w:hint="eastAsia" w:ascii="宋体" w:hAnsi="宋体" w:eastAsia="宋体"/>
          <w:sz w:val="24"/>
          <w:szCs w:val="24"/>
        </w:rPr>
        <w:t>指标等条款内容提出了详细的修改意见。会后，起草工作组根据专家修改意见，修改完善了标准讨论稿，形成了《</w:t>
      </w:r>
      <w:r>
        <w:rPr>
          <w:rFonts w:hint="eastAsia" w:ascii="宋体" w:hAnsi="宋体" w:eastAsia="宋体"/>
          <w:kern w:val="0"/>
          <w:sz w:val="24"/>
          <w:szCs w:val="24"/>
        </w:rPr>
        <w:t>中医经络健康辨识技术规范</w:t>
      </w:r>
      <w:r>
        <w:rPr>
          <w:rFonts w:hint="eastAsia" w:ascii="宋体" w:hAnsi="宋体" w:eastAsia="宋体"/>
          <w:sz w:val="24"/>
          <w:szCs w:val="24"/>
        </w:rPr>
        <w:t>》标准征求意见稿。</w:t>
      </w:r>
    </w:p>
    <w:p w14:paraId="6B0D9647">
      <w:pPr>
        <w:jc w:val="left"/>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三、标准编制原则</w:t>
      </w:r>
    </w:p>
    <w:p w14:paraId="034AFF75">
      <w:pPr>
        <w:pStyle w:val="12"/>
        <w:numPr>
          <w:ilvl w:val="0"/>
          <w:numId w:val="3"/>
        </w:numPr>
        <w:spacing w:line="360" w:lineRule="auto"/>
        <w:ind w:left="425" w:leftChars="0" w:hanging="425" w:firstLineChars="0"/>
        <w:jc w:val="left"/>
        <w:rPr>
          <w:rFonts w:ascii="宋体" w:hAnsi="宋体"/>
          <w:sz w:val="24"/>
        </w:rPr>
      </w:pPr>
      <w:r>
        <w:rPr>
          <w:rFonts w:hint="eastAsia" w:ascii="宋体" w:hAnsi="宋体"/>
          <w:sz w:val="24"/>
        </w:rPr>
        <w:t>合规协调原则：严格遵循</w:t>
      </w:r>
      <w:r>
        <w:rPr>
          <w:rFonts w:ascii="宋体" w:hAnsi="宋体"/>
          <w:sz w:val="24"/>
        </w:rPr>
        <w:t xml:space="preserve"> GB/T 1.1—2020 起草规则；全部引用国标、行标、已有中医团体标准，与 GB 9706.1 医用电气安全、GB/T 12346 经穴定位、T/CRACM0004 仪器标准完全协调，不与强制性国标冲突。</w:t>
      </w:r>
    </w:p>
    <w:p w14:paraId="6F36E113">
      <w:pPr>
        <w:pStyle w:val="12"/>
        <w:numPr>
          <w:ilvl w:val="0"/>
          <w:numId w:val="3"/>
        </w:numPr>
        <w:spacing w:line="360" w:lineRule="auto"/>
        <w:ind w:left="425" w:leftChars="0" w:hanging="425" w:firstLineChars="0"/>
        <w:jc w:val="left"/>
        <w:rPr>
          <w:rFonts w:ascii="宋体" w:hAnsi="宋体"/>
          <w:sz w:val="24"/>
        </w:rPr>
      </w:pPr>
      <w:r>
        <w:rPr>
          <w:rFonts w:hint="eastAsia" w:ascii="宋体" w:hAnsi="宋体"/>
          <w:sz w:val="24"/>
        </w:rPr>
        <w:t>中医理论为本、医工融合原则：以《黄帝内经》十二原穴脏腑对应理论、八纲辨证（虚实寒热）为核心；结合生物</w:t>
      </w:r>
      <w:r>
        <w:rPr>
          <w:rFonts w:ascii="宋体" w:hAnsi="宋体"/>
          <w:sz w:val="24"/>
        </w:rPr>
        <w:t>电阻抗</w:t>
      </w:r>
      <w:r>
        <w:rPr>
          <w:rFonts w:hint="eastAsia" w:ascii="宋体" w:hAnsi="宋体"/>
          <w:sz w:val="24"/>
        </w:rPr>
        <w:t>伏安特性采集技术，实现传统中医客观量化判定。</w:t>
      </w:r>
    </w:p>
    <w:p w14:paraId="2765913D">
      <w:pPr>
        <w:pStyle w:val="12"/>
        <w:numPr>
          <w:ilvl w:val="0"/>
          <w:numId w:val="3"/>
        </w:numPr>
        <w:spacing w:line="360" w:lineRule="auto"/>
        <w:ind w:left="425" w:leftChars="0" w:hanging="425" w:firstLineChars="0"/>
        <w:jc w:val="left"/>
        <w:rPr>
          <w:rFonts w:ascii="宋体" w:hAnsi="宋体"/>
          <w:sz w:val="24"/>
        </w:rPr>
      </w:pPr>
      <w:r>
        <w:rPr>
          <w:rFonts w:hint="eastAsia" w:ascii="宋体" w:hAnsi="宋体"/>
          <w:sz w:val="24"/>
        </w:rPr>
        <w:t>安全优先、实操可行原则：所有检测环境、人员约束、禁忌人群、电极操作条款均经过人体安全试验验证，全部耗材、操作流程、参数阈值均采用行业通用配置。</w:t>
      </w:r>
    </w:p>
    <w:p w14:paraId="7E819AF6">
      <w:pPr>
        <w:pStyle w:val="12"/>
        <w:numPr>
          <w:ilvl w:val="0"/>
          <w:numId w:val="3"/>
        </w:numPr>
        <w:spacing w:line="360" w:lineRule="auto"/>
        <w:ind w:left="425" w:leftChars="0" w:hanging="425" w:firstLineChars="0"/>
        <w:jc w:val="left"/>
        <w:rPr>
          <w:rFonts w:ascii="宋体" w:hAnsi="宋体"/>
          <w:sz w:val="24"/>
        </w:rPr>
      </w:pPr>
      <w:r>
        <w:rPr>
          <w:rFonts w:hint="eastAsia" w:ascii="宋体" w:hAnsi="宋体"/>
          <w:sz w:val="24"/>
        </w:rPr>
        <w:t>先进性与通用性兼顾原则：依托两项授权专利成熟算法确定量化模型，兼容市面主流经络检测仪采集逻辑，</w:t>
      </w:r>
      <w:r>
        <w:rPr>
          <w:rFonts w:ascii="宋体" w:hAnsi="宋体"/>
          <w:sz w:val="24"/>
        </w:rPr>
        <w:t>普适性强。</w:t>
      </w:r>
    </w:p>
    <w:p w14:paraId="4D22CC59">
      <w:pPr>
        <w:pStyle w:val="12"/>
        <w:numPr>
          <w:ilvl w:val="0"/>
          <w:numId w:val="3"/>
        </w:numPr>
        <w:spacing w:line="360" w:lineRule="auto"/>
        <w:ind w:left="425" w:leftChars="0" w:hanging="425" w:firstLineChars="0"/>
        <w:jc w:val="left"/>
        <w:rPr>
          <w:rFonts w:ascii="宋体" w:hAnsi="宋体"/>
          <w:sz w:val="24"/>
        </w:rPr>
      </w:pPr>
      <w:r>
        <w:rPr>
          <w:rFonts w:hint="eastAsia" w:ascii="宋体" w:hAnsi="宋体"/>
          <w:sz w:val="24"/>
        </w:rPr>
        <w:t>多方协同、公平开放原则：起草组吸纳中医临床、标准化、高校、科研机构、基层医疗单位等多领域主体。</w:t>
      </w:r>
    </w:p>
    <w:p w14:paraId="4B064B46">
      <w:pPr>
        <w:jc w:val="left"/>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四、标准主要内容及技术依据说明</w:t>
      </w:r>
    </w:p>
    <w:p w14:paraId="4B828735">
      <w:pPr>
        <w:widowControl/>
        <w:spacing w:line="360" w:lineRule="auto"/>
        <w:ind w:firstLine="480" w:firstLineChars="20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本标准共设置</w:t>
      </w:r>
      <w:r>
        <w:rPr>
          <w:rFonts w:ascii="宋体" w:hAnsi="宋体" w:eastAsia="宋体" w:cs="Arial"/>
          <w:color w:val="000000"/>
          <w:kern w:val="0"/>
          <w:sz w:val="24"/>
          <w:szCs w:val="24"/>
        </w:rPr>
        <w:t xml:space="preserve"> 8 </w:t>
      </w:r>
      <w:r>
        <w:rPr>
          <w:rFonts w:hint="eastAsia" w:ascii="宋体" w:hAnsi="宋体" w:eastAsia="宋体" w:cs="微软雅黑"/>
          <w:color w:val="000000"/>
          <w:kern w:val="0"/>
          <w:sz w:val="24"/>
          <w:szCs w:val="24"/>
        </w:rPr>
        <w:t>个主体章节，配套前言、引言、参考文献，各章节核心技术内容、参数来源、制定依据说明如下</w:t>
      </w:r>
      <w:r>
        <w:rPr>
          <w:rFonts w:ascii="宋体" w:hAnsi="宋体" w:eastAsia="宋体" w:cs="微软雅黑"/>
          <w:color w:val="000000"/>
          <w:kern w:val="0"/>
          <w:sz w:val="24"/>
          <w:szCs w:val="24"/>
        </w:rPr>
        <w:t>：</w:t>
      </w:r>
    </w:p>
    <w:p w14:paraId="6989E0BB">
      <w:pPr>
        <w:widowControl/>
        <w:spacing w:line="360" w:lineRule="auto"/>
        <w:jc w:val="left"/>
        <w:outlineLvl w:val="2"/>
        <w:rPr>
          <w:rFonts w:ascii="宋体" w:hAnsi="宋体" w:eastAsia="宋体" w:cs="Arial"/>
          <w:color w:val="000000"/>
          <w:kern w:val="0"/>
          <w:sz w:val="24"/>
          <w:szCs w:val="24"/>
        </w:rPr>
      </w:pPr>
      <w:r>
        <w:rPr>
          <w:rFonts w:ascii="宋体" w:hAnsi="宋体" w:eastAsia="宋体" w:cs="微软雅黑"/>
          <w:color w:val="000000"/>
          <w:kern w:val="0"/>
          <w:sz w:val="24"/>
          <w:szCs w:val="24"/>
        </w:rPr>
        <w:t>(</w:t>
      </w:r>
      <w:r>
        <w:rPr>
          <w:rFonts w:hint="eastAsia" w:ascii="宋体" w:hAnsi="宋体" w:eastAsia="宋体" w:cs="微软雅黑"/>
          <w:color w:val="000000"/>
          <w:kern w:val="0"/>
          <w:sz w:val="24"/>
          <w:szCs w:val="24"/>
        </w:rPr>
        <w:t>一)</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1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范</w:t>
      </w:r>
      <w:r>
        <w:rPr>
          <w:rFonts w:ascii="宋体" w:hAnsi="宋体" w:eastAsia="宋体" w:cs="微软雅黑"/>
          <w:color w:val="000000"/>
          <w:kern w:val="0"/>
          <w:sz w:val="24"/>
          <w:szCs w:val="24"/>
        </w:rPr>
        <w:t>围</w:t>
      </w:r>
    </w:p>
    <w:p w14:paraId="697F5606">
      <w:pPr>
        <w:widowControl/>
        <w:numPr>
          <w:ilvl w:val="0"/>
          <w:numId w:val="4"/>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规定标准适用对象：采用符合</w:t>
      </w:r>
      <w:r>
        <w:rPr>
          <w:rFonts w:ascii="宋体" w:hAnsi="宋体" w:eastAsia="宋体" w:cs="Arial"/>
          <w:color w:val="000000"/>
          <w:kern w:val="0"/>
          <w:sz w:val="24"/>
          <w:szCs w:val="24"/>
        </w:rPr>
        <w:t xml:space="preserve"> T/CRACM0004-2025</w:t>
      </w:r>
      <w:r>
        <w:rPr>
          <w:rFonts w:hint="eastAsia" w:ascii="宋体" w:hAnsi="宋体" w:eastAsia="宋体" w:cs="微软雅黑"/>
          <w:color w:val="000000"/>
          <w:kern w:val="0"/>
          <w:sz w:val="24"/>
          <w:szCs w:val="24"/>
        </w:rPr>
        <w:t>《中医经络健康检测仪》设备开展经络健康辨识的健康管理、保健、治未病筛查场景</w:t>
      </w:r>
      <w:r>
        <w:rPr>
          <w:rFonts w:ascii="宋体" w:hAnsi="宋体" w:eastAsia="宋体" w:cs="微软雅黑"/>
          <w:color w:val="000000"/>
          <w:kern w:val="0"/>
          <w:sz w:val="24"/>
          <w:szCs w:val="24"/>
        </w:rPr>
        <w:t>；</w:t>
      </w:r>
    </w:p>
    <w:p w14:paraId="55141A31">
      <w:pPr>
        <w:widowControl/>
        <w:numPr>
          <w:ilvl w:val="0"/>
          <w:numId w:val="4"/>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明确边界界定：本标准仅用于人体经络健康状态辨识、亚健康评估</w:t>
      </w:r>
      <w:r>
        <w:rPr>
          <w:rFonts w:ascii="宋体" w:hAnsi="宋体" w:eastAsia="宋体" w:cs="微软雅黑"/>
          <w:color w:val="000000"/>
          <w:kern w:val="0"/>
          <w:sz w:val="24"/>
          <w:szCs w:val="24"/>
        </w:rPr>
        <w:t>；</w:t>
      </w:r>
    </w:p>
    <w:p w14:paraId="7F3DA6DC">
      <w:pPr>
        <w:widowControl/>
        <w:numPr>
          <w:ilvl w:val="0"/>
          <w:numId w:val="4"/>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制定依据：结合中医药健康服务管理要求，明确标准适用边界</w:t>
      </w:r>
      <w:r>
        <w:rPr>
          <w:rFonts w:ascii="宋体" w:hAnsi="宋体" w:eastAsia="宋体" w:cs="微软雅黑"/>
          <w:color w:val="000000"/>
          <w:kern w:val="0"/>
          <w:sz w:val="24"/>
          <w:szCs w:val="24"/>
        </w:rPr>
        <w:t>。</w:t>
      </w:r>
    </w:p>
    <w:p w14:paraId="7B3736B0">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（二）</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2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规范性引用文</w:t>
      </w:r>
      <w:r>
        <w:rPr>
          <w:rFonts w:ascii="宋体" w:hAnsi="宋体" w:eastAsia="宋体" w:cs="微软雅黑"/>
          <w:color w:val="000000"/>
          <w:kern w:val="0"/>
          <w:sz w:val="24"/>
          <w:szCs w:val="24"/>
        </w:rPr>
        <w:t>件</w:t>
      </w:r>
    </w:p>
    <w:p w14:paraId="1039E604">
      <w:pPr>
        <w:widowControl/>
        <w:spacing w:line="360" w:lineRule="auto"/>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本章全部引用文件分为四大类，各文件引用理由</w:t>
      </w:r>
      <w:r>
        <w:rPr>
          <w:rFonts w:ascii="宋体" w:hAnsi="宋体" w:eastAsia="宋体" w:cs="微软雅黑"/>
          <w:color w:val="000000"/>
          <w:kern w:val="0"/>
          <w:sz w:val="24"/>
          <w:szCs w:val="24"/>
        </w:rPr>
        <w:t>：</w:t>
      </w:r>
    </w:p>
    <w:p w14:paraId="1839E678">
      <w:pPr>
        <w:widowControl/>
        <w:numPr>
          <w:ilvl w:val="0"/>
          <w:numId w:val="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中医术语、穴位标准：</w:t>
      </w:r>
      <w:r>
        <w:rPr>
          <w:rFonts w:ascii="宋体" w:hAnsi="宋体" w:eastAsia="宋体" w:cs="Arial"/>
          <w:color w:val="000000"/>
          <w:kern w:val="0"/>
          <w:sz w:val="24"/>
          <w:szCs w:val="24"/>
        </w:rPr>
        <w:t>GB/T 30232</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GB/T 16751.2-2021</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GB/T 12346</w:t>
      </w:r>
      <w:r>
        <w:rPr>
          <w:rFonts w:hint="eastAsia" w:ascii="宋体" w:hAnsi="宋体" w:eastAsia="宋体" w:cs="微软雅黑"/>
          <w:color w:val="000000"/>
          <w:kern w:val="0"/>
          <w:sz w:val="24"/>
          <w:szCs w:val="24"/>
        </w:rPr>
        <w:t>，统一经络、原穴、虚实寒热、穴位定位专业术语</w:t>
      </w:r>
      <w:r>
        <w:rPr>
          <w:rFonts w:ascii="宋体" w:hAnsi="宋体" w:eastAsia="宋体" w:cs="微软雅黑"/>
          <w:color w:val="000000"/>
          <w:kern w:val="0"/>
          <w:sz w:val="24"/>
          <w:szCs w:val="24"/>
        </w:rPr>
        <w:t>；</w:t>
      </w:r>
    </w:p>
    <w:p w14:paraId="004B5A39">
      <w:pPr>
        <w:widowControl/>
        <w:numPr>
          <w:ilvl w:val="0"/>
          <w:numId w:val="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医用电气安全强制标准：</w:t>
      </w:r>
      <w:r>
        <w:rPr>
          <w:rFonts w:ascii="宋体" w:hAnsi="宋体" w:eastAsia="宋体" w:cs="Arial"/>
          <w:color w:val="000000"/>
          <w:kern w:val="0"/>
          <w:sz w:val="24"/>
          <w:szCs w:val="24"/>
        </w:rPr>
        <w:t>GB 9706.1</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YY 0505</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YY 0607</w:t>
      </w:r>
      <w:r>
        <w:rPr>
          <w:rFonts w:hint="eastAsia" w:ascii="宋体" w:hAnsi="宋体" w:eastAsia="宋体" w:cs="微软雅黑"/>
          <w:color w:val="000000"/>
          <w:kern w:val="0"/>
          <w:sz w:val="24"/>
          <w:szCs w:val="24"/>
        </w:rPr>
        <w:t>，规范检测设备电气安全、电磁兼容、神经电刺激安全约束</w:t>
      </w:r>
      <w:r>
        <w:rPr>
          <w:rFonts w:ascii="宋体" w:hAnsi="宋体" w:eastAsia="宋体" w:cs="微软雅黑"/>
          <w:color w:val="000000"/>
          <w:kern w:val="0"/>
          <w:sz w:val="24"/>
          <w:szCs w:val="24"/>
        </w:rPr>
        <w:t>；</w:t>
      </w:r>
    </w:p>
    <w:p w14:paraId="65D0DAE7">
      <w:pPr>
        <w:widowControl/>
        <w:numPr>
          <w:ilvl w:val="0"/>
          <w:numId w:val="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仪器通用、生物相容性标准：</w:t>
      </w:r>
      <w:r>
        <w:rPr>
          <w:rFonts w:ascii="宋体" w:hAnsi="宋体" w:eastAsia="宋体" w:cs="Arial"/>
          <w:color w:val="000000"/>
          <w:kern w:val="0"/>
          <w:sz w:val="24"/>
          <w:szCs w:val="24"/>
        </w:rPr>
        <w:t>GB/T 6587</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GB/T 14710</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GB/T 16886.1</w:t>
      </w:r>
      <w:r>
        <w:rPr>
          <w:rFonts w:hint="eastAsia" w:ascii="宋体" w:hAnsi="宋体" w:eastAsia="宋体" w:cs="微软雅黑"/>
          <w:color w:val="000000"/>
          <w:kern w:val="0"/>
          <w:sz w:val="24"/>
          <w:szCs w:val="24"/>
        </w:rPr>
        <w:t>，规范电子仪器通用要求、医用设备环境试验、皮肤接触耗材生物安全</w:t>
      </w:r>
      <w:r>
        <w:rPr>
          <w:rFonts w:ascii="宋体" w:hAnsi="宋体" w:eastAsia="宋体" w:cs="微软雅黑"/>
          <w:color w:val="000000"/>
          <w:kern w:val="0"/>
          <w:sz w:val="24"/>
          <w:szCs w:val="24"/>
        </w:rPr>
        <w:t>；</w:t>
      </w:r>
    </w:p>
    <w:p w14:paraId="186AB17B">
      <w:pPr>
        <w:widowControl/>
        <w:numPr>
          <w:ilvl w:val="0"/>
          <w:numId w:val="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配套团体标准：</w:t>
      </w:r>
      <w:r>
        <w:rPr>
          <w:rFonts w:ascii="宋体" w:hAnsi="宋体" w:eastAsia="宋体" w:cs="Arial"/>
          <w:color w:val="000000"/>
          <w:kern w:val="0"/>
          <w:sz w:val="24"/>
          <w:szCs w:val="24"/>
        </w:rPr>
        <w:t>T/CRACM0004-2025</w:t>
      </w:r>
      <w:r>
        <w:rPr>
          <w:rFonts w:hint="eastAsia" w:ascii="宋体" w:hAnsi="宋体" w:eastAsia="宋体" w:cs="微软雅黑"/>
          <w:color w:val="000000"/>
          <w:kern w:val="0"/>
          <w:sz w:val="24"/>
          <w:szCs w:val="24"/>
        </w:rPr>
        <w:t>《中医经络健康检测仪》，实现设备硬件标准与本操作辨识标准配套衔接，硬件指标不再重复赘述</w:t>
      </w:r>
      <w:r>
        <w:rPr>
          <w:rFonts w:ascii="宋体" w:hAnsi="宋体" w:eastAsia="宋体" w:cs="微软雅黑"/>
          <w:color w:val="000000"/>
          <w:kern w:val="0"/>
          <w:sz w:val="24"/>
          <w:szCs w:val="24"/>
        </w:rPr>
        <w:t>。</w:t>
      </w:r>
    </w:p>
    <w:p w14:paraId="50276A37">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（三）</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3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术语和定</w:t>
      </w:r>
      <w:r>
        <w:rPr>
          <w:rFonts w:ascii="宋体" w:hAnsi="宋体" w:eastAsia="宋体" w:cs="微软雅黑"/>
          <w:color w:val="000000"/>
          <w:kern w:val="0"/>
          <w:sz w:val="24"/>
          <w:szCs w:val="24"/>
        </w:rPr>
        <w:t>义</w:t>
      </w:r>
    </w:p>
    <w:p w14:paraId="1322921B">
      <w:pPr>
        <w:widowControl/>
        <w:numPr>
          <w:ilvl w:val="0"/>
          <w:numId w:val="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基础中医术语（经络、原穴、十二原穴、虚证、实证、寒证、热证）：直接等同采用</w:t>
      </w:r>
      <w:r>
        <w:rPr>
          <w:rFonts w:ascii="宋体" w:hAnsi="宋体" w:eastAsia="宋体" w:cs="Arial"/>
          <w:color w:val="000000"/>
          <w:kern w:val="0"/>
          <w:sz w:val="24"/>
          <w:szCs w:val="24"/>
        </w:rPr>
        <w:t xml:space="preserve"> GB/T 30232</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 xml:space="preserve">GB/T 16751.2-2021 </w:t>
      </w:r>
      <w:r>
        <w:rPr>
          <w:rFonts w:hint="eastAsia" w:ascii="宋体" w:hAnsi="宋体" w:eastAsia="宋体" w:cs="微软雅黑"/>
          <w:color w:val="000000"/>
          <w:kern w:val="0"/>
          <w:sz w:val="24"/>
          <w:szCs w:val="24"/>
        </w:rPr>
        <w:t>国标定义，保证全行业术语统一；原穴释义补充《灵枢</w:t>
      </w:r>
      <w:r>
        <w:rPr>
          <w:rFonts w:hint="eastAsia" w:ascii="微软雅黑" w:hAnsi="微软雅黑" w:eastAsia="微软雅黑" w:cs="微软雅黑"/>
          <w:color w:val="000000"/>
          <w:kern w:val="0"/>
          <w:sz w:val="24"/>
          <w:szCs w:val="24"/>
        </w:rPr>
        <w:t>・</w:t>
      </w:r>
      <w:r>
        <w:rPr>
          <w:rFonts w:hint="eastAsia" w:ascii="宋体" w:hAnsi="宋体" w:eastAsia="宋体" w:cs="宋体"/>
          <w:color w:val="000000"/>
          <w:kern w:val="0"/>
          <w:sz w:val="24"/>
          <w:szCs w:val="24"/>
        </w:rPr>
        <w:t>九针十二原》中医理论依据，结合现代电学检测实践完善注释</w:t>
      </w:r>
      <w:r>
        <w:rPr>
          <w:rFonts w:ascii="宋体" w:hAnsi="宋体" w:eastAsia="宋体" w:cs="微软雅黑"/>
          <w:color w:val="000000"/>
          <w:kern w:val="0"/>
          <w:sz w:val="24"/>
          <w:szCs w:val="24"/>
        </w:rPr>
        <w:t>。</w:t>
      </w:r>
    </w:p>
    <w:p w14:paraId="304BCC48">
      <w:pPr>
        <w:widowControl/>
        <w:numPr>
          <w:ilvl w:val="0"/>
          <w:numId w:val="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新增数字化辨识专属术语（错杂、偏颇）：</w:t>
      </w:r>
      <w:r>
        <w:rPr>
          <w:rFonts w:ascii="宋体" w:hAnsi="宋体" w:eastAsia="宋体" w:cs="Arial"/>
          <w:color w:val="000000"/>
          <w:kern w:val="0"/>
          <w:sz w:val="24"/>
          <w:szCs w:val="24"/>
        </w:rPr>
        <w:t xml:space="preserve"> </w:t>
      </w:r>
    </w:p>
    <w:p w14:paraId="66E8C204">
      <w:pPr>
        <w:widowControl/>
        <w:numPr>
          <w:ilvl w:val="0"/>
          <w:numId w:val="7"/>
        </w:numPr>
        <w:spacing w:line="360" w:lineRule="auto"/>
        <w:ind w:left="0" w:leftChars="0" w:firstLine="480" w:firstLineChars="20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错杂：定义为同经络左右原穴虚实</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寒热属性相反，对应临床表里同病、寒热互见、正邪交争复合证候，依据</w:t>
      </w:r>
      <w:r>
        <w:rPr>
          <w:rFonts w:ascii="宋体" w:hAnsi="宋体" w:eastAsia="宋体" w:cs="Arial"/>
          <w:color w:val="000000"/>
          <w:kern w:val="0"/>
          <w:sz w:val="24"/>
          <w:szCs w:val="24"/>
        </w:rPr>
        <w:t xml:space="preserve"> 3000 </w:t>
      </w:r>
      <w:r>
        <w:rPr>
          <w:rFonts w:hint="eastAsia" w:ascii="宋体" w:hAnsi="宋体" w:eastAsia="宋体" w:cs="微软雅黑"/>
          <w:color w:val="000000"/>
          <w:kern w:val="0"/>
          <w:sz w:val="24"/>
          <w:szCs w:val="24"/>
        </w:rPr>
        <w:t>余例人体双侧穴位数据归纳</w:t>
      </w:r>
      <w:r>
        <w:rPr>
          <w:rFonts w:ascii="宋体" w:hAnsi="宋体" w:eastAsia="宋体" w:cs="微软雅黑"/>
          <w:color w:val="000000"/>
          <w:kern w:val="0"/>
          <w:sz w:val="24"/>
          <w:szCs w:val="24"/>
        </w:rPr>
        <w:t>；</w:t>
      </w:r>
    </w:p>
    <w:p w14:paraId="0A6807D2">
      <w:pPr>
        <w:widowControl/>
        <w:numPr>
          <w:ilvl w:val="0"/>
          <w:numId w:val="7"/>
        </w:numPr>
        <w:spacing w:line="360" w:lineRule="auto"/>
        <w:ind w:left="0" w:leftChars="0" w:firstLine="480" w:firstLineChars="20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偏颇：定义为同经络左右原穴属性相同但数值差异显著，对应人体左右经络气血不对称失衡，匹配临床单侧肢体、脏腑不适人群检测数据特征</w:t>
      </w:r>
      <w:r>
        <w:rPr>
          <w:rFonts w:ascii="宋体" w:hAnsi="宋体" w:eastAsia="宋体" w:cs="微软雅黑"/>
          <w:color w:val="000000"/>
          <w:kern w:val="0"/>
          <w:sz w:val="24"/>
          <w:szCs w:val="24"/>
        </w:rPr>
        <w:t>。</w:t>
      </w:r>
    </w:p>
    <w:p w14:paraId="5400BA23">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（四）</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4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辨识仪器要</w:t>
      </w:r>
      <w:r>
        <w:rPr>
          <w:rFonts w:ascii="宋体" w:hAnsi="宋体" w:eastAsia="宋体" w:cs="微软雅黑"/>
          <w:color w:val="000000"/>
          <w:kern w:val="0"/>
          <w:sz w:val="24"/>
          <w:szCs w:val="24"/>
        </w:rPr>
        <w:t>求</w:t>
      </w:r>
    </w:p>
    <w:p w14:paraId="3AF1A90E">
      <w:pPr>
        <w:widowControl/>
        <w:spacing w:line="360" w:lineRule="auto"/>
        <w:ind w:firstLine="4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本章不重复罗列设备硬件指标，统一规定仪器需完全符合</w:t>
      </w:r>
      <w:r>
        <w:rPr>
          <w:rFonts w:ascii="宋体" w:hAnsi="宋体" w:eastAsia="宋体" w:cs="Arial"/>
          <w:color w:val="000000"/>
          <w:kern w:val="0"/>
          <w:sz w:val="24"/>
          <w:szCs w:val="24"/>
        </w:rPr>
        <w:t xml:space="preserve"> T/CRACM0004-2025 </w:t>
      </w:r>
      <w:r>
        <w:rPr>
          <w:rFonts w:hint="eastAsia" w:ascii="宋体" w:hAnsi="宋体" w:eastAsia="宋体" w:cs="微软雅黑"/>
          <w:color w:val="000000"/>
          <w:kern w:val="0"/>
          <w:sz w:val="24"/>
          <w:szCs w:val="24"/>
        </w:rPr>
        <w:t>全部要求</w:t>
      </w:r>
      <w:r>
        <w:rPr>
          <w:rFonts w:ascii="宋体" w:hAnsi="宋体" w:eastAsia="宋体" w:cs="微软雅黑"/>
          <w:color w:val="000000"/>
          <w:kern w:val="0"/>
          <w:sz w:val="24"/>
          <w:szCs w:val="24"/>
        </w:rPr>
        <w:t>。</w:t>
      </w:r>
    </w:p>
    <w:p w14:paraId="63EF5DD8">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（五）</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5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检测前准备（适用人群、人员要求、环境要求</w:t>
      </w:r>
      <w:r>
        <w:rPr>
          <w:rFonts w:ascii="宋体" w:hAnsi="宋体" w:eastAsia="宋体" w:cs="微软雅黑"/>
          <w:color w:val="000000"/>
          <w:kern w:val="0"/>
          <w:sz w:val="24"/>
          <w:szCs w:val="24"/>
        </w:rPr>
        <w:t>）</w:t>
      </w:r>
    </w:p>
    <w:p w14:paraId="70F0068D">
      <w:pPr>
        <w:spacing w:line="360" w:lineRule="auto"/>
        <w:jc w:val="left"/>
        <w:rPr>
          <w:rFonts w:hint="eastAsia"/>
          <w:b/>
          <w:bCs/>
          <w:color w:val="000000"/>
          <w:sz w:val="28"/>
          <w:szCs w:val="28"/>
        </w:rPr>
      </w:pPr>
      <w:r>
        <w:rPr>
          <w:rFonts w:hint="eastAsia"/>
          <w:b/>
          <w:bCs/>
          <w:color w:val="000000"/>
          <w:sz w:val="28"/>
          <w:szCs w:val="28"/>
        </w:rPr>
        <w:t>5.1 适用人群与禁忌条款</w:t>
      </w:r>
    </w:p>
    <w:p w14:paraId="43383C52">
      <w:pPr>
        <w:widowControl/>
        <w:numPr>
          <w:ilvl w:val="0"/>
          <w:numId w:val="8"/>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适用年龄</w:t>
      </w:r>
      <w:r>
        <w:rPr>
          <w:rFonts w:ascii="宋体" w:hAnsi="宋体" w:eastAsia="宋体" w:cs="Arial"/>
          <w:color w:val="000000"/>
          <w:kern w:val="0"/>
          <w:sz w:val="24"/>
          <w:szCs w:val="24"/>
        </w:rPr>
        <w:t xml:space="preserve"> 6 </w:t>
      </w:r>
      <w:r>
        <w:rPr>
          <w:rFonts w:hint="eastAsia" w:ascii="宋体" w:hAnsi="宋体" w:eastAsia="宋体" w:cs="微软雅黑"/>
          <w:color w:val="000000"/>
          <w:kern w:val="0"/>
          <w:sz w:val="24"/>
          <w:szCs w:val="24"/>
        </w:rPr>
        <w:t>岁及以上：依据儿童皮肤导电特性、脏腑发育水平对照试验，故划定最低适用年龄</w:t>
      </w:r>
      <w:r>
        <w:rPr>
          <w:rFonts w:ascii="宋体" w:hAnsi="宋体" w:eastAsia="宋体" w:cs="微软雅黑"/>
          <w:color w:val="000000"/>
          <w:kern w:val="0"/>
          <w:sz w:val="24"/>
          <w:szCs w:val="24"/>
        </w:rPr>
        <w:t>；</w:t>
      </w:r>
    </w:p>
    <w:p w14:paraId="5F6EDB3F">
      <w:pPr>
        <w:widowControl/>
        <w:numPr>
          <w:ilvl w:val="0"/>
          <w:numId w:val="8"/>
        </w:numPr>
        <w:spacing w:line="360" w:lineRule="auto"/>
        <w:ind w:left="425" w:leftChars="0" w:hanging="425" w:firstLineChars="0"/>
        <w:jc w:val="left"/>
        <w:rPr>
          <w:rFonts w:ascii="宋体" w:hAnsi="宋体" w:eastAsia="宋体" w:cs="Arial"/>
          <w:color w:val="000000"/>
          <w:kern w:val="0"/>
          <w:sz w:val="24"/>
          <w:szCs w:val="24"/>
        </w:rPr>
      </w:pPr>
      <w:r>
        <w:rPr>
          <w:rFonts w:ascii="宋体" w:hAnsi="宋体" w:eastAsia="宋体" w:cs="Arial"/>
          <w:color w:val="000000"/>
          <w:kern w:val="0"/>
          <w:sz w:val="24"/>
          <w:szCs w:val="24"/>
        </w:rPr>
        <w:t xml:space="preserve">5 </w:t>
      </w:r>
      <w:r>
        <w:rPr>
          <w:rFonts w:hint="eastAsia" w:ascii="宋体" w:hAnsi="宋体" w:eastAsia="宋体" w:cs="微软雅黑"/>
          <w:color w:val="000000"/>
          <w:kern w:val="0"/>
          <w:sz w:val="24"/>
          <w:szCs w:val="24"/>
        </w:rPr>
        <w:t>类检测禁忌人群（心脏起搏器</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金属植入、严重脏器衰竭、手足皮肤创伤</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皮肤病、精神障碍无自理能力、电刺激过敏人群）：参考</w:t>
      </w:r>
      <w:r>
        <w:rPr>
          <w:rFonts w:ascii="宋体" w:hAnsi="宋体" w:eastAsia="宋体" w:cs="Arial"/>
          <w:color w:val="000000"/>
          <w:kern w:val="0"/>
          <w:sz w:val="24"/>
          <w:szCs w:val="24"/>
        </w:rPr>
        <w:t xml:space="preserve"> YY 0607 </w:t>
      </w:r>
      <w:r>
        <w:rPr>
          <w:rFonts w:hint="eastAsia" w:ascii="宋体" w:hAnsi="宋体" w:eastAsia="宋体" w:cs="微软雅黑"/>
          <w:color w:val="000000"/>
          <w:kern w:val="0"/>
          <w:sz w:val="24"/>
          <w:szCs w:val="24"/>
        </w:rPr>
        <w:t>神经肌肉刺激器安全标准、医用电气设备临床操作规范，模拟检测证实该类人群存在心律失常、皮肤灼伤、刺激过敏安全风险，明确禁止检测</w:t>
      </w:r>
      <w:r>
        <w:rPr>
          <w:rFonts w:ascii="宋体" w:hAnsi="宋体" w:eastAsia="宋体" w:cs="微软雅黑"/>
          <w:color w:val="000000"/>
          <w:kern w:val="0"/>
          <w:sz w:val="24"/>
          <w:szCs w:val="24"/>
        </w:rPr>
        <w:t>。</w:t>
      </w:r>
    </w:p>
    <w:p w14:paraId="3ADDE856">
      <w:pPr>
        <w:spacing w:line="360" w:lineRule="auto"/>
        <w:jc w:val="left"/>
        <w:rPr>
          <w:rFonts w:hint="eastAsia"/>
          <w:b/>
          <w:bCs/>
          <w:color w:val="000000"/>
          <w:sz w:val="28"/>
          <w:szCs w:val="28"/>
        </w:rPr>
      </w:pPr>
      <w:r>
        <w:rPr>
          <w:rFonts w:hint="eastAsia"/>
          <w:b/>
          <w:bCs/>
          <w:color w:val="000000"/>
          <w:sz w:val="28"/>
          <w:szCs w:val="28"/>
        </w:rPr>
        <w:t>5.2 被检测者、检测人员约束要求</w:t>
      </w:r>
    </w:p>
    <w:p w14:paraId="6E270D05">
      <w:pPr>
        <w:widowControl/>
        <w:numPr>
          <w:ilvl w:val="0"/>
          <w:numId w:val="9"/>
        </w:numPr>
        <w:spacing w:line="360" w:lineRule="auto"/>
        <w:ind w:left="425" w:leftChars="0" w:hanging="425" w:firstLineChars="0"/>
        <w:jc w:val="left"/>
        <w:rPr>
          <w:rFonts w:ascii="宋体" w:hAnsi="宋体" w:eastAsia="宋体" w:cs="Arial"/>
          <w:color w:val="000000"/>
          <w:kern w:val="0"/>
          <w:sz w:val="24"/>
          <w:szCs w:val="24"/>
        </w:rPr>
      </w:pPr>
      <w:bookmarkStart w:id="6" w:name="OLE_LINK15"/>
      <w:bookmarkStart w:id="7" w:name="OLE_LINK16"/>
      <w:r>
        <w:rPr>
          <w:rFonts w:hint="eastAsia" w:ascii="宋体" w:hAnsi="宋体" w:eastAsia="宋体" w:cs="微软雅黑"/>
          <w:color w:val="000000"/>
          <w:kern w:val="0"/>
          <w:sz w:val="24"/>
          <w:szCs w:val="24"/>
        </w:rPr>
        <w:t>检测前</w:t>
      </w:r>
      <w:r>
        <w:rPr>
          <w:rFonts w:ascii="宋体" w:hAnsi="宋体" w:eastAsia="宋体" w:cs="Arial"/>
          <w:color w:val="000000"/>
          <w:kern w:val="0"/>
          <w:sz w:val="24"/>
          <w:szCs w:val="24"/>
        </w:rPr>
        <w:t xml:space="preserve"> 8</w:t>
      </w:r>
      <w:r>
        <w:rPr>
          <w:rFonts w:hint="eastAsia" w:ascii="宋体" w:hAnsi="宋体" w:eastAsia="宋体" w:cs="Arial"/>
          <w:color w:val="000000"/>
          <w:kern w:val="0"/>
          <w:sz w:val="24"/>
          <w:szCs w:val="24"/>
        </w:rPr>
        <w:t>小时</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禁酒、咖啡、浓茶</w:t>
      </w:r>
      <w:bookmarkEnd w:id="6"/>
      <w:bookmarkEnd w:id="7"/>
      <w:r>
        <w:rPr>
          <w:rFonts w:hint="eastAsia" w:ascii="宋体" w:hAnsi="宋体" w:eastAsia="宋体" w:cs="微软雅黑"/>
          <w:color w:val="000000"/>
          <w:kern w:val="0"/>
          <w:sz w:val="24"/>
          <w:szCs w:val="24"/>
        </w:rPr>
        <w:t>；禁止剧烈运动；检测前</w:t>
      </w:r>
      <w:r>
        <w:rPr>
          <w:rFonts w:ascii="宋体" w:hAnsi="宋体" w:eastAsia="宋体" w:cs="Arial"/>
          <w:color w:val="000000"/>
          <w:kern w:val="0"/>
          <w:sz w:val="24"/>
          <w:szCs w:val="24"/>
        </w:rPr>
        <w:t xml:space="preserve"> 15min </w:t>
      </w:r>
      <w:r>
        <w:rPr>
          <w:rFonts w:hint="eastAsia" w:ascii="宋体" w:hAnsi="宋体" w:eastAsia="宋体" w:cs="微软雅黑"/>
          <w:color w:val="000000"/>
          <w:kern w:val="0"/>
          <w:sz w:val="24"/>
          <w:szCs w:val="24"/>
        </w:rPr>
        <w:t>室温静息；半空腹、摘除金属物品</w:t>
      </w:r>
      <w:r>
        <w:rPr>
          <w:rFonts w:ascii="宋体" w:hAnsi="宋体" w:eastAsia="宋体" w:cs="微软雅黑"/>
          <w:color w:val="000000"/>
          <w:kern w:val="0"/>
          <w:sz w:val="24"/>
          <w:szCs w:val="24"/>
        </w:rPr>
        <w:t>：</w:t>
      </w:r>
      <w:r>
        <w:rPr>
          <w:rFonts w:hint="eastAsia" w:ascii="宋体" w:hAnsi="宋体" w:eastAsia="宋体" w:cs="微软雅黑"/>
          <w:color w:val="000000"/>
          <w:kern w:val="0"/>
          <w:sz w:val="24"/>
          <w:szCs w:val="24"/>
        </w:rPr>
        <w:t>要求的生理学基础与心电图（</w:t>
      </w:r>
      <w:r>
        <w:rPr>
          <w:rFonts w:ascii="宋体" w:hAnsi="宋体" w:eastAsia="宋体" w:cs="微软雅黑"/>
          <w:color w:val="000000"/>
          <w:kern w:val="0"/>
          <w:sz w:val="24"/>
          <w:szCs w:val="24"/>
        </w:rPr>
        <w:t>ECG）、脑电图（EEG）等精密医学电信号检测避免摄入兴奋性物质的原理完全一致，旨在消除非病理性因素对生物电采集的干扰。</w:t>
      </w:r>
      <w:r>
        <w:rPr>
          <w:rFonts w:hint="eastAsia" w:ascii="宋体" w:hAnsi="宋体" w:eastAsia="宋体" w:cs="微软雅黑"/>
          <w:color w:val="000000"/>
          <w:kern w:val="0"/>
          <w:sz w:val="24"/>
        </w:rPr>
        <w:t>试验证实酒精、咖啡因、剧烈运动、金属导电会大幅改变皮肤原穴阻抗，造成伏安曲线失真；空腹、饱腹状态下脏腑气血波动会干扰原穴电压数值，故设置前置约束</w:t>
      </w:r>
      <w:r>
        <w:rPr>
          <w:rFonts w:ascii="宋体" w:hAnsi="宋体" w:cs="微软雅黑"/>
          <w:color w:val="000000"/>
          <w:kern w:val="0"/>
          <w:sz w:val="24"/>
        </w:rPr>
        <w:t>；</w:t>
      </w:r>
    </w:p>
    <w:p w14:paraId="6B2B7A97">
      <w:pPr>
        <w:widowControl/>
        <w:numPr>
          <w:ilvl w:val="0"/>
          <w:numId w:val="9"/>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环境温湿度</w:t>
      </w:r>
      <w:r>
        <w:rPr>
          <w:rFonts w:ascii="宋体" w:hAnsi="宋体" w:eastAsia="宋体" w:cs="Arial"/>
          <w:color w:val="000000"/>
          <w:kern w:val="0"/>
          <w:sz w:val="24"/>
          <w:szCs w:val="24"/>
        </w:rPr>
        <w:t xml:space="preserve"> 18</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26</w:t>
      </w:r>
      <w:r>
        <w:rPr>
          <w:rFonts w:hint="eastAsia" w:ascii="宋体" w:hAnsi="宋体" w:eastAsia="宋体" w:cs="微软雅黑"/>
          <w:color w:val="000000"/>
          <w:kern w:val="0"/>
          <w:sz w:val="24"/>
          <w:szCs w:val="24"/>
        </w:rPr>
        <w:t>℃、相对湿度</w:t>
      </w:r>
      <w:r>
        <w:rPr>
          <w:rFonts w:ascii="宋体" w:hAnsi="宋体" w:eastAsia="宋体" w:cs="Arial"/>
          <w:color w:val="000000"/>
          <w:kern w:val="0"/>
          <w:sz w:val="24"/>
          <w:szCs w:val="24"/>
        </w:rPr>
        <w:t xml:space="preserve"> 30%</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80%</w:t>
      </w:r>
      <w:r>
        <w:rPr>
          <w:rFonts w:hint="eastAsia" w:ascii="宋体" w:hAnsi="宋体" w:eastAsia="宋体" w:cs="微软雅黑"/>
          <w:color w:val="000000"/>
          <w:kern w:val="0"/>
          <w:sz w:val="24"/>
          <w:szCs w:val="24"/>
        </w:rPr>
        <w:t>：该区间人体皮肤导电性能最稳定，偏离区间会显著增大检测离散度，依据</w:t>
      </w:r>
      <w:r>
        <w:rPr>
          <w:rFonts w:ascii="宋体" w:hAnsi="宋体" w:eastAsia="宋体" w:cs="Arial"/>
          <w:color w:val="000000"/>
          <w:kern w:val="0"/>
          <w:sz w:val="24"/>
          <w:szCs w:val="24"/>
        </w:rPr>
        <w:t xml:space="preserve"> GB/T 14710 </w:t>
      </w:r>
      <w:r>
        <w:rPr>
          <w:rFonts w:hint="eastAsia" w:ascii="宋体" w:hAnsi="宋体" w:eastAsia="宋体" w:cs="微软雅黑"/>
          <w:color w:val="000000"/>
          <w:kern w:val="0"/>
          <w:sz w:val="24"/>
          <w:szCs w:val="24"/>
        </w:rPr>
        <w:t>医用电器环境要求、人体皮肤阻抗对照试验确定</w:t>
      </w:r>
      <w:r>
        <w:rPr>
          <w:rFonts w:ascii="宋体" w:hAnsi="宋体" w:eastAsia="宋体" w:cs="微软雅黑"/>
          <w:color w:val="000000"/>
          <w:kern w:val="0"/>
          <w:sz w:val="24"/>
          <w:szCs w:val="24"/>
        </w:rPr>
        <w:t>；</w:t>
      </w:r>
    </w:p>
    <w:p w14:paraId="7E0AE3C5">
      <w:pPr>
        <w:widowControl/>
        <w:numPr>
          <w:ilvl w:val="0"/>
          <w:numId w:val="9"/>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检测人员需熟练掌握十二原穴标准定位：依据</w:t>
      </w:r>
      <w:r>
        <w:rPr>
          <w:rFonts w:ascii="宋体" w:hAnsi="宋体" w:eastAsia="宋体" w:cs="Arial"/>
          <w:color w:val="000000"/>
          <w:kern w:val="0"/>
          <w:sz w:val="24"/>
          <w:szCs w:val="24"/>
        </w:rPr>
        <w:t xml:space="preserve"> GB/T 12346 </w:t>
      </w:r>
      <w:r>
        <w:rPr>
          <w:rFonts w:hint="eastAsia" w:ascii="宋体" w:hAnsi="宋体" w:eastAsia="宋体" w:cs="微软雅黑"/>
          <w:color w:val="000000"/>
          <w:kern w:val="0"/>
          <w:sz w:val="24"/>
          <w:szCs w:val="24"/>
        </w:rPr>
        <w:t>经穴定位规范，穴位定位偏差会直接改变采集数据，故设置人员技能要求</w:t>
      </w:r>
      <w:r>
        <w:rPr>
          <w:rFonts w:ascii="宋体" w:hAnsi="宋体" w:eastAsia="宋体" w:cs="微软雅黑"/>
          <w:color w:val="000000"/>
          <w:kern w:val="0"/>
          <w:sz w:val="24"/>
          <w:szCs w:val="24"/>
        </w:rPr>
        <w:t>。</w:t>
      </w:r>
    </w:p>
    <w:p w14:paraId="02D0F295">
      <w:pPr>
        <w:spacing w:line="360" w:lineRule="auto"/>
        <w:jc w:val="left"/>
        <w:rPr>
          <w:rFonts w:hint="eastAsia"/>
          <w:b/>
          <w:bCs/>
          <w:color w:val="000000"/>
          <w:sz w:val="28"/>
          <w:szCs w:val="28"/>
        </w:rPr>
      </w:pPr>
      <w:r>
        <w:rPr>
          <w:rFonts w:hint="eastAsia"/>
          <w:b/>
          <w:bCs/>
          <w:color w:val="000000"/>
          <w:sz w:val="28"/>
          <w:szCs w:val="28"/>
        </w:rPr>
        <w:t>5.3 检测环境要求</w:t>
      </w:r>
    </w:p>
    <w:p w14:paraId="24F6F4E7">
      <w:pPr>
        <w:widowControl/>
        <w:numPr>
          <w:ilvl w:val="0"/>
          <w:numId w:val="10"/>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房间面积＞</w:t>
      </w:r>
      <w:r>
        <w:rPr>
          <w:rFonts w:ascii="宋体" w:hAnsi="宋体" w:eastAsia="宋体" w:cs="Arial"/>
          <w:color w:val="000000"/>
          <w:kern w:val="0"/>
          <w:sz w:val="24"/>
          <w:szCs w:val="24"/>
        </w:rPr>
        <w:t>15</w:t>
      </w:r>
      <w:r>
        <w:rPr>
          <w:rFonts w:hint="eastAsia" w:ascii="宋体" w:hAnsi="宋体" w:eastAsia="宋体" w:cs="Segoe UI Symbol"/>
          <w:color w:val="000000"/>
          <w:kern w:val="0"/>
          <w:sz w:val="24"/>
          <w:szCs w:val="24"/>
        </w:rPr>
        <w:t>㎡</w:t>
      </w:r>
      <w:r>
        <w:rPr>
          <w:rFonts w:hint="eastAsia" w:ascii="宋体" w:hAnsi="宋体" w:eastAsia="宋体" w:cs="微软雅黑"/>
          <w:color w:val="000000"/>
          <w:kern w:val="0"/>
          <w:sz w:val="24"/>
          <w:szCs w:val="24"/>
        </w:rPr>
        <w:t>、空气流通、噪声＜</w:t>
      </w:r>
      <w:r>
        <w:rPr>
          <w:rFonts w:ascii="宋体" w:hAnsi="宋体" w:eastAsia="宋体" w:cs="Arial"/>
          <w:color w:val="000000"/>
          <w:kern w:val="0"/>
          <w:sz w:val="24"/>
          <w:szCs w:val="24"/>
        </w:rPr>
        <w:t>40dB (A)</w:t>
      </w:r>
      <w:r>
        <w:rPr>
          <w:rFonts w:hint="eastAsia" w:ascii="宋体" w:hAnsi="宋体" w:eastAsia="宋体" w:cs="微软雅黑"/>
          <w:color w:val="000000"/>
          <w:kern w:val="0"/>
          <w:sz w:val="24"/>
          <w:szCs w:val="24"/>
        </w:rPr>
        <w:t>：嘈杂环境会导致受试者无法保持身心平静，狭小密闭空间温湿度易波动</w:t>
      </w:r>
      <w:r>
        <w:rPr>
          <w:rFonts w:ascii="宋体" w:hAnsi="宋体" w:eastAsia="宋体" w:cs="微软雅黑"/>
          <w:color w:val="000000"/>
          <w:kern w:val="0"/>
          <w:sz w:val="24"/>
          <w:szCs w:val="24"/>
        </w:rPr>
        <w:t>；</w:t>
      </w:r>
    </w:p>
    <w:p w14:paraId="311E134B">
      <w:pPr>
        <w:widowControl/>
        <w:numPr>
          <w:ilvl w:val="0"/>
          <w:numId w:val="10"/>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远离强电磁干扰源、雷电天气禁止使用：电磁辐射、雷电会扭曲设备伏安信号采集曲线，依据医用电气设备电磁兼容标准制定</w:t>
      </w:r>
      <w:r>
        <w:rPr>
          <w:rFonts w:ascii="宋体" w:hAnsi="宋体" w:eastAsia="宋体" w:cs="微软雅黑"/>
          <w:color w:val="000000"/>
          <w:kern w:val="0"/>
          <w:sz w:val="24"/>
          <w:szCs w:val="24"/>
        </w:rPr>
        <w:t>。</w:t>
      </w:r>
    </w:p>
    <w:p w14:paraId="69D6F8C3">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（六）</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6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辨识步骤（设备检查、信息录入、穴位定位、检测操作</w:t>
      </w:r>
      <w:r>
        <w:rPr>
          <w:rFonts w:ascii="宋体" w:hAnsi="宋体" w:eastAsia="宋体" w:cs="微软雅黑"/>
          <w:color w:val="000000"/>
          <w:kern w:val="0"/>
          <w:sz w:val="24"/>
          <w:szCs w:val="24"/>
        </w:rPr>
        <w:t>）</w:t>
      </w:r>
    </w:p>
    <w:p w14:paraId="77124CD8">
      <w:pPr>
        <w:spacing w:line="360" w:lineRule="auto"/>
        <w:jc w:val="left"/>
        <w:rPr>
          <w:rFonts w:hint="eastAsia"/>
          <w:b/>
          <w:bCs/>
          <w:color w:val="000000"/>
          <w:sz w:val="28"/>
          <w:szCs w:val="28"/>
        </w:rPr>
      </w:pPr>
      <w:r>
        <w:rPr>
          <w:rFonts w:hint="eastAsia"/>
          <w:b/>
          <w:bCs/>
          <w:color w:val="000000"/>
          <w:sz w:val="28"/>
          <w:szCs w:val="28"/>
        </w:rPr>
        <w:t>6.1 电极标准化操作</w:t>
      </w:r>
    </w:p>
    <w:p w14:paraId="141AEBEA">
      <w:pPr>
        <w:widowControl/>
        <w:numPr>
          <w:ilvl w:val="0"/>
          <w:numId w:val="11"/>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主电极填充生理盐水润湿医用棉球、辅助电极粘贴于左侧郄门穴：来源于专利</w:t>
      </w:r>
      <w:r>
        <w:rPr>
          <w:rFonts w:ascii="宋体" w:hAnsi="宋体" w:eastAsia="宋体" w:cs="Arial"/>
          <w:color w:val="000000"/>
          <w:kern w:val="0"/>
          <w:sz w:val="24"/>
          <w:szCs w:val="24"/>
        </w:rPr>
        <w:t xml:space="preserve"> CN218552353 </w:t>
      </w:r>
      <w:r>
        <w:rPr>
          <w:rFonts w:hint="eastAsia" w:ascii="宋体" w:hAnsi="宋体" w:eastAsia="宋体" w:cs="微软雅黑"/>
          <w:color w:val="000000"/>
          <w:kern w:val="0"/>
          <w:sz w:val="24"/>
          <w:szCs w:val="24"/>
        </w:rPr>
        <w:t>经络穴位电信号采集组件设计方案，对照试验证实郄门穴大面积辅助电极可最大程度降低人体接地阻抗波动，提升数据稳定性</w:t>
      </w:r>
      <w:r>
        <w:rPr>
          <w:rFonts w:ascii="宋体" w:hAnsi="宋体" w:eastAsia="宋体" w:cs="微软雅黑"/>
          <w:color w:val="000000"/>
          <w:kern w:val="0"/>
          <w:sz w:val="24"/>
          <w:szCs w:val="24"/>
        </w:rPr>
        <w:t>；</w:t>
      </w:r>
    </w:p>
    <w:p w14:paraId="67D923C8">
      <w:pPr>
        <w:widowControl/>
        <w:numPr>
          <w:ilvl w:val="0"/>
          <w:numId w:val="11"/>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电极垂直穴位、稳定压力、单穴采集</w:t>
      </w:r>
      <w:r>
        <w:rPr>
          <w:rFonts w:ascii="宋体" w:hAnsi="宋体" w:eastAsia="宋体" w:cs="Arial"/>
          <w:color w:val="000000"/>
          <w:kern w:val="0"/>
          <w:sz w:val="24"/>
          <w:szCs w:val="24"/>
        </w:rPr>
        <w:t>≥1s</w:t>
      </w:r>
      <w:r>
        <w:rPr>
          <w:rFonts w:hint="eastAsia" w:ascii="宋体" w:hAnsi="宋体" w:eastAsia="宋体" w:cs="微软雅黑"/>
          <w:color w:val="000000"/>
          <w:kern w:val="0"/>
          <w:sz w:val="24"/>
          <w:szCs w:val="24"/>
        </w:rPr>
        <w:t>：专利</w:t>
      </w:r>
      <w:r>
        <w:rPr>
          <w:rFonts w:ascii="宋体" w:hAnsi="宋体" w:eastAsia="宋体" w:cs="Arial"/>
          <w:color w:val="000000"/>
          <w:kern w:val="0"/>
          <w:sz w:val="24"/>
          <w:szCs w:val="24"/>
        </w:rPr>
        <w:t xml:space="preserve"> CN115191952 </w:t>
      </w:r>
      <w:r>
        <w:rPr>
          <w:rFonts w:hint="eastAsia" w:ascii="宋体" w:hAnsi="宋体" w:eastAsia="宋体" w:cs="微软雅黑"/>
          <w:color w:val="000000"/>
          <w:kern w:val="0"/>
          <w:sz w:val="24"/>
          <w:szCs w:val="24"/>
        </w:rPr>
        <w:t>算法完整采集</w:t>
      </w:r>
      <w:r>
        <w:rPr>
          <w:rFonts w:ascii="宋体" w:hAnsi="宋体" w:eastAsia="宋体" w:cs="Arial"/>
          <w:color w:val="000000"/>
          <w:kern w:val="0"/>
          <w:sz w:val="24"/>
          <w:szCs w:val="24"/>
        </w:rPr>
        <w:t xml:space="preserve"> 0~1s </w:t>
      </w:r>
      <w:r>
        <w:rPr>
          <w:rFonts w:hint="eastAsia" w:ascii="宋体" w:hAnsi="宋体" w:eastAsia="宋体" w:cs="微软雅黑"/>
          <w:color w:val="000000"/>
          <w:kern w:val="0"/>
          <w:sz w:val="24"/>
          <w:szCs w:val="24"/>
        </w:rPr>
        <w:t>伏安曲线所需最小采样时长，压力由检测笔内置弹簧稳定 （</w:t>
      </w:r>
      <w:r>
        <w:rPr>
          <w:rFonts w:ascii="宋体" w:hAnsi="宋体" w:eastAsia="宋体" w:cs="Arial"/>
          <w:color w:val="000000"/>
          <w:kern w:val="0"/>
          <w:sz w:val="24"/>
          <w:szCs w:val="24"/>
        </w:rPr>
        <w:t>1.6±0.2N</w:t>
      </w:r>
      <w:r>
        <w:rPr>
          <w:rFonts w:hint="eastAsia" w:ascii="宋体" w:hAnsi="宋体" w:eastAsia="宋体" w:cs="微软雅黑"/>
          <w:color w:val="000000"/>
          <w:kern w:val="0"/>
          <w:sz w:val="24"/>
          <w:szCs w:val="24"/>
        </w:rPr>
        <w:t>），避免人为按压力度差异干扰数值</w:t>
      </w:r>
      <w:r>
        <w:rPr>
          <w:rFonts w:ascii="宋体" w:hAnsi="宋体" w:eastAsia="宋体" w:cs="微软雅黑"/>
          <w:color w:val="000000"/>
          <w:kern w:val="0"/>
          <w:sz w:val="24"/>
          <w:szCs w:val="24"/>
        </w:rPr>
        <w:t>。</w:t>
      </w:r>
    </w:p>
    <w:p w14:paraId="103E9D34">
      <w:pPr>
        <w:spacing w:line="360" w:lineRule="auto"/>
        <w:jc w:val="left"/>
        <w:rPr>
          <w:rFonts w:hint="eastAsia"/>
          <w:b/>
          <w:bCs/>
          <w:color w:val="000000"/>
          <w:sz w:val="28"/>
          <w:szCs w:val="28"/>
        </w:rPr>
      </w:pPr>
      <w:r>
        <w:rPr>
          <w:rFonts w:hint="eastAsia"/>
          <w:b/>
          <w:bCs/>
          <w:color w:val="000000"/>
          <w:sz w:val="28"/>
          <w:szCs w:val="28"/>
        </w:rPr>
        <w:t>6.2 检测顺序：先手后足、先左后右，固定十二原穴采集序列</w:t>
      </w:r>
    </w:p>
    <w:p w14:paraId="4D219CCC">
      <w:pPr>
        <w:widowControl/>
        <w:spacing w:line="360" w:lineRule="auto"/>
        <w:ind w:firstLine="4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手部顺序：腕骨、神门、阳池、大陵、合谷、太渊；足部顺序：京骨、太溪、丘墟、太冲、冲阳、太白</w:t>
      </w:r>
      <w:r>
        <w:rPr>
          <w:rFonts w:ascii="宋体" w:hAnsi="宋体" w:eastAsia="宋体" w:cs="微软雅黑"/>
          <w:color w:val="000000"/>
          <w:kern w:val="0"/>
          <w:sz w:val="24"/>
          <w:szCs w:val="24"/>
        </w:rPr>
        <w:t>。</w:t>
      </w:r>
    </w:p>
    <w:p w14:paraId="1D890DD6">
      <w:pPr>
        <w:widowControl/>
        <w:spacing w:line="360" w:lineRule="auto"/>
        <w:ind w:firstLine="4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制定依据：固定统一采集时序，消除先后检测时间差、皮肤水分流失带来的数据偏移，实现不同机构检测流程完全统一</w:t>
      </w:r>
      <w:r>
        <w:rPr>
          <w:rFonts w:ascii="宋体" w:hAnsi="宋体" w:eastAsia="宋体" w:cs="微软雅黑"/>
          <w:color w:val="000000"/>
          <w:kern w:val="0"/>
          <w:sz w:val="24"/>
          <w:szCs w:val="24"/>
        </w:rPr>
        <w:t>。</w:t>
      </w:r>
    </w:p>
    <w:p w14:paraId="2DE48869">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（七）</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7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经络健康性质辨识（核心量化技术章节</w:t>
      </w:r>
      <w:r>
        <w:rPr>
          <w:rFonts w:ascii="宋体" w:hAnsi="宋体" w:eastAsia="宋体" w:cs="微软雅黑"/>
          <w:color w:val="000000"/>
          <w:kern w:val="0"/>
          <w:sz w:val="24"/>
          <w:szCs w:val="24"/>
        </w:rPr>
        <w:t>）</w:t>
      </w:r>
    </w:p>
    <w:p w14:paraId="3351EA6E">
      <w:pPr>
        <w:spacing w:line="360" w:lineRule="auto"/>
        <w:jc w:val="left"/>
        <w:rPr>
          <w:rFonts w:hint="eastAsia"/>
          <w:b/>
          <w:bCs/>
          <w:color w:val="000000"/>
          <w:sz w:val="28"/>
          <w:szCs w:val="28"/>
        </w:rPr>
      </w:pPr>
      <w:r>
        <w:rPr>
          <w:rFonts w:hint="eastAsia"/>
          <w:b/>
          <w:bCs/>
          <w:color w:val="000000"/>
          <w:sz w:val="28"/>
          <w:szCs w:val="28"/>
        </w:rPr>
        <w:t>7.1 虚实、寒热指标计算方法依据</w:t>
      </w:r>
    </w:p>
    <w:p w14:paraId="689B3FF8">
      <w:pPr>
        <w:widowControl/>
        <w:numPr>
          <w:ilvl w:val="0"/>
          <w:numId w:val="12"/>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虚实指标（</w:t>
      </w:r>
      <w:r>
        <w:rPr>
          <w:rFonts w:ascii="宋体" w:hAnsi="宋体" w:eastAsia="宋体" w:cs="Arial"/>
          <w:color w:val="000000"/>
          <w:kern w:val="0"/>
          <w:sz w:val="24"/>
          <w:szCs w:val="24"/>
        </w:rPr>
        <w:t xml:space="preserve">1s </w:t>
      </w:r>
      <w:r>
        <w:rPr>
          <w:rFonts w:hint="eastAsia" w:ascii="宋体" w:hAnsi="宋体" w:eastAsia="宋体" w:cs="微软雅黑"/>
          <w:color w:val="000000"/>
          <w:kern w:val="0"/>
          <w:sz w:val="24"/>
          <w:szCs w:val="24"/>
        </w:rPr>
        <w:t>时刻电压差值</w:t>
      </w:r>
      <w:r>
        <w:rPr>
          <w:rFonts w:ascii="宋体" w:hAnsi="宋体" w:eastAsia="宋体" w:cs="微软雅黑"/>
          <w:color w:val="000000"/>
          <w:kern w:val="0"/>
          <w:sz w:val="24"/>
          <w:szCs w:val="24"/>
        </w:rPr>
        <w:t>）</w:t>
      </w:r>
    </w:p>
    <w:p w14:paraId="26F20E46">
      <w:pPr>
        <w:pStyle w:val="12"/>
        <w:widowControl/>
        <w:spacing w:line="360" w:lineRule="auto"/>
        <w:jc w:val="left"/>
        <w:rPr>
          <w:rFonts w:ascii="宋体" w:hAnsi="宋体" w:cs="Arial"/>
          <w:color w:val="000000"/>
          <w:kern w:val="0"/>
          <w:sz w:val="24"/>
        </w:rPr>
      </w:pPr>
      <w:r>
        <w:rPr>
          <w:rFonts w:hint="eastAsia" w:ascii="宋体" w:hAnsi="宋体" w:cs="微软雅黑"/>
          <w:color w:val="000000"/>
          <w:kern w:val="0"/>
          <w:sz w:val="24"/>
        </w:rPr>
        <w:t>原理：原穴电压数值反映脏腑原气充盈程度，正气亏虚、气血不足时穴位电压偏低（差值＜</w:t>
      </w:r>
      <w:r>
        <w:rPr>
          <w:rFonts w:ascii="宋体" w:hAnsi="宋体" w:cs="Arial"/>
          <w:color w:val="000000"/>
          <w:kern w:val="0"/>
          <w:sz w:val="24"/>
        </w:rPr>
        <w:t>-50</w:t>
      </w:r>
      <w:r>
        <w:rPr>
          <w:rFonts w:hint="eastAsia" w:ascii="宋体" w:hAnsi="宋体" w:cs="微软雅黑"/>
          <w:color w:val="000000"/>
          <w:kern w:val="0"/>
          <w:sz w:val="24"/>
        </w:rPr>
        <w:t>，虚证）；邪气壅滞、气血亢盛时电压偏高（差值＞</w:t>
      </w:r>
      <w:r>
        <w:rPr>
          <w:rFonts w:ascii="宋体" w:hAnsi="宋体" w:cs="Arial"/>
          <w:color w:val="000000"/>
          <w:kern w:val="0"/>
          <w:sz w:val="24"/>
        </w:rPr>
        <w:t>+50</w:t>
      </w:r>
      <w:r>
        <w:rPr>
          <w:rFonts w:hint="eastAsia" w:ascii="宋体" w:hAnsi="宋体" w:cs="微软雅黑"/>
          <w:color w:val="000000"/>
          <w:kern w:val="0"/>
          <w:sz w:val="24"/>
        </w:rPr>
        <w:t>，实证）；计算模型源自发明专利</w:t>
      </w:r>
      <w:r>
        <w:rPr>
          <w:rFonts w:ascii="宋体" w:hAnsi="宋体" w:cs="Arial"/>
          <w:color w:val="000000"/>
          <w:kern w:val="0"/>
          <w:sz w:val="24"/>
        </w:rPr>
        <w:t xml:space="preserve"> CN115191952</w:t>
      </w:r>
      <w:r>
        <w:rPr>
          <w:rFonts w:hint="eastAsia" w:ascii="宋体" w:hAnsi="宋体" w:cs="微软雅黑"/>
          <w:color w:val="000000"/>
          <w:kern w:val="0"/>
          <w:sz w:val="24"/>
        </w:rPr>
        <w:t>《基于经络穴位测量的虚实寒热分析仪及虚实寒热分析方法》</w:t>
      </w:r>
    </w:p>
    <w:p w14:paraId="2F1A4C9A">
      <w:pPr>
        <w:widowControl/>
        <w:numPr>
          <w:ilvl w:val="0"/>
          <w:numId w:val="12"/>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寒热指标（伏安曲线一阶导数</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曲率差值</w:t>
      </w:r>
      <w:r>
        <w:rPr>
          <w:rFonts w:ascii="宋体" w:hAnsi="宋体" w:eastAsia="宋体" w:cs="微软雅黑"/>
          <w:color w:val="000000"/>
          <w:kern w:val="0"/>
          <w:sz w:val="24"/>
          <w:szCs w:val="24"/>
        </w:rPr>
        <w:t>）</w:t>
      </w:r>
    </w:p>
    <w:p w14:paraId="1EF97A20">
      <w:pPr>
        <w:pStyle w:val="12"/>
        <w:widowControl/>
        <w:spacing w:line="360" w:lineRule="auto"/>
        <w:jc w:val="left"/>
        <w:rPr>
          <w:rFonts w:ascii="宋体" w:hAnsi="宋体" w:cs="Arial"/>
          <w:color w:val="000000"/>
          <w:kern w:val="0"/>
          <w:sz w:val="24"/>
        </w:rPr>
      </w:pPr>
      <w:r>
        <w:rPr>
          <w:rFonts w:hint="eastAsia" w:ascii="宋体" w:hAnsi="宋体" w:cs="微软雅黑"/>
          <w:color w:val="000000"/>
          <w:kern w:val="0"/>
          <w:sz w:val="24"/>
        </w:rPr>
        <w:t>原理：热证经络导电响应速度快、曲线曲率高；寒证经络传导迟缓、曲线平缓曲率低，通过曲线曲率区分寒热属性</w:t>
      </w:r>
      <w:r>
        <w:rPr>
          <w:rFonts w:ascii="宋体" w:hAnsi="宋体" w:cs="微软雅黑"/>
          <w:color w:val="000000"/>
          <w:kern w:val="0"/>
          <w:sz w:val="24"/>
        </w:rPr>
        <w:t>。</w:t>
      </w:r>
    </w:p>
    <w:p w14:paraId="63CEF0B8">
      <w:pPr>
        <w:spacing w:line="360" w:lineRule="auto"/>
        <w:jc w:val="left"/>
        <w:rPr>
          <w:rFonts w:hint="eastAsia"/>
          <w:b/>
          <w:bCs/>
          <w:color w:val="000000"/>
          <w:sz w:val="28"/>
          <w:szCs w:val="28"/>
        </w:rPr>
      </w:pPr>
      <w:r>
        <w:rPr>
          <w:rFonts w:hint="eastAsia"/>
          <w:b/>
          <w:bCs/>
          <w:color w:val="000000"/>
          <w:sz w:val="28"/>
          <w:szCs w:val="28"/>
        </w:rPr>
        <w:t>7.2、7.3 虚实、寒热判定区间 [-50，+50]</w:t>
      </w:r>
    </w:p>
    <w:p w14:paraId="14F5AD8B">
      <w:pPr>
        <w:widowControl/>
        <w:spacing w:line="360" w:lineRule="auto"/>
        <w:ind w:firstLine="4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经多中心试验验证：指标落在</w:t>
      </w:r>
      <w:r>
        <w:rPr>
          <w:rFonts w:ascii="宋体" w:hAnsi="宋体" w:eastAsia="宋体" w:cs="Arial"/>
          <w:color w:val="000000"/>
          <w:kern w:val="0"/>
          <w:sz w:val="24"/>
          <w:szCs w:val="24"/>
        </w:rPr>
        <w:t xml:space="preserve"> [-50</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 xml:space="preserve">+50] </w:t>
      </w:r>
      <w:r>
        <w:rPr>
          <w:rFonts w:hint="eastAsia" w:ascii="宋体" w:hAnsi="宋体" w:eastAsia="宋体" w:cs="微软雅黑"/>
          <w:color w:val="000000"/>
          <w:kern w:val="0"/>
          <w:sz w:val="24"/>
          <w:szCs w:val="24"/>
        </w:rPr>
        <w:t>区间，经络气血阴阳平衡；差值＜</w:t>
      </w:r>
      <w:r>
        <w:rPr>
          <w:rFonts w:ascii="宋体" w:hAnsi="宋体" w:eastAsia="宋体" w:cs="Arial"/>
          <w:color w:val="000000"/>
          <w:kern w:val="0"/>
          <w:sz w:val="24"/>
          <w:szCs w:val="24"/>
        </w:rPr>
        <w:t xml:space="preserve">-50 </w:t>
      </w:r>
      <w:r>
        <w:rPr>
          <w:rFonts w:hint="eastAsia" w:ascii="宋体" w:hAnsi="宋体" w:eastAsia="宋体" w:cs="微软雅黑"/>
          <w:color w:val="000000"/>
          <w:kern w:val="0"/>
          <w:sz w:val="24"/>
          <w:szCs w:val="24"/>
        </w:rPr>
        <w:t>判定为虚</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寒，差值＞</w:t>
      </w:r>
      <w:r>
        <w:rPr>
          <w:rFonts w:ascii="宋体" w:hAnsi="宋体" w:eastAsia="宋体" w:cs="Arial"/>
          <w:color w:val="000000"/>
          <w:kern w:val="0"/>
          <w:sz w:val="24"/>
          <w:szCs w:val="24"/>
        </w:rPr>
        <w:t xml:space="preserve">+50 </w:t>
      </w:r>
      <w:r>
        <w:rPr>
          <w:rFonts w:hint="eastAsia" w:ascii="宋体" w:hAnsi="宋体" w:eastAsia="宋体" w:cs="微软雅黑"/>
          <w:color w:val="000000"/>
          <w:kern w:val="0"/>
          <w:sz w:val="24"/>
          <w:szCs w:val="24"/>
        </w:rPr>
        <w:t>判定为实</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热；临界值</w:t>
      </w:r>
      <w:r>
        <w:rPr>
          <w:rFonts w:ascii="宋体" w:hAnsi="宋体" w:eastAsia="宋体" w:cs="Arial"/>
          <w:color w:val="000000"/>
          <w:kern w:val="0"/>
          <w:sz w:val="24"/>
          <w:szCs w:val="24"/>
        </w:rPr>
        <w:t xml:space="preserve"> 50 </w:t>
      </w:r>
      <w:r>
        <w:rPr>
          <w:rFonts w:hint="eastAsia" w:ascii="宋体" w:hAnsi="宋体" w:eastAsia="宋体" w:cs="微软雅黑"/>
          <w:color w:val="000000"/>
          <w:kern w:val="0"/>
          <w:sz w:val="24"/>
          <w:szCs w:val="24"/>
        </w:rPr>
        <w:t>为临床判断阈值，兼顾检测灵敏度与特异度。条文配套对应中医典型症状，实现量化数值与传统八纲证候互参，避免单一数值片面解读</w:t>
      </w:r>
      <w:r>
        <w:rPr>
          <w:rFonts w:ascii="宋体" w:hAnsi="宋体" w:eastAsia="宋体" w:cs="微软雅黑"/>
          <w:color w:val="000000"/>
          <w:kern w:val="0"/>
          <w:sz w:val="24"/>
          <w:szCs w:val="24"/>
        </w:rPr>
        <w:t>。</w:t>
      </w:r>
    </w:p>
    <w:p w14:paraId="300F7A26">
      <w:pPr>
        <w:spacing w:line="360" w:lineRule="auto"/>
        <w:jc w:val="left"/>
        <w:rPr>
          <w:rFonts w:hint="eastAsia"/>
          <w:b/>
          <w:bCs/>
          <w:color w:val="000000"/>
          <w:sz w:val="28"/>
          <w:szCs w:val="28"/>
        </w:rPr>
      </w:pPr>
      <w:r>
        <w:rPr>
          <w:rFonts w:hint="eastAsia"/>
          <w:b/>
          <w:bCs/>
          <w:color w:val="000000"/>
          <w:sz w:val="28"/>
          <w:szCs w:val="28"/>
        </w:rPr>
        <w:t>7.4 错杂辨识、7.5 偏颇辨识判定规则</w:t>
      </w:r>
    </w:p>
    <w:p w14:paraId="5CCDD6AD">
      <w:pPr>
        <w:widowControl/>
        <w:spacing w:line="360" w:lineRule="auto"/>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统一以同经络左右指标差值绝对值＞</w:t>
      </w:r>
      <w:r>
        <w:rPr>
          <w:rFonts w:ascii="宋体" w:hAnsi="宋体" w:eastAsia="宋体" w:cs="Arial"/>
          <w:color w:val="000000"/>
          <w:kern w:val="0"/>
          <w:sz w:val="24"/>
          <w:szCs w:val="24"/>
        </w:rPr>
        <w:t>50</w:t>
      </w:r>
      <w:r>
        <w:rPr>
          <w:rFonts w:hint="eastAsia" w:ascii="宋体" w:hAnsi="宋体" w:eastAsia="宋体" w:cs="微软雅黑"/>
          <w:color w:val="000000"/>
          <w:kern w:val="0"/>
          <w:sz w:val="24"/>
          <w:szCs w:val="24"/>
        </w:rPr>
        <w:t>作为临界判定阈值</w:t>
      </w:r>
      <w:r>
        <w:rPr>
          <w:rFonts w:ascii="宋体" w:hAnsi="宋体" w:eastAsia="宋体" w:cs="微软雅黑"/>
          <w:color w:val="000000"/>
          <w:kern w:val="0"/>
          <w:sz w:val="24"/>
          <w:szCs w:val="24"/>
        </w:rPr>
        <w:t>：</w:t>
      </w:r>
    </w:p>
    <w:p w14:paraId="5FB180A4">
      <w:pPr>
        <w:widowControl/>
        <w:numPr>
          <w:ilvl w:val="0"/>
          <w:numId w:val="13"/>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虚实</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寒热错杂：左右穴位属性相反，差值超阈值，代表同一经络两侧正邪、寒热并存</w:t>
      </w:r>
      <w:r>
        <w:rPr>
          <w:rFonts w:ascii="宋体" w:hAnsi="宋体" w:eastAsia="宋体" w:cs="微软雅黑"/>
          <w:color w:val="000000"/>
          <w:kern w:val="0"/>
          <w:sz w:val="24"/>
          <w:szCs w:val="24"/>
        </w:rPr>
        <w:t>；</w:t>
      </w:r>
    </w:p>
    <w:p w14:paraId="37A0EC98">
      <w:pPr>
        <w:widowControl/>
        <w:numPr>
          <w:ilvl w:val="0"/>
          <w:numId w:val="13"/>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虚实</w:t>
      </w:r>
      <w:r>
        <w:rPr>
          <w:rFonts w:ascii="宋体" w:hAnsi="宋体" w:eastAsia="宋体" w:cs="Arial"/>
          <w:color w:val="000000"/>
          <w:kern w:val="0"/>
          <w:sz w:val="24"/>
          <w:szCs w:val="24"/>
        </w:rPr>
        <w:t xml:space="preserve"> / </w:t>
      </w:r>
      <w:r>
        <w:rPr>
          <w:rFonts w:hint="eastAsia" w:ascii="宋体" w:hAnsi="宋体" w:eastAsia="宋体" w:cs="微软雅黑"/>
          <w:color w:val="000000"/>
          <w:kern w:val="0"/>
          <w:sz w:val="24"/>
          <w:szCs w:val="24"/>
        </w:rPr>
        <w:t>寒热偏颇：左右穴位属性相同、数值差距显著，代表单侧经络气血失衡，单侧症状表现突出</w:t>
      </w:r>
      <w:r>
        <w:rPr>
          <w:rFonts w:ascii="宋体" w:hAnsi="宋体" w:eastAsia="宋体" w:cs="微软雅黑"/>
          <w:color w:val="000000"/>
          <w:kern w:val="0"/>
          <w:sz w:val="24"/>
          <w:szCs w:val="24"/>
        </w:rPr>
        <w:t>；</w:t>
      </w:r>
    </w:p>
    <w:p w14:paraId="33A154F7">
      <w:pPr>
        <w:widowControl/>
        <w:spacing w:line="360" w:lineRule="auto"/>
        <w:ind w:firstLine="36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制定依据：基层临床大量受试者双侧穴位数据显示，单纯单一虚实寒热无法完整描述亚健康失衡状态，复合失衡分类贴合真实人体检测结果，量化临界值与单一证候判定阈值统一，降低设备算法开发难度</w:t>
      </w:r>
      <w:r>
        <w:rPr>
          <w:rFonts w:ascii="宋体" w:hAnsi="宋体" w:eastAsia="宋体" w:cs="微软雅黑"/>
          <w:color w:val="000000"/>
          <w:kern w:val="0"/>
          <w:sz w:val="24"/>
          <w:szCs w:val="24"/>
        </w:rPr>
        <w:t>。</w:t>
      </w:r>
    </w:p>
    <w:p w14:paraId="4F456816">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（八）</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第</w:t>
      </w:r>
      <w:r>
        <w:rPr>
          <w:rFonts w:ascii="宋体" w:hAnsi="宋体" w:eastAsia="宋体" w:cs="Arial"/>
          <w:color w:val="000000"/>
          <w:kern w:val="0"/>
          <w:sz w:val="24"/>
          <w:szCs w:val="24"/>
        </w:rPr>
        <w:t xml:space="preserve"> 8 </w:t>
      </w:r>
      <w:r>
        <w:rPr>
          <w:rFonts w:hint="eastAsia" w:ascii="宋体" w:hAnsi="宋体" w:eastAsia="宋体" w:cs="微软雅黑"/>
          <w:color w:val="000000"/>
          <w:kern w:val="0"/>
          <w:sz w:val="24"/>
          <w:szCs w:val="24"/>
        </w:rPr>
        <w:t>章</w:t>
      </w:r>
      <w:r>
        <w:rPr>
          <w:rFonts w:ascii="宋体" w:hAnsi="宋体" w:eastAsia="宋体" w:cs="Arial"/>
          <w:color w:val="000000"/>
          <w:kern w:val="0"/>
          <w:sz w:val="24"/>
          <w:szCs w:val="24"/>
        </w:rPr>
        <w:t xml:space="preserve"> </w:t>
      </w:r>
      <w:r>
        <w:rPr>
          <w:rFonts w:hint="eastAsia" w:ascii="宋体" w:hAnsi="宋体" w:eastAsia="宋体" w:cs="微软雅黑"/>
          <w:color w:val="000000"/>
          <w:kern w:val="0"/>
          <w:sz w:val="24"/>
          <w:szCs w:val="24"/>
        </w:rPr>
        <w:t>经络健康程度辨</w:t>
      </w:r>
      <w:r>
        <w:rPr>
          <w:rFonts w:ascii="宋体" w:hAnsi="宋体" w:eastAsia="宋体" w:cs="微软雅黑"/>
          <w:color w:val="000000"/>
          <w:kern w:val="0"/>
          <w:sz w:val="24"/>
          <w:szCs w:val="24"/>
        </w:rPr>
        <w:t>识</w:t>
      </w:r>
    </w:p>
    <w:p w14:paraId="34B70476">
      <w:pPr>
        <w:widowControl/>
        <w:numPr>
          <w:ilvl w:val="0"/>
          <w:numId w:val="14"/>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评估优先级规则：优先评估受试者主诉相关经络；多经络异常时，错杂异常＞偏颇异常＞单纯虚实寒热异常；无主诉时按指标异常数值从重到轻评估</w:t>
      </w:r>
      <w:r>
        <w:rPr>
          <w:rFonts w:ascii="宋体" w:hAnsi="宋体" w:eastAsia="宋体" w:cs="微软雅黑"/>
          <w:color w:val="000000"/>
          <w:kern w:val="0"/>
          <w:sz w:val="24"/>
          <w:szCs w:val="24"/>
        </w:rPr>
        <w:t>。</w:t>
      </w:r>
    </w:p>
    <w:p w14:paraId="6C32EEFE">
      <w:pPr>
        <w:pStyle w:val="12"/>
        <w:widowControl/>
        <w:numPr>
          <w:ilvl w:val="0"/>
          <w:numId w:val="14"/>
        </w:numPr>
        <w:spacing w:line="360" w:lineRule="auto"/>
        <w:ind w:left="425" w:leftChars="0" w:hanging="425" w:firstLineChars="0"/>
        <w:jc w:val="left"/>
        <w:rPr>
          <w:rFonts w:ascii="宋体" w:hAnsi="宋体" w:cs="Arial"/>
          <w:color w:val="000000"/>
          <w:kern w:val="0"/>
          <w:sz w:val="24"/>
        </w:rPr>
      </w:pPr>
      <w:r>
        <w:rPr>
          <w:rFonts w:hint="eastAsia" w:ascii="宋体" w:hAnsi="宋体" w:cs="微软雅黑"/>
          <w:color w:val="000000"/>
          <w:kern w:val="0"/>
          <w:sz w:val="24"/>
        </w:rPr>
        <w:t>制定依据：解决行业多经络异常时无统一解读顺序、统一全机构健康评估思路</w:t>
      </w:r>
      <w:r>
        <w:rPr>
          <w:rFonts w:ascii="宋体" w:hAnsi="宋体" w:cs="微软雅黑"/>
          <w:color w:val="000000"/>
          <w:kern w:val="0"/>
          <w:sz w:val="24"/>
        </w:rPr>
        <w:t>。</w:t>
      </w:r>
    </w:p>
    <w:p w14:paraId="79077517">
      <w:pPr>
        <w:widowControl/>
        <w:numPr>
          <w:ilvl w:val="0"/>
          <w:numId w:val="14"/>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健康状态分类：分为正常、八大类异常（虚证、实证、寒证、热证、虚实错杂、寒热错杂、虚实偏颇、寒热偏颇）；明确正常判定标准：双侧指标同属</w:t>
      </w:r>
      <w:r>
        <w:rPr>
          <w:rFonts w:ascii="宋体" w:hAnsi="宋体" w:eastAsia="宋体" w:cs="Arial"/>
          <w:color w:val="000000"/>
          <w:kern w:val="0"/>
          <w:sz w:val="24"/>
          <w:szCs w:val="24"/>
        </w:rPr>
        <w:t xml:space="preserve"> [-50</w:t>
      </w:r>
      <w:r>
        <w:rPr>
          <w:rFonts w:hint="eastAsia" w:ascii="宋体" w:hAnsi="宋体" w:eastAsia="宋体" w:cs="微软雅黑"/>
          <w:color w:val="000000"/>
          <w:kern w:val="0"/>
          <w:sz w:val="24"/>
          <w:szCs w:val="24"/>
        </w:rPr>
        <w:t>，</w:t>
      </w:r>
      <w:r>
        <w:rPr>
          <w:rFonts w:ascii="宋体" w:hAnsi="宋体" w:eastAsia="宋体" w:cs="Arial"/>
          <w:color w:val="000000"/>
          <w:kern w:val="0"/>
          <w:sz w:val="24"/>
          <w:szCs w:val="24"/>
        </w:rPr>
        <w:t>+50]</w:t>
      </w:r>
      <w:r>
        <w:rPr>
          <w:rFonts w:hint="eastAsia" w:ascii="宋体" w:hAnsi="宋体" w:eastAsia="宋体" w:cs="微软雅黑"/>
          <w:color w:val="000000"/>
          <w:kern w:val="0"/>
          <w:sz w:val="24"/>
          <w:szCs w:val="24"/>
        </w:rPr>
        <w:t>，或属性相反但差值</w:t>
      </w:r>
      <w:r>
        <w:rPr>
          <w:rFonts w:ascii="宋体" w:hAnsi="宋体" w:eastAsia="宋体" w:cs="Arial"/>
          <w:color w:val="000000"/>
          <w:kern w:val="0"/>
          <w:sz w:val="24"/>
          <w:szCs w:val="24"/>
        </w:rPr>
        <w:t>≤50</w:t>
      </w:r>
      <w:r>
        <w:rPr>
          <w:rFonts w:ascii="宋体" w:hAnsi="宋体" w:eastAsia="宋体" w:cs="微软雅黑"/>
          <w:color w:val="000000"/>
          <w:kern w:val="0"/>
          <w:sz w:val="24"/>
          <w:szCs w:val="24"/>
        </w:rPr>
        <w:t>。</w:t>
      </w:r>
    </w:p>
    <w:p w14:paraId="2E23E612">
      <w:pPr>
        <w:widowControl/>
        <w:spacing w:line="360" w:lineRule="auto"/>
        <w:ind w:left="7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 xml:space="preserve"> 为设备软件报告输出、标准化健康解读提供统一分类框架</w:t>
      </w:r>
      <w:r>
        <w:rPr>
          <w:rFonts w:ascii="宋体" w:hAnsi="宋体" w:eastAsia="宋体" w:cs="微软雅黑"/>
          <w:color w:val="000000"/>
          <w:kern w:val="0"/>
          <w:sz w:val="24"/>
          <w:szCs w:val="24"/>
        </w:rPr>
        <w:t>。</w:t>
      </w:r>
    </w:p>
    <w:p w14:paraId="323E1DFA">
      <w:pPr>
        <w:widowControl/>
        <w:spacing w:line="360" w:lineRule="auto"/>
        <w:jc w:val="left"/>
        <w:outlineLvl w:val="2"/>
        <w:rPr>
          <w:rFonts w:ascii="宋体" w:hAnsi="宋体" w:eastAsia="宋体" w:cs="Arial"/>
          <w:color w:val="000000"/>
          <w:kern w:val="0"/>
          <w:sz w:val="24"/>
          <w:szCs w:val="24"/>
        </w:rPr>
      </w:pPr>
      <w:r>
        <w:rPr>
          <w:rFonts w:hint="eastAsia" w:ascii="宋体" w:hAnsi="宋体" w:eastAsia="宋体" w:cs="微软雅黑"/>
          <w:color w:val="000000"/>
          <w:kern w:val="0"/>
          <w:sz w:val="24"/>
          <w:szCs w:val="24"/>
        </w:rPr>
        <w:t>（九）</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参考文</w:t>
      </w:r>
      <w:r>
        <w:rPr>
          <w:rFonts w:ascii="宋体" w:hAnsi="宋体" w:eastAsia="宋体" w:cs="微软雅黑"/>
          <w:color w:val="000000"/>
          <w:kern w:val="0"/>
          <w:sz w:val="24"/>
          <w:szCs w:val="24"/>
        </w:rPr>
        <w:t>献</w:t>
      </w:r>
    </w:p>
    <w:p w14:paraId="1410C6B5">
      <w:pPr>
        <w:widowControl/>
        <w:spacing w:line="360" w:lineRule="auto"/>
        <w:ind w:firstLine="42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收录医疗器械行业标准、经络电学经典研究文献、经络检测仪相关专利、国内主流经络检测仪企业标准，为本标准全部操作流程、量化算法、判定阈值提供完整理论、试验、行业实践支撑</w:t>
      </w:r>
      <w:r>
        <w:rPr>
          <w:rFonts w:ascii="宋体" w:hAnsi="宋体" w:eastAsia="宋体" w:cs="微软雅黑"/>
          <w:color w:val="000000"/>
          <w:kern w:val="0"/>
          <w:sz w:val="24"/>
          <w:szCs w:val="24"/>
        </w:rPr>
        <w:t>。</w:t>
      </w:r>
    </w:p>
    <w:p w14:paraId="62A3BAC9">
      <w:pPr>
        <w:jc w:val="left"/>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五、标准涉及专利说明</w:t>
      </w:r>
    </w:p>
    <w:p w14:paraId="3E41913A">
      <w:pPr>
        <w:widowControl/>
        <w:spacing w:line="360" w:lineRule="auto"/>
        <w:ind w:firstLine="480" w:firstLineChars="20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本标准核心电极采集结构、虚实寒热量化分析算法依托两项已授权中国专利，专利权利人为本标准主要起草人杜冰</w:t>
      </w:r>
      <w:r>
        <w:rPr>
          <w:rFonts w:ascii="宋体" w:hAnsi="宋体" w:eastAsia="宋体" w:cs="微软雅黑"/>
          <w:color w:val="000000"/>
          <w:kern w:val="0"/>
          <w:sz w:val="24"/>
          <w:szCs w:val="24"/>
        </w:rPr>
        <w:t>：</w:t>
      </w:r>
    </w:p>
    <w:p w14:paraId="746D4099">
      <w:pPr>
        <w:widowControl/>
        <w:numPr>
          <w:ilvl w:val="0"/>
          <w:numId w:val="1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实用新型专利：</w:t>
      </w:r>
      <w:r>
        <w:rPr>
          <w:rFonts w:ascii="宋体" w:hAnsi="宋体" w:eastAsia="宋体" w:cs="Arial"/>
          <w:color w:val="000000"/>
          <w:kern w:val="0"/>
          <w:sz w:val="24"/>
          <w:szCs w:val="24"/>
        </w:rPr>
        <w:t>CN218552353</w:t>
      </w:r>
      <w:r>
        <w:rPr>
          <w:rFonts w:hint="eastAsia" w:ascii="宋体" w:hAnsi="宋体" w:eastAsia="宋体" w:cs="微软雅黑"/>
          <w:color w:val="000000"/>
          <w:kern w:val="0"/>
          <w:sz w:val="24"/>
          <w:szCs w:val="24"/>
        </w:rPr>
        <w:t>，经络穴位电信号采集组件及经络仪</w:t>
      </w:r>
      <w:r>
        <w:rPr>
          <w:rFonts w:ascii="宋体" w:hAnsi="宋体" w:eastAsia="宋体" w:cs="微软雅黑"/>
          <w:color w:val="000000"/>
          <w:kern w:val="0"/>
          <w:sz w:val="24"/>
          <w:szCs w:val="24"/>
        </w:rPr>
        <w:t>；</w:t>
      </w:r>
    </w:p>
    <w:p w14:paraId="1E542851">
      <w:pPr>
        <w:widowControl/>
        <w:numPr>
          <w:ilvl w:val="0"/>
          <w:numId w:val="15"/>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发明专利：</w:t>
      </w:r>
      <w:r>
        <w:rPr>
          <w:rFonts w:ascii="宋体" w:hAnsi="宋体" w:eastAsia="宋体" w:cs="Arial"/>
          <w:color w:val="000000"/>
          <w:kern w:val="0"/>
          <w:sz w:val="24"/>
          <w:szCs w:val="24"/>
        </w:rPr>
        <w:t>CN115191952</w:t>
      </w:r>
      <w:r>
        <w:rPr>
          <w:rFonts w:hint="eastAsia" w:ascii="宋体" w:hAnsi="宋体" w:eastAsia="宋体" w:cs="微软雅黑"/>
          <w:color w:val="000000"/>
          <w:kern w:val="0"/>
          <w:sz w:val="24"/>
          <w:szCs w:val="24"/>
        </w:rPr>
        <w:t>，基于经络穴位测量的虚实寒热分析仪及虚实寒热分析方法</w:t>
      </w:r>
      <w:r>
        <w:rPr>
          <w:rFonts w:ascii="宋体" w:hAnsi="宋体" w:eastAsia="宋体" w:cs="微软雅黑"/>
          <w:color w:val="000000"/>
          <w:kern w:val="0"/>
          <w:sz w:val="24"/>
          <w:szCs w:val="24"/>
        </w:rPr>
        <w:t>。</w:t>
      </w:r>
    </w:p>
    <w:p w14:paraId="1D9B7349">
      <w:pPr>
        <w:widowControl/>
        <w:spacing w:line="360" w:lineRule="auto"/>
        <w:ind w:firstLine="480" w:firstLineChars="200"/>
        <w:jc w:val="left"/>
        <w:rPr>
          <w:rFonts w:ascii="宋体" w:hAnsi="宋体" w:eastAsia="宋体" w:cs="微软雅黑"/>
          <w:color w:val="000000"/>
          <w:kern w:val="0"/>
          <w:sz w:val="24"/>
          <w:szCs w:val="24"/>
        </w:rPr>
      </w:pPr>
      <w:r>
        <w:rPr>
          <w:rFonts w:ascii="宋体" w:hAnsi="宋体" w:eastAsia="宋体" w:cs="微软雅黑"/>
          <w:color w:val="000000"/>
          <w:kern w:val="0"/>
          <w:sz w:val="24"/>
          <w:szCs w:val="24"/>
        </w:rPr>
        <w:t>对于使用团体标准中专利技术的实施主体，专利权人应在公平、合理、无歧视（FRAND）原则基础上，通过协商方式确定专利实施许可费用标准。</w:t>
      </w:r>
    </w:p>
    <w:p w14:paraId="6FA27269">
      <w:pPr>
        <w:jc w:val="left"/>
        <w:rPr>
          <w:rFonts w:hint="eastAsia" w:ascii="黑体" w:hAnsi="黑体" w:eastAsia="黑体" w:cs="Times New Roman"/>
          <w:b/>
          <w:color w:val="000000"/>
          <w:sz w:val="28"/>
          <w:szCs w:val="28"/>
        </w:rPr>
      </w:pPr>
      <w:r>
        <w:rPr>
          <w:rFonts w:hint="eastAsia" w:ascii="黑体" w:hAnsi="黑体" w:eastAsia="黑体" w:cs="Times New Roman"/>
          <w:b/>
          <w:color w:val="000000"/>
          <w:sz w:val="28"/>
          <w:szCs w:val="28"/>
        </w:rPr>
        <w:t>六、与现行法律法规、相关标准协调性说明</w:t>
      </w:r>
    </w:p>
    <w:p w14:paraId="460C1D81">
      <w:pPr>
        <w:widowControl/>
        <w:numPr>
          <w:ilvl w:val="0"/>
          <w:numId w:val="1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法律法规层面：符合《中华人民共和国中医药法》《团体标准管理规定》《医疗器械监督管理条例》相关要求；</w:t>
      </w:r>
    </w:p>
    <w:p w14:paraId="59D4C557">
      <w:pPr>
        <w:widowControl/>
        <w:numPr>
          <w:ilvl w:val="0"/>
          <w:numId w:val="1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强制性国家标准：严格执行</w:t>
      </w:r>
      <w:r>
        <w:rPr>
          <w:rFonts w:ascii="宋体" w:hAnsi="宋体" w:eastAsia="宋体" w:cs="Arial"/>
          <w:color w:val="000000"/>
          <w:kern w:val="0"/>
          <w:sz w:val="24"/>
          <w:szCs w:val="24"/>
        </w:rPr>
        <w:t xml:space="preserve"> GB 9706.1 </w:t>
      </w:r>
      <w:r>
        <w:rPr>
          <w:rFonts w:hint="eastAsia" w:ascii="宋体" w:hAnsi="宋体" w:eastAsia="宋体" w:cs="微软雅黑"/>
          <w:color w:val="000000"/>
          <w:kern w:val="0"/>
          <w:sz w:val="24"/>
          <w:szCs w:val="24"/>
        </w:rPr>
        <w:t>医用电气通用安全、</w:t>
      </w:r>
      <w:r>
        <w:rPr>
          <w:rFonts w:ascii="宋体" w:hAnsi="宋体" w:eastAsia="宋体" w:cs="Arial"/>
          <w:color w:val="000000"/>
          <w:kern w:val="0"/>
          <w:sz w:val="24"/>
          <w:szCs w:val="24"/>
        </w:rPr>
        <w:t xml:space="preserve">GB/T 16886.1 </w:t>
      </w:r>
      <w:r>
        <w:rPr>
          <w:rFonts w:hint="eastAsia" w:ascii="宋体" w:hAnsi="宋体" w:eastAsia="宋体" w:cs="微软雅黑"/>
          <w:color w:val="000000"/>
          <w:kern w:val="0"/>
          <w:sz w:val="24"/>
          <w:szCs w:val="24"/>
        </w:rPr>
        <w:t>医疗器械生物相容性评价，所有操作、耗材条款安全要求不低于强制国标底线</w:t>
      </w:r>
      <w:r>
        <w:rPr>
          <w:rFonts w:ascii="宋体" w:hAnsi="宋体" w:eastAsia="宋体" w:cs="微软雅黑"/>
          <w:color w:val="000000"/>
          <w:kern w:val="0"/>
          <w:sz w:val="24"/>
          <w:szCs w:val="24"/>
        </w:rPr>
        <w:t>。</w:t>
      </w:r>
    </w:p>
    <w:p w14:paraId="52A36E86">
      <w:pPr>
        <w:widowControl/>
        <w:numPr>
          <w:ilvl w:val="0"/>
          <w:numId w:val="1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中医推荐性国家标准：术语、经穴定位、证候定义完全等同引用国标，无术语冲突、定义矛盾</w:t>
      </w:r>
      <w:r>
        <w:rPr>
          <w:rFonts w:ascii="宋体" w:hAnsi="宋体" w:eastAsia="宋体" w:cs="微软雅黑"/>
          <w:color w:val="000000"/>
          <w:kern w:val="0"/>
          <w:sz w:val="24"/>
          <w:szCs w:val="24"/>
        </w:rPr>
        <w:t>。</w:t>
      </w:r>
    </w:p>
    <w:p w14:paraId="62D3F54D">
      <w:pPr>
        <w:widowControl/>
        <w:numPr>
          <w:ilvl w:val="0"/>
          <w:numId w:val="1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配套团体标准：与</w:t>
      </w:r>
      <w:r>
        <w:rPr>
          <w:rFonts w:ascii="宋体" w:hAnsi="宋体" w:eastAsia="宋体" w:cs="Arial"/>
          <w:color w:val="000000"/>
          <w:kern w:val="0"/>
          <w:sz w:val="24"/>
          <w:szCs w:val="24"/>
        </w:rPr>
        <w:t xml:space="preserve"> T/CRACM0004-2025</w:t>
      </w:r>
      <w:r>
        <w:rPr>
          <w:rFonts w:hint="eastAsia" w:ascii="宋体" w:hAnsi="宋体" w:eastAsia="宋体" w:cs="微软雅黑"/>
          <w:color w:val="000000"/>
          <w:kern w:val="0"/>
          <w:sz w:val="24"/>
          <w:szCs w:val="24"/>
        </w:rPr>
        <w:t>《中医经络健康检测仪》形成成套标准，前者规范设备硬件质量，后者规范全流程操作与辨证判定，二者内容互补、无重复、无矛盾</w:t>
      </w:r>
      <w:r>
        <w:rPr>
          <w:rFonts w:ascii="宋体" w:hAnsi="宋体" w:eastAsia="宋体" w:cs="微软雅黑"/>
          <w:color w:val="000000"/>
          <w:kern w:val="0"/>
          <w:sz w:val="24"/>
          <w:szCs w:val="24"/>
        </w:rPr>
        <w:t>。</w:t>
      </w:r>
    </w:p>
    <w:p w14:paraId="78767704">
      <w:pPr>
        <w:widowControl/>
        <w:numPr>
          <w:ilvl w:val="0"/>
          <w:numId w:val="16"/>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行业、企业标准：对标国内多家主流经络检测仪企业标准，统一操作流程、量化判定逻辑，规范化程度高于现有零散企业标准，可作为企业标准升级、统一执行依据</w:t>
      </w:r>
      <w:r>
        <w:rPr>
          <w:rFonts w:ascii="宋体" w:hAnsi="宋体" w:eastAsia="宋体" w:cs="微软雅黑"/>
          <w:color w:val="000000"/>
          <w:kern w:val="0"/>
          <w:sz w:val="24"/>
          <w:szCs w:val="24"/>
        </w:rPr>
        <w:t>。</w:t>
      </w:r>
    </w:p>
    <w:p w14:paraId="73C0D1CE">
      <w:pPr>
        <w:jc w:val="left"/>
        <w:rPr>
          <w:rFonts w:hint="eastAsia" w:ascii="黑体" w:hAnsi="黑体" w:eastAsia="黑体" w:cs="Times New Roman"/>
          <w:b/>
          <w:color w:val="000000"/>
          <w:sz w:val="28"/>
          <w:szCs w:val="28"/>
        </w:rPr>
      </w:pPr>
      <w:bookmarkStart w:id="8" w:name="_GoBack"/>
      <w:r>
        <w:rPr>
          <w:rFonts w:hint="eastAsia" w:ascii="黑体" w:hAnsi="黑体" w:eastAsia="黑体" w:cs="Times New Roman"/>
          <w:b/>
          <w:color w:val="000000"/>
          <w:sz w:val="28"/>
          <w:szCs w:val="28"/>
        </w:rPr>
        <w:t>七、重大分歧意见处理经过及依据</w:t>
      </w:r>
    </w:p>
    <w:bookmarkEnd w:id="8"/>
    <w:p w14:paraId="473DC7B1">
      <w:pPr>
        <w:spacing w:line="360" w:lineRule="auto"/>
        <w:ind w:firstLine="420"/>
        <w:jc w:val="left"/>
        <w:rPr>
          <w:b/>
          <w:color w:val="000000"/>
          <w:sz w:val="28"/>
          <w:szCs w:val="28"/>
        </w:rPr>
      </w:pPr>
      <w:r>
        <w:rPr>
          <w:rFonts w:hint="eastAsia"/>
          <w:b/>
          <w:color w:val="000000"/>
          <w:sz w:val="28"/>
          <w:szCs w:val="28"/>
        </w:rPr>
        <w:t>无</w:t>
      </w:r>
    </w:p>
    <w:p w14:paraId="2822B4E2">
      <w:pPr>
        <w:widowControl/>
        <w:spacing w:line="360" w:lineRule="auto"/>
        <w:jc w:val="left"/>
        <w:rPr>
          <w:b/>
          <w:color w:val="000000"/>
          <w:sz w:val="28"/>
          <w:szCs w:val="28"/>
        </w:rPr>
      </w:pPr>
      <w:r>
        <w:rPr>
          <w:rFonts w:hint="eastAsia"/>
          <w:b/>
          <w:color w:val="000000"/>
          <w:sz w:val="28"/>
          <w:szCs w:val="28"/>
        </w:rPr>
        <w:t>八、标准性质的建议说明</w:t>
      </w:r>
    </w:p>
    <w:p w14:paraId="568204F0">
      <w:pPr>
        <w:widowControl/>
        <w:spacing w:line="360" w:lineRule="auto"/>
        <w:jc w:val="left"/>
        <w:rPr>
          <w:rFonts w:ascii="宋体" w:hAnsi="宋体" w:eastAsia="宋体" w:cs="微软雅黑"/>
          <w:color w:val="000000"/>
          <w:kern w:val="0"/>
          <w:sz w:val="24"/>
          <w:szCs w:val="24"/>
        </w:rPr>
      </w:pPr>
      <w:r>
        <w:rPr>
          <w:rFonts w:hint="eastAsia" w:ascii="宋体" w:hAnsi="宋体" w:cs="微软雅黑"/>
          <w:color w:val="000000"/>
          <w:kern w:val="0"/>
          <w:sz w:val="24"/>
        </w:rPr>
        <w:t xml:space="preserve"> </w:t>
      </w:r>
      <w:r>
        <w:rPr>
          <w:rFonts w:ascii="宋体" w:hAnsi="宋体" w:cs="微软雅黑"/>
          <w:color w:val="000000"/>
          <w:kern w:val="0"/>
          <w:sz w:val="24"/>
        </w:rPr>
        <w:t xml:space="preserve">  </w:t>
      </w:r>
      <w:r>
        <w:rPr>
          <w:rFonts w:hint="eastAsia" w:ascii="宋体" w:hAnsi="宋体" w:eastAsia="宋体" w:cs="微软雅黑"/>
          <w:color w:val="000000"/>
          <w:kern w:val="0"/>
          <w:sz w:val="24"/>
          <w:szCs w:val="24"/>
        </w:rPr>
        <w:t>建议本标准的性质为团体标准。</w:t>
      </w:r>
    </w:p>
    <w:p w14:paraId="550445ED">
      <w:pPr>
        <w:widowControl/>
        <w:spacing w:line="360" w:lineRule="auto"/>
        <w:jc w:val="left"/>
        <w:rPr>
          <w:b/>
          <w:color w:val="000000"/>
          <w:sz w:val="28"/>
          <w:szCs w:val="28"/>
        </w:rPr>
      </w:pPr>
      <w:r>
        <w:rPr>
          <w:rFonts w:hint="eastAsia"/>
          <w:b/>
          <w:color w:val="000000"/>
          <w:sz w:val="28"/>
          <w:szCs w:val="28"/>
        </w:rPr>
        <w:t>九、贯彻标准的要求和措施建议</w:t>
      </w:r>
    </w:p>
    <w:p w14:paraId="1FFB6DAA">
      <w:pPr>
        <w:widowControl/>
        <w:spacing w:line="360" w:lineRule="auto"/>
        <w:jc w:val="left"/>
        <w:rPr>
          <w:rFonts w:ascii="宋体" w:hAnsi="宋体" w:eastAsia="宋体" w:cs="微软雅黑"/>
          <w:color w:val="000000"/>
          <w:kern w:val="0"/>
          <w:sz w:val="24"/>
          <w:szCs w:val="24"/>
        </w:rPr>
      </w:pPr>
      <w:r>
        <w:rPr>
          <w:rFonts w:hint="eastAsia" w:ascii="宋体" w:hAnsi="宋体" w:eastAsia="宋体" w:cs="微软雅黑"/>
          <w:color w:val="000000"/>
          <w:kern w:val="0"/>
          <w:sz w:val="24"/>
          <w:szCs w:val="24"/>
        </w:rPr>
        <w:t xml:space="preserve"> </w:t>
      </w:r>
      <w:r>
        <w:rPr>
          <w:rFonts w:ascii="宋体" w:hAnsi="宋体" w:eastAsia="宋体" w:cs="微软雅黑"/>
          <w:color w:val="000000"/>
          <w:kern w:val="0"/>
          <w:sz w:val="24"/>
          <w:szCs w:val="24"/>
        </w:rPr>
        <w:t xml:space="preserve">  </w:t>
      </w:r>
      <w:r>
        <w:rPr>
          <w:rFonts w:hint="eastAsia" w:ascii="宋体" w:hAnsi="宋体" w:eastAsia="宋体" w:cs="微软雅黑"/>
          <w:color w:val="000000"/>
          <w:kern w:val="0"/>
          <w:sz w:val="24"/>
          <w:szCs w:val="24"/>
        </w:rPr>
        <w:t>建议本标准批准发布</w:t>
      </w:r>
      <w:r>
        <w:rPr>
          <w:rFonts w:ascii="宋体" w:hAnsi="宋体" w:eastAsia="宋体" w:cs="微软雅黑"/>
          <w:color w:val="000000"/>
          <w:kern w:val="0"/>
          <w:sz w:val="24"/>
          <w:szCs w:val="24"/>
        </w:rPr>
        <w:t>6个月后实施。</w:t>
      </w:r>
    </w:p>
    <w:p w14:paraId="0BAAE110">
      <w:pPr>
        <w:widowControl/>
        <w:spacing w:line="360" w:lineRule="auto"/>
        <w:jc w:val="left"/>
        <w:rPr>
          <w:b/>
          <w:color w:val="000000"/>
          <w:sz w:val="28"/>
          <w:szCs w:val="28"/>
        </w:rPr>
      </w:pPr>
      <w:r>
        <w:rPr>
          <w:rFonts w:hint="eastAsia"/>
          <w:b/>
          <w:color w:val="000000"/>
          <w:sz w:val="28"/>
          <w:szCs w:val="28"/>
        </w:rPr>
        <w:t>十、废止现行相关标准的建议</w:t>
      </w:r>
    </w:p>
    <w:p w14:paraId="3588CF2C">
      <w:pPr>
        <w:widowControl/>
        <w:spacing w:line="360" w:lineRule="auto"/>
        <w:ind w:left="720"/>
        <w:jc w:val="left"/>
        <w:rPr>
          <w:rFonts w:ascii="宋体" w:hAnsi="宋体" w:eastAsia="宋体" w:cs="微软雅黑"/>
          <w:color w:val="000000"/>
          <w:kern w:val="0"/>
          <w:sz w:val="24"/>
          <w:szCs w:val="24"/>
        </w:rPr>
      </w:pPr>
      <w:r>
        <w:rPr>
          <w:rFonts w:hint="eastAsia" w:ascii="宋体" w:hAnsi="宋体" w:eastAsia="宋体" w:cs="微软雅黑"/>
          <w:color w:val="000000"/>
          <w:kern w:val="0"/>
          <w:sz w:val="24"/>
          <w:szCs w:val="24"/>
        </w:rPr>
        <w:t>无</w:t>
      </w:r>
    </w:p>
    <w:p w14:paraId="5C8092D7">
      <w:pPr>
        <w:widowControl/>
        <w:spacing w:line="360" w:lineRule="auto"/>
        <w:jc w:val="left"/>
        <w:rPr>
          <w:b/>
          <w:color w:val="000000"/>
          <w:sz w:val="28"/>
          <w:szCs w:val="28"/>
        </w:rPr>
      </w:pPr>
      <w:r>
        <w:rPr>
          <w:rFonts w:hint="eastAsia"/>
          <w:b/>
          <w:color w:val="000000"/>
          <w:sz w:val="28"/>
          <w:szCs w:val="28"/>
        </w:rPr>
        <w:t>十一、其他需要说明的事</w:t>
      </w:r>
      <w:r>
        <w:rPr>
          <w:b/>
          <w:color w:val="000000"/>
          <w:sz w:val="28"/>
          <w:szCs w:val="28"/>
        </w:rPr>
        <w:t>项</w:t>
      </w:r>
    </w:p>
    <w:p w14:paraId="4B8E235D">
      <w:pPr>
        <w:widowControl/>
        <w:numPr>
          <w:ilvl w:val="0"/>
          <w:numId w:val="17"/>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本标准为首次制定，无对应旧版标准，不存在新旧版本差异对比内容</w:t>
      </w:r>
      <w:r>
        <w:rPr>
          <w:rFonts w:ascii="宋体" w:hAnsi="宋体" w:eastAsia="宋体" w:cs="微软雅黑"/>
          <w:color w:val="000000"/>
          <w:kern w:val="0"/>
          <w:sz w:val="24"/>
          <w:szCs w:val="24"/>
        </w:rPr>
        <w:t>；</w:t>
      </w:r>
    </w:p>
    <w:p w14:paraId="26EF77C9">
      <w:pPr>
        <w:widowControl/>
        <w:numPr>
          <w:ilvl w:val="0"/>
          <w:numId w:val="17"/>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本标准未等同采用、修改采用国际标准或国外先进标准，十二原穴伏安特性寒热虚实量化辨识属于具有中国中医药特色的原创数字化技术，无同类国际标准可对标</w:t>
      </w:r>
      <w:r>
        <w:rPr>
          <w:rFonts w:ascii="宋体" w:hAnsi="宋体" w:eastAsia="宋体" w:cs="微软雅黑"/>
          <w:color w:val="000000"/>
          <w:kern w:val="0"/>
          <w:sz w:val="24"/>
          <w:szCs w:val="24"/>
        </w:rPr>
        <w:t>；</w:t>
      </w:r>
    </w:p>
    <w:p w14:paraId="4BD31B0F">
      <w:pPr>
        <w:widowControl/>
        <w:numPr>
          <w:ilvl w:val="0"/>
          <w:numId w:val="17"/>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本标准使用边界清晰，仅适用于健康管理、保健类经络状态辨识，不可替代执业中医师临床疾病诊断，标准正文已明确适用范围，规避超范围使用风险</w:t>
      </w:r>
      <w:r>
        <w:rPr>
          <w:rFonts w:ascii="宋体" w:hAnsi="宋体" w:eastAsia="宋体" w:cs="微软雅黑"/>
          <w:color w:val="000000"/>
          <w:kern w:val="0"/>
          <w:sz w:val="24"/>
          <w:szCs w:val="24"/>
        </w:rPr>
        <w:t>；</w:t>
      </w:r>
    </w:p>
    <w:p w14:paraId="7CC1DB66">
      <w:pPr>
        <w:widowControl/>
        <w:numPr>
          <w:ilvl w:val="0"/>
          <w:numId w:val="17"/>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本标准解释权归中国中医药研究促进会所有</w:t>
      </w:r>
      <w:r>
        <w:rPr>
          <w:rFonts w:ascii="宋体" w:hAnsi="宋体" w:eastAsia="宋体" w:cs="微软雅黑"/>
          <w:color w:val="000000"/>
          <w:kern w:val="0"/>
          <w:sz w:val="24"/>
          <w:szCs w:val="24"/>
        </w:rPr>
        <w:t>；</w:t>
      </w:r>
    </w:p>
    <w:p w14:paraId="340AC6CD">
      <w:pPr>
        <w:widowControl/>
        <w:numPr>
          <w:ilvl w:val="0"/>
          <w:numId w:val="17"/>
        </w:numPr>
        <w:spacing w:line="360" w:lineRule="auto"/>
        <w:ind w:left="425" w:leftChars="0" w:hanging="425" w:firstLineChars="0"/>
        <w:jc w:val="left"/>
        <w:rPr>
          <w:rFonts w:ascii="宋体" w:hAnsi="宋体" w:eastAsia="宋体" w:cs="Arial"/>
          <w:color w:val="000000"/>
          <w:kern w:val="0"/>
          <w:sz w:val="24"/>
          <w:szCs w:val="24"/>
        </w:rPr>
      </w:pPr>
      <w:r>
        <w:rPr>
          <w:rFonts w:hint="eastAsia" w:ascii="宋体" w:hAnsi="宋体" w:eastAsia="宋体" w:cs="微软雅黑"/>
          <w:color w:val="000000"/>
          <w:kern w:val="0"/>
          <w:sz w:val="24"/>
          <w:szCs w:val="24"/>
        </w:rPr>
        <w:t>本标准配套试验数据、专家研讨记录、征求意见汇总表、专利无偿许可文件均作为标准配套存档材料，由归口单位统一保管</w:t>
      </w:r>
      <w:r>
        <w:rPr>
          <w:rFonts w:ascii="宋体" w:hAnsi="宋体" w:eastAsia="宋体" w:cs="微软雅黑"/>
          <w:color w:val="000000"/>
          <w:kern w:val="0"/>
          <w:sz w:val="24"/>
          <w:szCs w:val="24"/>
        </w:rPr>
        <w:t>。</w:t>
      </w:r>
    </w:p>
    <w:p w14:paraId="3BF983E9">
      <w:pPr>
        <w:widowControl/>
        <w:tabs>
          <w:tab w:val="left" w:pos="720"/>
        </w:tabs>
        <w:spacing w:line="360" w:lineRule="auto"/>
        <w:jc w:val="left"/>
        <w:rPr>
          <w:rFonts w:ascii="宋体" w:hAnsi="宋体" w:eastAsia="宋体" w:cs="微软雅黑"/>
          <w:b/>
          <w:color w:val="000000"/>
          <w:kern w:val="0"/>
          <w:sz w:val="28"/>
          <w:szCs w:val="28"/>
        </w:rPr>
      </w:pPr>
    </w:p>
    <w:p w14:paraId="1C796BEF">
      <w:pPr>
        <w:spacing w:line="360" w:lineRule="auto"/>
        <w:jc w:val="left"/>
        <w:rPr>
          <w:rFonts w:ascii="宋体" w:hAnsi="宋体" w:eastAsia="宋体"/>
          <w:b/>
          <w:color w:val="000000"/>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swiss"/>
    <w:pitch w:val="default"/>
    <w:sig w:usb0="80000287" w:usb1="2ACF3C50" w:usb2="00000016" w:usb3="00000000" w:csb0="0004001F" w:csb1="00000000"/>
  </w:font>
  <w:font w:name="Courier New">
    <w:panose1 w:val="02070309020205020404"/>
    <w:charset w:val="00"/>
    <w:family w:val="modern"/>
    <w:pitch w:val="default"/>
    <w:sig w:usb0="E0002EFF" w:usb1="C0007843" w:usb2="00000009" w:usb3="00000000" w:csb0="400001FF" w:csb1="FFFF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91A9A9"/>
    <w:multiLevelType w:val="singleLevel"/>
    <w:tmpl w:val="8791A9A9"/>
    <w:lvl w:ilvl="0" w:tentative="0">
      <w:start w:val="1"/>
      <w:numFmt w:val="decimal"/>
      <w:lvlText w:val="%1)"/>
      <w:lvlJc w:val="left"/>
      <w:pPr>
        <w:ind w:left="425" w:hanging="425"/>
      </w:pPr>
      <w:rPr>
        <w:rFonts w:hint="default"/>
      </w:rPr>
    </w:lvl>
  </w:abstractNum>
  <w:abstractNum w:abstractNumId="1">
    <w:nsid w:val="8992405C"/>
    <w:multiLevelType w:val="singleLevel"/>
    <w:tmpl w:val="8992405C"/>
    <w:lvl w:ilvl="0" w:tentative="0">
      <w:start w:val="1"/>
      <w:numFmt w:val="decimal"/>
      <w:lvlText w:val="%1)"/>
      <w:lvlJc w:val="left"/>
      <w:pPr>
        <w:ind w:left="425" w:hanging="425"/>
      </w:pPr>
      <w:rPr>
        <w:rFonts w:hint="default"/>
      </w:rPr>
    </w:lvl>
  </w:abstractNum>
  <w:abstractNum w:abstractNumId="2">
    <w:nsid w:val="8A2C63E1"/>
    <w:multiLevelType w:val="singleLevel"/>
    <w:tmpl w:val="8A2C63E1"/>
    <w:lvl w:ilvl="0" w:tentative="0">
      <w:start w:val="1"/>
      <w:numFmt w:val="decimal"/>
      <w:lvlText w:val="%1)"/>
      <w:lvlJc w:val="left"/>
      <w:pPr>
        <w:ind w:left="425" w:hanging="425"/>
      </w:pPr>
      <w:rPr>
        <w:rFonts w:hint="default"/>
      </w:rPr>
    </w:lvl>
  </w:abstractNum>
  <w:abstractNum w:abstractNumId="3">
    <w:nsid w:val="9AE0036C"/>
    <w:multiLevelType w:val="singleLevel"/>
    <w:tmpl w:val="9AE0036C"/>
    <w:lvl w:ilvl="0" w:tentative="0">
      <w:start w:val="1"/>
      <w:numFmt w:val="decimal"/>
      <w:lvlText w:val="%1)"/>
      <w:lvlJc w:val="left"/>
      <w:pPr>
        <w:ind w:left="425" w:hanging="425"/>
      </w:pPr>
      <w:rPr>
        <w:rFonts w:hint="default"/>
      </w:rPr>
    </w:lvl>
  </w:abstractNum>
  <w:abstractNum w:abstractNumId="4">
    <w:nsid w:val="A6C2D2AB"/>
    <w:multiLevelType w:val="singleLevel"/>
    <w:tmpl w:val="A6C2D2AB"/>
    <w:lvl w:ilvl="0" w:tentative="0">
      <w:start w:val="1"/>
      <w:numFmt w:val="decimal"/>
      <w:lvlText w:val="%1)"/>
      <w:lvlJc w:val="left"/>
      <w:pPr>
        <w:ind w:left="425" w:hanging="425"/>
      </w:pPr>
      <w:rPr>
        <w:rFonts w:hint="default"/>
      </w:rPr>
    </w:lvl>
  </w:abstractNum>
  <w:abstractNum w:abstractNumId="5">
    <w:nsid w:val="ACA5F1E2"/>
    <w:multiLevelType w:val="singleLevel"/>
    <w:tmpl w:val="ACA5F1E2"/>
    <w:lvl w:ilvl="0" w:tentative="0">
      <w:start w:val="1"/>
      <w:numFmt w:val="decimal"/>
      <w:lvlText w:val="%1)"/>
      <w:lvlJc w:val="left"/>
      <w:pPr>
        <w:ind w:left="425" w:hanging="425"/>
      </w:pPr>
      <w:rPr>
        <w:rFonts w:hint="default"/>
      </w:rPr>
    </w:lvl>
  </w:abstractNum>
  <w:abstractNum w:abstractNumId="6">
    <w:nsid w:val="C4D4884E"/>
    <w:multiLevelType w:val="singleLevel"/>
    <w:tmpl w:val="C4D4884E"/>
    <w:lvl w:ilvl="0" w:tentative="0">
      <w:start w:val="1"/>
      <w:numFmt w:val="decimal"/>
      <w:lvlText w:val="%1)"/>
      <w:lvlJc w:val="left"/>
      <w:pPr>
        <w:ind w:left="425" w:hanging="425"/>
      </w:pPr>
      <w:rPr>
        <w:rFonts w:hint="default"/>
      </w:rPr>
    </w:lvl>
  </w:abstractNum>
  <w:abstractNum w:abstractNumId="7">
    <w:nsid w:val="D0DAF6CD"/>
    <w:multiLevelType w:val="singleLevel"/>
    <w:tmpl w:val="D0DAF6CD"/>
    <w:lvl w:ilvl="0" w:tentative="0">
      <w:start w:val="1"/>
      <w:numFmt w:val="decimal"/>
      <w:lvlText w:val="%1)"/>
      <w:lvlJc w:val="left"/>
      <w:pPr>
        <w:ind w:left="425" w:hanging="425"/>
      </w:pPr>
      <w:rPr>
        <w:rFonts w:hint="default"/>
      </w:rPr>
    </w:lvl>
  </w:abstractNum>
  <w:abstractNum w:abstractNumId="8">
    <w:nsid w:val="17EA5A94"/>
    <w:multiLevelType w:val="singleLevel"/>
    <w:tmpl w:val="17EA5A94"/>
    <w:lvl w:ilvl="0" w:tentative="0">
      <w:start w:val="1"/>
      <w:numFmt w:val="decimal"/>
      <w:lvlText w:val="%1)"/>
      <w:lvlJc w:val="left"/>
      <w:pPr>
        <w:ind w:left="425" w:hanging="425"/>
      </w:pPr>
      <w:rPr>
        <w:rFonts w:hint="default"/>
      </w:rPr>
    </w:lvl>
  </w:abstractNum>
  <w:abstractNum w:abstractNumId="9">
    <w:nsid w:val="287F0CF4"/>
    <w:multiLevelType w:val="singleLevel"/>
    <w:tmpl w:val="287F0CF4"/>
    <w:lvl w:ilvl="0" w:tentative="0">
      <w:start w:val="1"/>
      <w:numFmt w:val="decimal"/>
      <w:lvlText w:val="%1)"/>
      <w:lvlJc w:val="left"/>
      <w:pPr>
        <w:ind w:left="425" w:hanging="425"/>
      </w:pPr>
      <w:rPr>
        <w:rFonts w:hint="default"/>
      </w:rPr>
    </w:lvl>
  </w:abstractNum>
  <w:abstractNum w:abstractNumId="10">
    <w:nsid w:val="2E8018CA"/>
    <w:multiLevelType w:val="singleLevel"/>
    <w:tmpl w:val="2E8018CA"/>
    <w:lvl w:ilvl="0" w:tentative="0">
      <w:start w:val="1"/>
      <w:numFmt w:val="decimal"/>
      <w:lvlText w:val="%1)"/>
      <w:lvlJc w:val="left"/>
      <w:pPr>
        <w:ind w:left="425" w:hanging="425"/>
      </w:pPr>
      <w:rPr>
        <w:rFonts w:hint="default"/>
      </w:rPr>
    </w:lvl>
  </w:abstractNum>
  <w:abstractNum w:abstractNumId="11">
    <w:nsid w:val="38637521"/>
    <w:multiLevelType w:val="singleLevel"/>
    <w:tmpl w:val="38637521"/>
    <w:lvl w:ilvl="0" w:tentative="0">
      <w:start w:val="1"/>
      <w:numFmt w:val="decimal"/>
      <w:lvlText w:val="%1)"/>
      <w:lvlJc w:val="left"/>
      <w:pPr>
        <w:ind w:left="425" w:hanging="425"/>
      </w:pPr>
      <w:rPr>
        <w:rFonts w:hint="default"/>
      </w:rPr>
    </w:lvl>
  </w:abstractNum>
  <w:abstractNum w:abstractNumId="12">
    <w:nsid w:val="4F0BF82E"/>
    <w:multiLevelType w:val="singleLevel"/>
    <w:tmpl w:val="4F0BF82E"/>
    <w:lvl w:ilvl="0" w:tentative="0">
      <w:start w:val="1"/>
      <w:numFmt w:val="decimal"/>
      <w:lvlText w:val="%1)"/>
      <w:lvlJc w:val="left"/>
      <w:pPr>
        <w:ind w:left="425" w:hanging="425"/>
      </w:pPr>
      <w:rPr>
        <w:rFonts w:hint="default"/>
      </w:rPr>
    </w:lvl>
  </w:abstractNum>
  <w:abstractNum w:abstractNumId="13">
    <w:nsid w:val="51B5F572"/>
    <w:multiLevelType w:val="singleLevel"/>
    <w:tmpl w:val="51B5F572"/>
    <w:lvl w:ilvl="0" w:tentative="0">
      <w:start w:val="1"/>
      <w:numFmt w:val="decimal"/>
      <w:lvlText w:val="%1)"/>
      <w:lvlJc w:val="left"/>
      <w:pPr>
        <w:ind w:left="425" w:hanging="425"/>
      </w:pPr>
      <w:rPr>
        <w:rFonts w:hint="default"/>
      </w:rPr>
    </w:lvl>
  </w:abstractNum>
  <w:abstractNum w:abstractNumId="14">
    <w:nsid w:val="564C73DA"/>
    <w:multiLevelType w:val="singleLevel"/>
    <w:tmpl w:val="564C73DA"/>
    <w:lvl w:ilvl="0" w:tentative="0">
      <w:start w:val="1"/>
      <w:numFmt w:val="decimal"/>
      <w:lvlText w:val="%1)"/>
      <w:lvlJc w:val="left"/>
      <w:pPr>
        <w:ind w:left="425" w:hanging="425"/>
      </w:pPr>
      <w:rPr>
        <w:rFonts w:hint="default"/>
      </w:rPr>
    </w:lvl>
  </w:abstractNum>
  <w:abstractNum w:abstractNumId="15">
    <w:nsid w:val="63810BBF"/>
    <w:multiLevelType w:val="multilevel"/>
    <w:tmpl w:val="63810BBF"/>
    <w:lvl w:ilvl="0" w:tentative="0">
      <w:start w:val="1"/>
      <w:numFmt w:val="japaneseCounting"/>
      <w:lvlText w:val="%1、"/>
      <w:lvlJc w:val="left"/>
      <w:pPr>
        <w:ind w:left="720" w:hanging="720"/>
      </w:pPr>
      <w:rPr>
        <w:rFonts w:hint="default"/>
        <w:color w:val="000000"/>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6">
    <w:nsid w:val="67F6CB03"/>
    <w:multiLevelType w:val="singleLevel"/>
    <w:tmpl w:val="67F6CB03"/>
    <w:lvl w:ilvl="0" w:tentative="0">
      <w:start w:val="1"/>
      <w:numFmt w:val="decimal"/>
      <w:suff w:val="nothing"/>
      <w:lvlText w:val="%1．"/>
      <w:lvlJc w:val="left"/>
      <w:pPr>
        <w:ind w:left="0" w:firstLine="400"/>
      </w:pPr>
      <w:rPr>
        <w:rFonts w:hint="default"/>
      </w:rPr>
    </w:lvl>
  </w:abstractNum>
  <w:num w:numId="1">
    <w:abstractNumId w:val="15"/>
  </w:num>
  <w:num w:numId="2">
    <w:abstractNumId w:val="1"/>
  </w:num>
  <w:num w:numId="3">
    <w:abstractNumId w:val="6"/>
  </w:num>
  <w:num w:numId="4">
    <w:abstractNumId w:val="0"/>
  </w:num>
  <w:num w:numId="5">
    <w:abstractNumId w:val="10"/>
  </w:num>
  <w:num w:numId="6">
    <w:abstractNumId w:val="11"/>
  </w:num>
  <w:num w:numId="7">
    <w:abstractNumId w:val="16"/>
  </w:num>
  <w:num w:numId="8">
    <w:abstractNumId w:val="2"/>
  </w:num>
  <w:num w:numId="9">
    <w:abstractNumId w:val="3"/>
  </w:num>
  <w:num w:numId="10">
    <w:abstractNumId w:val="5"/>
  </w:num>
  <w:num w:numId="11">
    <w:abstractNumId w:val="4"/>
  </w:num>
  <w:num w:numId="12">
    <w:abstractNumId w:val="13"/>
  </w:num>
  <w:num w:numId="13">
    <w:abstractNumId w:val="9"/>
  </w:num>
  <w:num w:numId="14">
    <w:abstractNumId w:val="8"/>
  </w:num>
  <w:num w:numId="15">
    <w:abstractNumId w:val="7"/>
  </w:num>
  <w:num w:numId="16">
    <w:abstractNumId w:val="12"/>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5E01"/>
    <w:rsid w:val="001647AB"/>
    <w:rsid w:val="00196C94"/>
    <w:rsid w:val="001A7235"/>
    <w:rsid w:val="00337F71"/>
    <w:rsid w:val="003E1E01"/>
    <w:rsid w:val="00923AA0"/>
    <w:rsid w:val="00975E01"/>
    <w:rsid w:val="00C94FB5"/>
    <w:rsid w:val="00D46D3E"/>
    <w:rsid w:val="00DB296A"/>
    <w:rsid w:val="00E8588E"/>
    <w:rsid w:val="00EE26B5"/>
    <w:rsid w:val="00FC11E4"/>
    <w:rsid w:val="00FE69A8"/>
    <w:rsid w:val="028B63FC"/>
    <w:rsid w:val="0BC27A78"/>
    <w:rsid w:val="262D4085"/>
    <w:rsid w:val="2F2BB464"/>
    <w:rsid w:val="44407A2A"/>
    <w:rsid w:val="455517CB"/>
    <w:rsid w:val="4EB86BA1"/>
    <w:rsid w:val="5A722207"/>
    <w:rsid w:val="5FFEB225"/>
    <w:rsid w:val="77CEDEF0"/>
    <w:rsid w:val="78DD70F1"/>
    <w:rsid w:val="7EEF4C3B"/>
    <w:rsid w:val="F39B47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3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link w:val="16"/>
    <w:qFormat/>
    <w:uiPriority w:val="9"/>
    <w:pPr>
      <w:widowControl/>
      <w:spacing w:before="100" w:beforeAutospacing="1" w:after="100" w:afterAutospacing="1"/>
      <w:jc w:val="left"/>
      <w:outlineLvl w:val="1"/>
    </w:pPr>
    <w:rPr>
      <w:rFonts w:ascii="Times New Roman" w:hAnsi="Times New Roman" w:eastAsia="Times New Roman" w:cs="Times New Roman"/>
      <w:b/>
      <w:bCs/>
      <w:kern w:val="0"/>
      <w:sz w:val="36"/>
      <w:szCs w:val="36"/>
    </w:rPr>
  </w:style>
  <w:style w:type="paragraph" w:styleId="3">
    <w:name w:val="heading 3"/>
    <w:basedOn w:val="1"/>
    <w:link w:val="17"/>
    <w:qFormat/>
    <w:uiPriority w:val="9"/>
    <w:pPr>
      <w:widowControl/>
      <w:spacing w:before="100" w:beforeAutospacing="1" w:after="100" w:afterAutospacing="1"/>
      <w:jc w:val="left"/>
      <w:outlineLvl w:val="2"/>
    </w:pPr>
    <w:rPr>
      <w:rFonts w:ascii="Times New Roman" w:hAnsi="Times New Roman" w:eastAsia="Times New Roman" w:cs="Times New Roman"/>
      <w:b/>
      <w:bCs/>
      <w:kern w:val="0"/>
      <w:sz w:val="27"/>
      <w:szCs w:val="27"/>
    </w:rPr>
  </w:style>
  <w:style w:type="paragraph" w:styleId="4">
    <w:name w:val="heading 4"/>
    <w:basedOn w:val="1"/>
    <w:link w:val="18"/>
    <w:qFormat/>
    <w:uiPriority w:val="9"/>
    <w:pPr>
      <w:widowControl/>
      <w:spacing w:before="100" w:beforeAutospacing="1" w:after="100" w:afterAutospacing="1"/>
      <w:jc w:val="left"/>
      <w:outlineLvl w:val="3"/>
    </w:pPr>
    <w:rPr>
      <w:rFonts w:ascii="Times New Roman" w:hAnsi="Times New Roman" w:eastAsia="Times New Roman" w:cs="Times New Roman"/>
      <w:b/>
      <w:bCs/>
      <w:kern w:val="0"/>
      <w:sz w:val="24"/>
      <w:szCs w:val="24"/>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styleId="5">
    <w:name w:val="annotation text"/>
    <w:basedOn w:val="1"/>
    <w:link w:val="13"/>
    <w:semiHidden/>
    <w:unhideWhenUsed/>
    <w:qFormat/>
    <w:uiPriority w:val="99"/>
    <w:rPr>
      <w:sz w:val="20"/>
      <w:szCs w:val="20"/>
    </w:rPr>
  </w:style>
  <w:style w:type="paragraph" w:styleId="6">
    <w:name w:val="Balloon Text"/>
    <w:basedOn w:val="1"/>
    <w:link w:val="15"/>
    <w:semiHidden/>
    <w:unhideWhenUsed/>
    <w:qFormat/>
    <w:uiPriority w:val="99"/>
    <w:rPr>
      <w:rFonts w:ascii="Microsoft YaHei UI" w:eastAsia="Microsoft YaHei UI"/>
      <w:sz w:val="18"/>
      <w:szCs w:val="18"/>
    </w:rPr>
  </w:style>
  <w:style w:type="paragraph" w:styleId="7">
    <w:name w:val="annotation subject"/>
    <w:basedOn w:val="5"/>
    <w:next w:val="5"/>
    <w:link w:val="14"/>
    <w:semiHidden/>
    <w:unhideWhenUsed/>
    <w:qFormat/>
    <w:uiPriority w:val="99"/>
    <w:rPr>
      <w:b/>
      <w:bCs/>
    </w:rPr>
  </w:style>
  <w:style w:type="character" w:styleId="10">
    <w:name w:val="Strong"/>
    <w:basedOn w:val="9"/>
    <w:qFormat/>
    <w:uiPriority w:val="22"/>
    <w:rPr>
      <w:b/>
      <w:bCs/>
    </w:rPr>
  </w:style>
  <w:style w:type="character" w:styleId="11">
    <w:name w:val="annotation reference"/>
    <w:basedOn w:val="9"/>
    <w:semiHidden/>
    <w:unhideWhenUsed/>
    <w:qFormat/>
    <w:uiPriority w:val="99"/>
    <w:rPr>
      <w:sz w:val="16"/>
      <w:szCs w:val="16"/>
    </w:rPr>
  </w:style>
  <w:style w:type="paragraph" w:styleId="12">
    <w:name w:val="List Paragraph"/>
    <w:basedOn w:val="1"/>
    <w:unhideWhenUsed/>
    <w:qFormat/>
    <w:uiPriority w:val="99"/>
    <w:pPr>
      <w:ind w:firstLine="420" w:firstLineChars="200"/>
    </w:pPr>
    <w:rPr>
      <w:rFonts w:ascii="Times New Roman" w:hAnsi="Times New Roman" w:eastAsia="宋体" w:cs="Times New Roman"/>
      <w:szCs w:val="24"/>
    </w:rPr>
  </w:style>
  <w:style w:type="character" w:customStyle="1" w:styleId="13">
    <w:name w:val="批注文字 字符"/>
    <w:basedOn w:val="9"/>
    <w:link w:val="5"/>
    <w:semiHidden/>
    <w:qFormat/>
    <w:uiPriority w:val="99"/>
    <w:rPr>
      <w:sz w:val="20"/>
      <w:szCs w:val="20"/>
    </w:rPr>
  </w:style>
  <w:style w:type="character" w:customStyle="1" w:styleId="14">
    <w:name w:val="批注主题 字符"/>
    <w:basedOn w:val="13"/>
    <w:link w:val="7"/>
    <w:semiHidden/>
    <w:qFormat/>
    <w:uiPriority w:val="99"/>
    <w:rPr>
      <w:b/>
      <w:bCs/>
      <w:sz w:val="20"/>
      <w:szCs w:val="20"/>
    </w:rPr>
  </w:style>
  <w:style w:type="character" w:customStyle="1" w:styleId="15">
    <w:name w:val="批注框文本 字符"/>
    <w:basedOn w:val="9"/>
    <w:link w:val="6"/>
    <w:semiHidden/>
    <w:qFormat/>
    <w:uiPriority w:val="99"/>
    <w:rPr>
      <w:rFonts w:ascii="Microsoft YaHei UI" w:eastAsia="Microsoft YaHei UI"/>
      <w:sz w:val="18"/>
      <w:szCs w:val="18"/>
    </w:rPr>
  </w:style>
  <w:style w:type="character" w:customStyle="1" w:styleId="16">
    <w:name w:val="标题 2 字符"/>
    <w:basedOn w:val="9"/>
    <w:link w:val="2"/>
    <w:qFormat/>
    <w:uiPriority w:val="9"/>
    <w:rPr>
      <w:rFonts w:ascii="Times New Roman" w:hAnsi="Times New Roman" w:eastAsia="Times New Roman" w:cs="Times New Roman"/>
      <w:b/>
      <w:bCs/>
      <w:kern w:val="0"/>
      <w:sz w:val="36"/>
      <w:szCs w:val="36"/>
    </w:rPr>
  </w:style>
  <w:style w:type="character" w:customStyle="1" w:styleId="17">
    <w:name w:val="标题 3 字符"/>
    <w:basedOn w:val="9"/>
    <w:link w:val="3"/>
    <w:qFormat/>
    <w:uiPriority w:val="9"/>
    <w:rPr>
      <w:rFonts w:ascii="Times New Roman" w:hAnsi="Times New Roman" w:eastAsia="Times New Roman" w:cs="Times New Roman"/>
      <w:b/>
      <w:bCs/>
      <w:kern w:val="0"/>
      <w:sz w:val="27"/>
      <w:szCs w:val="27"/>
    </w:rPr>
  </w:style>
  <w:style w:type="character" w:customStyle="1" w:styleId="18">
    <w:name w:val="标题 4 字符"/>
    <w:basedOn w:val="9"/>
    <w:link w:val="4"/>
    <w:qFormat/>
    <w:uiPriority w:val="9"/>
    <w:rPr>
      <w:rFonts w:ascii="Times New Roman" w:hAnsi="Times New Roman" w:eastAsia="Times New Roman" w:cs="Times New Roman"/>
      <w:b/>
      <w:bCs/>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DoubleOX</Company>
  <Pages>10</Pages>
  <Words>6660</Words>
  <Characters>7139</Characters>
  <Lines>52</Lines>
  <Paragraphs>14</Paragraphs>
  <TotalTime>21</TotalTime>
  <ScaleCrop>false</ScaleCrop>
  <LinksUpToDate>false</LinksUpToDate>
  <CharactersWithSpaces>7316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2026-09-04T08:55:00Z</dcterms:created>
  <dc:creator>admin</dc:creator>
  <cp:lastModifiedBy>王超</cp:lastModifiedBy>
  <dcterms:modified xsi:type="dcterms:W3CDTF">2026-09-05T09:46:39Z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CA2FA97CFD1C8690C6B16D6AF1BC8A1F_43</vt:lpwstr>
  </property>
  <property fmtid="{D5CDD505-2E9C-101B-9397-08002B2CF9AE}" pid="4" name="KSOTemplateDocerSaveRecord">
    <vt:lpwstr>eyJoZGlkIjoiN2UxYTI2MDM1NDQ2MjE4ZTdhYzY5MjVhNDY0Y2Y2NTciLCJ1c2VySWQiOiI2MzgyOTk4MjgifQ==</vt:lpwstr>
  </property>
</Properties>
</file>