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7"/>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509"/>
        <w:gridCol w:w="8855"/>
      </w:tblGrid>
      <w:tr w14:paraId="72DD37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153E8D72">
            <w:pPr>
              <w:pStyle w:val="18"/>
              <w:framePr w:wrap="notBeside" w:vAnchor="page" w:hAnchor="page" w:x="1372" w:y="568"/>
              <w:tabs>
                <w:tab w:val="clear" w:pos="4153"/>
                <w:tab w:val="clear" w:pos="8306"/>
              </w:tabs>
              <w:spacing w:line="240" w:lineRule="auto"/>
              <w:jc w:val="left"/>
              <w:rPr>
                <w:rFonts w:hint="eastAsia" w:ascii="黑体" w:hAnsi="黑体" w:eastAsia="黑体"/>
                <w:sz w:val="21"/>
                <w:szCs w:val="21"/>
              </w:rPr>
            </w:pPr>
            <w:r>
              <w:rPr>
                <w:rFonts w:ascii="Times New Roman" w:hAnsi="Times New Roman" w:eastAsia="黑体"/>
                <w:sz w:val="21"/>
                <w:szCs w:val="21"/>
              </w:rPr>
              <w:t>ICS</w:t>
            </w:r>
            <w:r>
              <w:rPr>
                <w:rFonts w:ascii="黑体" w:hAnsi="黑体" w:eastAsia="黑体"/>
                <w:sz w:val="21"/>
                <w:szCs w:val="21"/>
              </w:rPr>
              <w:t xml:space="preserve">  </w:t>
            </w:r>
          </w:p>
        </w:tc>
        <w:tc>
          <w:tcPr>
            <w:tcW w:w="8855" w:type="dxa"/>
          </w:tcPr>
          <w:p w14:paraId="1BC515AC">
            <w:pPr>
              <w:pStyle w:val="18"/>
              <w:framePr w:wrap="notBeside" w:vAnchor="page" w:hAnchor="page" w:x="1372" w:y="568"/>
              <w:tabs>
                <w:tab w:val="clear" w:pos="4153"/>
                <w:tab w:val="clear" w:pos="8306"/>
              </w:tabs>
              <w:spacing w:line="240" w:lineRule="auto"/>
              <w:jc w:val="both"/>
              <w:rPr>
                <w:rFonts w:hint="eastAsia" w:ascii="黑体" w:hAnsi="黑体" w:eastAsia="黑体"/>
                <w:sz w:val="21"/>
                <w:szCs w:val="21"/>
              </w:rPr>
            </w:pPr>
            <w:r>
              <w:rPr>
                <w:rFonts w:ascii="黑体" w:hAnsi="黑体" w:eastAsia="黑体"/>
                <w:sz w:val="21"/>
                <w:szCs w:val="21"/>
              </w:rPr>
              <w:fldChar w:fldCharType="begin">
                <w:ffData>
                  <w:name w:val="ICS"/>
                  <w:enabled/>
                  <w:calcOnExit w:val="0"/>
                  <w:textInput>
                    <w:default w:val="点击此处添加ICS号"/>
                  </w:textInput>
                </w:ffData>
              </w:fldChar>
            </w:r>
            <w:bookmarkStart w:id="0" w:name="ICS"/>
            <w:r>
              <w:rPr>
                <w:rFonts w:ascii="黑体" w:hAnsi="黑体" w:eastAsia="黑体"/>
                <w:sz w:val="21"/>
                <w:szCs w:val="21"/>
              </w:rPr>
              <w:instrText xml:space="preserve"> FORMTEXT </w:instrText>
            </w:r>
            <w:r>
              <w:rPr>
                <w:rFonts w:ascii="黑体" w:hAnsi="黑体" w:eastAsia="黑体"/>
                <w:sz w:val="21"/>
                <w:szCs w:val="21"/>
              </w:rPr>
              <w:fldChar w:fldCharType="separate"/>
            </w:r>
            <w:r>
              <w:rPr>
                <w:rFonts w:hint="eastAsia" w:ascii="黑体" w:hAnsi="黑体" w:eastAsia="黑体"/>
                <w:sz w:val="21"/>
                <w:szCs w:val="21"/>
              </w:rPr>
              <w:t>03.080.99</w:t>
            </w:r>
            <w:r>
              <w:rPr>
                <w:rFonts w:ascii="黑体" w:hAnsi="黑体" w:eastAsia="黑体"/>
                <w:sz w:val="21"/>
                <w:szCs w:val="21"/>
              </w:rPr>
              <w:fldChar w:fldCharType="end"/>
            </w:r>
            <w:bookmarkEnd w:id="0"/>
          </w:p>
        </w:tc>
      </w:tr>
      <w:tr w14:paraId="0FBFF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2BA19007">
            <w:pPr>
              <w:pStyle w:val="18"/>
              <w:framePr w:wrap="notBeside" w:vAnchor="page" w:hAnchor="page" w:x="1372" w:y="568"/>
              <w:tabs>
                <w:tab w:val="clear" w:pos="4153"/>
                <w:tab w:val="clear" w:pos="8306"/>
              </w:tabs>
              <w:spacing w:before="40" w:line="240" w:lineRule="auto"/>
              <w:jc w:val="left"/>
              <w:rPr>
                <w:rFonts w:hint="eastAsia" w:ascii="黑体" w:hAnsi="黑体" w:eastAsia="黑体"/>
                <w:sz w:val="21"/>
                <w:szCs w:val="21"/>
              </w:rPr>
            </w:pPr>
            <w:r>
              <w:rPr>
                <w:rFonts w:ascii="Times New Roman" w:hAnsi="Times New Roman" w:eastAsia="黑体"/>
                <w:sz w:val="21"/>
                <w:szCs w:val="21"/>
              </w:rPr>
              <w:t xml:space="preserve">CCS </w:t>
            </w:r>
            <w:r>
              <w:rPr>
                <w:rFonts w:ascii="黑体" w:hAnsi="黑体" w:eastAsia="黑体"/>
                <w:sz w:val="21"/>
                <w:szCs w:val="21"/>
              </w:rPr>
              <w:t xml:space="preserve"> </w:t>
            </w:r>
          </w:p>
        </w:tc>
        <w:tc>
          <w:tcPr>
            <w:tcW w:w="8855" w:type="dxa"/>
          </w:tcPr>
          <w:tbl>
            <w:tblPr>
              <w:tblStyle w:val="27"/>
              <w:tblpPr w:vertAnchor="page" w:horzAnchor="margin" w:tblpX="1" w:tblpY="341"/>
              <w:tblOverlap w:val="never"/>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0" w:type="dxa"/>
                <w:bottom w:w="0" w:type="dxa"/>
                <w:right w:w="113" w:type="dxa"/>
              </w:tblCellMar>
            </w:tblPr>
            <w:tblGrid>
              <w:gridCol w:w="9242"/>
            </w:tblGrid>
            <w:tr w14:paraId="744E8F1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113" w:type="dxa"/>
                </w:tblCellMar>
              </w:tblPrEx>
              <w:trPr>
                <w:trHeight w:val="1021" w:hRule="exact"/>
              </w:trPr>
              <w:tc>
                <w:tcPr>
                  <w:tcW w:w="9242" w:type="dxa"/>
                  <w:vAlign w:val="center"/>
                </w:tcPr>
                <w:p w14:paraId="701F1AA8">
                  <w:pPr>
                    <w:pStyle w:val="49"/>
                    <w:framePr w:wrap="notBeside" w:vAnchor="page" w:hAnchor="page" w:x="1372" w:y="568"/>
                    <w:ind w:left="420" w:right="624"/>
                    <w:rPr>
                      <w:rFonts w:hint="eastAsia" w:ascii="宋体" w:hAnsi="宋体"/>
                      <w:sz w:val="28"/>
                      <w:szCs w:val="28"/>
                    </w:rPr>
                  </w:pPr>
                  <w:r>
                    <w:rPr>
                      <w:sz w:val="21"/>
                      <w:szCs w:val="21"/>
                    </w:rPr>
                    <w:t xml:space="preserve"> </w:t>
                  </w:r>
                </w:p>
              </w:tc>
            </w:tr>
          </w:tbl>
          <w:p w14:paraId="04D58E47">
            <w:pPr>
              <w:pStyle w:val="18"/>
              <w:framePr w:wrap="notBeside" w:vAnchor="page" w:hAnchor="page" w:x="1372" w:y="568"/>
              <w:tabs>
                <w:tab w:val="clear" w:pos="4153"/>
                <w:tab w:val="clear" w:pos="8306"/>
              </w:tabs>
              <w:spacing w:before="40" w:line="240" w:lineRule="auto"/>
              <w:jc w:val="left"/>
              <w:rPr>
                <w:rFonts w:hint="eastAsia" w:ascii="黑体" w:hAnsi="黑体" w:eastAsia="黑体"/>
                <w:sz w:val="21"/>
                <w:szCs w:val="21"/>
              </w:rPr>
            </w:pPr>
            <w:r>
              <w:rPr>
                <w:rFonts w:ascii="黑体" w:hAnsi="黑体" w:eastAsia="黑体"/>
                <w:sz w:val="21"/>
                <w:szCs w:val="21"/>
              </w:rPr>
              <w:fldChar w:fldCharType="begin">
                <w:ffData>
                  <w:name w:val="CSDN"/>
                  <w:enabled/>
                  <w:calcOnExit w:val="0"/>
                  <w:textInput>
                    <w:default w:val="点击此处添加CCS号"/>
                  </w:textInput>
                </w:ffData>
              </w:fldChar>
            </w:r>
            <w:bookmarkStart w:id="1" w:name="CSDN"/>
            <w:r>
              <w:rPr>
                <w:rFonts w:ascii="黑体" w:hAnsi="黑体" w:eastAsia="黑体"/>
                <w:sz w:val="21"/>
                <w:szCs w:val="21"/>
              </w:rPr>
              <w:instrText xml:space="preserve"> FORMTEXT </w:instrText>
            </w:r>
            <w:r>
              <w:rPr>
                <w:rFonts w:ascii="黑体" w:hAnsi="黑体" w:eastAsia="黑体"/>
                <w:sz w:val="21"/>
                <w:szCs w:val="21"/>
              </w:rPr>
              <w:fldChar w:fldCharType="separate"/>
            </w:r>
            <w:r>
              <w:rPr>
                <w:rFonts w:hint="eastAsia" w:ascii="黑体" w:hAnsi="黑体" w:eastAsia="黑体"/>
                <w:sz w:val="21"/>
                <w:szCs w:val="21"/>
              </w:rPr>
              <w:t>A 20</w:t>
            </w:r>
            <w:r>
              <w:rPr>
                <w:rFonts w:ascii="黑体" w:hAnsi="黑体" w:eastAsia="黑体"/>
                <w:sz w:val="21"/>
                <w:szCs w:val="21"/>
              </w:rPr>
              <w:fldChar w:fldCharType="end"/>
            </w:r>
            <w:bookmarkEnd w:id="1"/>
          </w:p>
        </w:tc>
      </w:tr>
    </w:tbl>
    <w:p w14:paraId="517CBC0C">
      <w:pPr>
        <w:pStyle w:val="50"/>
        <w:framePr w:w="9639" w:h="624" w:hRule="exact" w:hSpace="181" w:vSpace="181" w:wrap="around" w:hAnchor="page" w:x="1305" w:y="2269"/>
        <w:rPr>
          <w:rFonts w:hint="eastAsia" w:ascii="黑体" w:hAnsi="黑体" w:eastAsia="黑体"/>
          <w:b w:val="0"/>
          <w:bCs w:val="0"/>
          <w:w w:val="100"/>
          <w:sz w:val="48"/>
          <w:szCs w:val="48"/>
        </w:rPr>
      </w:pPr>
      <w:bookmarkStart w:id="2" w:name="_Hlk26473981"/>
      <w:r>
        <w:rPr>
          <w:rFonts w:hint="eastAsia" w:ascii="黑体" w:eastAsia="黑体"/>
          <w:b w:val="0"/>
          <w:w w:val="100"/>
          <w:sz w:val="48"/>
        </w:rPr>
        <w:t>团体</w:t>
      </w:r>
      <w:r>
        <w:rPr>
          <w:rFonts w:hint="eastAsia" w:ascii="黑体" w:hAnsi="黑体" w:eastAsia="黑体"/>
          <w:b w:val="0"/>
          <w:bCs w:val="0"/>
          <w:w w:val="100"/>
          <w:sz w:val="48"/>
          <w:szCs w:val="48"/>
        </w:rPr>
        <w:t>标准</w:t>
      </w:r>
    </w:p>
    <w:bookmarkEnd w:id="2"/>
    <w:p w14:paraId="3946FC3D">
      <w:pPr>
        <w:pStyle w:val="195"/>
        <w:framePr/>
      </w:pPr>
      <w:r>
        <w:t>T/</w:t>
      </w:r>
      <w:r>
        <w:fldChar w:fldCharType="begin">
          <w:ffData>
            <w:name w:val="文字1"/>
            <w:enabled/>
            <w:calcOnExit w:val="0"/>
            <w:textInput>
              <w:default w:val="XXX"/>
            </w:textInput>
          </w:ffData>
        </w:fldChar>
      </w:r>
      <w:bookmarkStart w:id="3" w:name="文字1"/>
      <w:r>
        <w:instrText xml:space="preserve"> FORMTEXT </w:instrText>
      </w:r>
      <w:r>
        <w:fldChar w:fldCharType="separate"/>
      </w:r>
      <w:r>
        <w:t>XXX</w:t>
      </w:r>
      <w:r>
        <w:fldChar w:fldCharType="end"/>
      </w:r>
      <w:bookmarkEnd w:id="3"/>
      <w:r>
        <w:t xml:space="preserve"> </w:t>
      </w:r>
      <w:r>
        <w:fldChar w:fldCharType="begin">
          <w:ffData>
            <w:name w:val="NSTD_CODE_F"/>
            <w:enabled/>
            <w:calcOnExit w:val="0"/>
            <w:textInput>
              <w:default w:val="XXXX"/>
            </w:textInput>
          </w:ffData>
        </w:fldChar>
      </w:r>
      <w:bookmarkStart w:id="4" w:name="NSTD_CODE_F"/>
      <w:r>
        <w:instrText xml:space="preserve"> FORMTEXT </w:instrText>
      </w:r>
      <w:r>
        <w:fldChar w:fldCharType="separate"/>
      </w:r>
      <w:r>
        <w:t>XXXX</w:t>
      </w:r>
      <w:r>
        <w:fldChar w:fldCharType="end"/>
      </w:r>
      <w:bookmarkEnd w:id="4"/>
      <w:r>
        <w:rPr>
          <w:rFonts w:hAnsi="黑体"/>
        </w:rPr>
        <w:t>—</w:t>
      </w:r>
      <w:r>
        <w:fldChar w:fldCharType="begin">
          <w:ffData>
            <w:name w:val="NSTD_CODE_B"/>
            <w:enabled/>
            <w:calcOnExit w:val="0"/>
            <w:textInput>
              <w:default w:val="XXXX"/>
            </w:textInput>
          </w:ffData>
        </w:fldChar>
      </w:r>
      <w:bookmarkStart w:id="5" w:name="NSTD_CODE_B"/>
      <w:r>
        <w:instrText xml:space="preserve"> FORMTEXT </w:instrText>
      </w:r>
      <w:r>
        <w:fldChar w:fldCharType="separate"/>
      </w:r>
      <w:r>
        <w:t>XXXX</w:t>
      </w:r>
      <w:r>
        <w:fldChar w:fldCharType="end"/>
      </w:r>
      <w:bookmarkEnd w:id="5"/>
    </w:p>
    <w:p w14:paraId="73478EDE">
      <w:pPr>
        <w:pStyle w:val="196"/>
        <w:framePr/>
        <w:rPr>
          <w:rFonts w:hint="eastAsia" w:hAnsi="黑体"/>
        </w:rPr>
      </w:pPr>
      <w:r>
        <w:rPr>
          <w:rFonts w:hAnsi="黑体"/>
        </w:rPr>
        <w:fldChar w:fldCharType="begin">
          <w:ffData>
            <w:name w:val="OSTD_CODE"/>
            <w:enabled/>
            <w:calcOnExit w:val="0"/>
            <w:textInput/>
          </w:ffData>
        </w:fldChar>
      </w:r>
      <w:bookmarkStart w:id="6" w:name="OSTD_CODE"/>
      <w:r>
        <w:rPr>
          <w:rFonts w:hAnsi="黑体"/>
        </w:rPr>
        <w:instrText xml:space="preserve"> FORMTEXT </w:instrText>
      </w:r>
      <w:r>
        <w:rPr>
          <w:rFonts w:hAnsi="黑体"/>
        </w:rPr>
        <w:fldChar w:fldCharType="separate"/>
      </w:r>
      <w:r>
        <w:rPr>
          <w:rFonts w:hAnsi="黑体"/>
        </w:rPr>
        <w:t>     </w:t>
      </w:r>
      <w:r>
        <w:rPr>
          <w:rFonts w:hAnsi="黑体"/>
        </w:rPr>
        <w:fldChar w:fldCharType="end"/>
      </w:r>
      <w:bookmarkEnd w:id="6"/>
    </w:p>
    <w:p w14:paraId="1B40CB45">
      <w:pPr>
        <w:spacing w:line="240" w:lineRule="auto"/>
        <w:rPr>
          <w:rFonts w:hint="eastAsia" w:ascii="黑体" w:hAnsi="黑体" w:eastAsia="黑体"/>
          <w:kern w:val="0"/>
          <w:sz w:val="10"/>
          <w:szCs w:val="10"/>
        </w:rPr>
      </w:pPr>
      <w:r>
        <w:rPr>
          <w:rFonts w:ascii="黑体" w:hAnsi="黑体" w:eastAsia="黑体"/>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14:paraId="1FC2C9D8">
      <w:pPr>
        <w:pStyle w:val="50"/>
        <w:framePr w:w="9639" w:h="6976" w:hRule="exact" w:hSpace="0" w:vSpace="0" w:wrap="around" w:hAnchor="page" w:y="6408"/>
        <w:jc w:val="center"/>
        <w:rPr>
          <w:rFonts w:hint="eastAsia" w:ascii="黑体" w:hAnsi="黑体" w:eastAsia="黑体"/>
          <w:b w:val="0"/>
          <w:bCs w:val="0"/>
          <w:w w:val="100"/>
        </w:rPr>
      </w:pPr>
    </w:p>
    <w:p w14:paraId="0EC62AA7">
      <w:pPr>
        <w:pStyle w:val="197"/>
        <w:framePr w:h="6974" w:hRule="exact" w:wrap="around" w:x="1419" w:anchorLock="1"/>
        <w:rPr>
          <w:rFonts w:hint="eastAsia"/>
        </w:rPr>
      </w:pPr>
      <w:r>
        <w:fldChar w:fldCharType="begin">
          <w:ffData>
            <w:name w:val="CSTD_NAME"/>
            <w:enabled/>
            <w:calcOnExit w:val="0"/>
            <w:textInput>
              <w:default w:val="点击此处添加标准名称"/>
            </w:textInput>
          </w:ffData>
        </w:fldChar>
      </w:r>
      <w:bookmarkStart w:id="7" w:name="CSTD_NAME"/>
      <w:r>
        <w:instrText xml:space="preserve"> FORMTEXT </w:instrText>
      </w:r>
      <w:r>
        <w:fldChar w:fldCharType="separate"/>
      </w:r>
      <w:bookmarkStart w:id="8" w:name="OLE_LINK15"/>
      <w:r>
        <w:rPr>
          <w:rFonts w:hint="eastAsia"/>
        </w:rPr>
        <w:t>基于中医体质的食药物质膏方产品研发</w:t>
      </w:r>
      <w:bookmarkEnd w:id="8"/>
      <w:r>
        <w:rPr>
          <w:rFonts w:hint="eastAsia"/>
        </w:rPr>
        <w:t>指南</w:t>
      </w:r>
      <w:r>
        <w:fldChar w:fldCharType="end"/>
      </w:r>
      <w:bookmarkEnd w:id="7"/>
    </w:p>
    <w:p w14:paraId="635F1192">
      <w:pPr>
        <w:framePr w:w="9639" w:h="6974" w:hRule="exact" w:wrap="around" w:vAnchor="page" w:hAnchor="page" w:x="1419" w:y="6408" w:anchorLock="1"/>
        <w:ind w:left="-1418"/>
      </w:pPr>
    </w:p>
    <w:p w14:paraId="51320420">
      <w:pPr>
        <w:pStyle w:val="125"/>
        <w:framePr w:w="9639" w:h="6974" w:hRule="exact" w:wrap="around" w:vAnchor="page" w:hAnchor="page" w:x="1419" w:y="6408" w:anchorLock="1"/>
        <w:textAlignment w:val="bottom"/>
        <w:rPr>
          <w:rFonts w:eastAsia="黑体"/>
          <w:szCs w:val="28"/>
        </w:rPr>
      </w:pPr>
      <w:r>
        <w:rPr>
          <w:rFonts w:eastAsia="黑体"/>
          <w:szCs w:val="28"/>
        </w:rPr>
        <w:fldChar w:fldCharType="begin">
          <w:ffData>
            <w:name w:val="ESTD_NAME"/>
            <w:enabled/>
            <w:calcOnExit w:val="0"/>
            <w:textInput>
              <w:default w:val="点击此处添加标准名称的英文译名"/>
            </w:textInput>
          </w:ffData>
        </w:fldChar>
      </w:r>
      <w:bookmarkStart w:id="9" w:name="ESTD_NAME"/>
      <w:r>
        <w:rPr>
          <w:rFonts w:eastAsia="黑体"/>
          <w:szCs w:val="28"/>
        </w:rPr>
        <w:instrText xml:space="preserve"> FORMTEXT </w:instrText>
      </w:r>
      <w:r>
        <w:rPr>
          <w:rFonts w:eastAsia="黑体"/>
          <w:szCs w:val="28"/>
        </w:rPr>
        <w:fldChar w:fldCharType="separate"/>
      </w:r>
      <w:r>
        <w:rPr>
          <w:rFonts w:eastAsia="黑体"/>
          <w:szCs w:val="28"/>
        </w:rPr>
        <w:t xml:space="preserve">Guidelines for the </w:t>
      </w:r>
      <w:r>
        <w:rPr>
          <w:rFonts w:hint="eastAsia" w:eastAsia="黑体"/>
          <w:szCs w:val="28"/>
        </w:rPr>
        <w:t>r</w:t>
      </w:r>
      <w:r>
        <w:rPr>
          <w:rFonts w:eastAsia="黑体"/>
          <w:szCs w:val="28"/>
        </w:rPr>
        <w:t xml:space="preserve">esearch and </w:t>
      </w:r>
      <w:r>
        <w:rPr>
          <w:rFonts w:hint="eastAsia" w:eastAsia="黑体"/>
          <w:szCs w:val="28"/>
        </w:rPr>
        <w:t>d</w:t>
      </w:r>
      <w:r>
        <w:rPr>
          <w:rFonts w:eastAsia="黑体"/>
          <w:szCs w:val="28"/>
        </w:rPr>
        <w:t xml:space="preserve">evelopment of </w:t>
      </w:r>
      <w:r>
        <w:rPr>
          <w:rFonts w:hint="eastAsia" w:eastAsia="黑体"/>
          <w:szCs w:val="28"/>
        </w:rPr>
        <w:t>p</w:t>
      </w:r>
      <w:r>
        <w:rPr>
          <w:rFonts w:eastAsia="黑体"/>
          <w:szCs w:val="28"/>
        </w:rPr>
        <w:t xml:space="preserve">aste </w:t>
      </w:r>
      <w:r>
        <w:rPr>
          <w:rFonts w:hint="eastAsia" w:eastAsia="黑体"/>
          <w:szCs w:val="28"/>
        </w:rPr>
        <w:t>p</w:t>
      </w:r>
      <w:r>
        <w:rPr>
          <w:rFonts w:eastAsia="黑体"/>
          <w:szCs w:val="28"/>
        </w:rPr>
        <w:t xml:space="preserve">roducts from </w:t>
      </w:r>
      <w:r>
        <w:rPr>
          <w:rFonts w:hint="eastAsia" w:eastAsia="黑体"/>
          <w:szCs w:val="28"/>
        </w:rPr>
        <w:t>m</w:t>
      </w:r>
      <w:r>
        <w:rPr>
          <w:rFonts w:eastAsia="黑体"/>
          <w:szCs w:val="28"/>
        </w:rPr>
        <w:t xml:space="preserve">edicinal and </w:t>
      </w:r>
      <w:r>
        <w:rPr>
          <w:rFonts w:hint="eastAsia" w:eastAsia="黑体"/>
          <w:szCs w:val="28"/>
        </w:rPr>
        <w:t>e</w:t>
      </w:r>
      <w:r>
        <w:rPr>
          <w:rFonts w:eastAsia="黑体"/>
          <w:szCs w:val="28"/>
        </w:rPr>
        <w:t xml:space="preserve">dible </w:t>
      </w:r>
      <w:r>
        <w:rPr>
          <w:rFonts w:hint="eastAsia" w:eastAsia="黑体"/>
          <w:szCs w:val="28"/>
        </w:rPr>
        <w:t>s</w:t>
      </w:r>
      <w:r>
        <w:rPr>
          <w:rFonts w:eastAsia="黑体"/>
          <w:szCs w:val="28"/>
        </w:rPr>
        <w:t xml:space="preserve">ubstances </w:t>
      </w:r>
      <w:r>
        <w:rPr>
          <w:rFonts w:hint="eastAsia" w:eastAsia="黑体"/>
          <w:szCs w:val="28"/>
        </w:rPr>
        <w:t>b</w:t>
      </w:r>
      <w:r>
        <w:rPr>
          <w:rFonts w:eastAsia="黑体"/>
          <w:szCs w:val="28"/>
        </w:rPr>
        <w:t xml:space="preserve">ased on </w:t>
      </w:r>
      <w:r>
        <w:rPr>
          <w:rFonts w:hint="eastAsia" w:eastAsia="黑体"/>
          <w:szCs w:val="28"/>
        </w:rPr>
        <w:t>t</w:t>
      </w:r>
      <w:r>
        <w:rPr>
          <w:rFonts w:eastAsia="黑体"/>
          <w:szCs w:val="28"/>
        </w:rPr>
        <w:t xml:space="preserve">raditional Chinese </w:t>
      </w:r>
      <w:r>
        <w:rPr>
          <w:rFonts w:hint="eastAsia" w:eastAsia="黑体"/>
          <w:szCs w:val="28"/>
        </w:rPr>
        <w:t>m</w:t>
      </w:r>
      <w:r>
        <w:rPr>
          <w:rFonts w:eastAsia="黑体"/>
          <w:szCs w:val="28"/>
        </w:rPr>
        <w:t xml:space="preserve">edicine </w:t>
      </w:r>
      <w:r>
        <w:rPr>
          <w:rFonts w:hint="eastAsia" w:eastAsia="黑体"/>
          <w:szCs w:val="28"/>
        </w:rPr>
        <w:t>c</w:t>
      </w:r>
      <w:r>
        <w:rPr>
          <w:rFonts w:eastAsia="黑体"/>
          <w:szCs w:val="28"/>
        </w:rPr>
        <w:t>onstitution</w:t>
      </w:r>
      <w:r>
        <w:rPr>
          <w:rFonts w:eastAsia="黑体"/>
          <w:szCs w:val="28"/>
        </w:rPr>
        <w:fldChar w:fldCharType="end"/>
      </w:r>
      <w:bookmarkEnd w:id="9"/>
    </w:p>
    <w:p w14:paraId="06D523A8">
      <w:pPr>
        <w:framePr w:w="9639" w:h="6974" w:hRule="exact" w:wrap="around" w:vAnchor="page" w:hAnchor="page" w:x="1419" w:y="6408" w:anchorLock="1"/>
        <w:spacing w:line="760" w:lineRule="exact"/>
        <w:ind w:left="-1418"/>
      </w:pPr>
    </w:p>
    <w:p w14:paraId="39C5AA51">
      <w:pPr>
        <w:pStyle w:val="125"/>
        <w:framePr w:w="9639" w:h="6974" w:hRule="exact" w:wrap="around" w:vAnchor="page" w:hAnchor="page" w:x="1419" w:y="6408" w:anchorLock="1"/>
        <w:textAlignment w:val="bottom"/>
        <w:rPr>
          <w:rFonts w:eastAsia="黑体"/>
          <w:szCs w:val="28"/>
        </w:rPr>
      </w:pPr>
    </w:p>
    <w:p w14:paraId="6F23A76F">
      <w:pPr>
        <w:pStyle w:val="125"/>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ddList>
          </w:ffData>
        </w:fldChar>
      </w:r>
      <w:bookmarkStart w:id="10" w:name="下拉1"/>
      <w:r>
        <w:rPr>
          <w:sz w:val="24"/>
          <w:szCs w:val="28"/>
        </w:rPr>
        <w:instrText xml:space="preserve"> FORMDROPDOWN </w:instrText>
      </w:r>
      <w:r>
        <w:rPr>
          <w:sz w:val="24"/>
          <w:szCs w:val="28"/>
        </w:rPr>
        <w:fldChar w:fldCharType="separate"/>
      </w:r>
      <w:r>
        <w:rPr>
          <w:sz w:val="24"/>
          <w:szCs w:val="28"/>
        </w:rPr>
        <w:fldChar w:fldCharType="end"/>
      </w:r>
      <w:bookmarkEnd w:id="10"/>
    </w:p>
    <w:p w14:paraId="45DB4E80">
      <w:pPr>
        <w:pStyle w:val="125"/>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11" w:name="CMPLSH_DATE"/>
      <w:r>
        <w:rPr>
          <w:sz w:val="21"/>
          <w:szCs w:val="28"/>
        </w:rPr>
        <w:instrText xml:space="preserve"> FORMTEXT </w:instrText>
      </w:r>
      <w:r>
        <w:rPr>
          <w:sz w:val="21"/>
          <w:szCs w:val="28"/>
        </w:rPr>
        <w:fldChar w:fldCharType="separate"/>
      </w:r>
      <w:r>
        <w:rPr>
          <w:sz w:val="21"/>
          <w:szCs w:val="28"/>
        </w:rPr>
        <w:t>     </w:t>
      </w:r>
      <w:r>
        <w:rPr>
          <w:sz w:val="21"/>
          <w:szCs w:val="28"/>
        </w:rPr>
        <w:fldChar w:fldCharType="end"/>
      </w:r>
      <w:bookmarkEnd w:id="11"/>
    </w:p>
    <w:p w14:paraId="095F640A">
      <w:pPr>
        <w:pStyle w:val="193"/>
        <w:framePr w:wrap="around" w:y="14176"/>
      </w:pPr>
      <w:r>
        <w:rPr>
          <w:rFonts w:ascii="黑体"/>
        </w:rPr>
        <w:fldChar w:fldCharType="begin">
          <w:ffData>
            <w:name w:val="PLSH_DATE_Y"/>
            <w:enabled/>
            <w:calcOnExit w:val="0"/>
            <w:textInput>
              <w:default w:val="XXXX"/>
              <w:maxLength w:val="4"/>
            </w:textInput>
          </w:ffData>
        </w:fldChar>
      </w:r>
      <w:bookmarkStart w:id="12" w:name="PLSH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2"/>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3"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3"/>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4"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4"/>
      <w:r>
        <w:rPr>
          <w:rFonts w:hint="eastAsia"/>
        </w:rPr>
        <w:t>发布</w:t>
      </w:r>
    </w:p>
    <w:p w14:paraId="2B8D7773">
      <w:pPr>
        <w:pStyle w:val="194"/>
        <w:framePr w:wrap="around" w:y="14176"/>
      </w:pPr>
      <w:r>
        <w:rPr>
          <w:rFonts w:ascii="黑体"/>
        </w:rPr>
        <w:fldChar w:fldCharType="begin">
          <w:ffData>
            <w:name w:val="CROT_DATE_Y"/>
            <w:enabled/>
            <w:calcOnExit w:val="0"/>
            <w:textInput>
              <w:default w:val="XXXX"/>
              <w:maxLength w:val="4"/>
            </w:textInput>
          </w:ffData>
        </w:fldChar>
      </w:r>
      <w:bookmarkStart w:id="15" w:name="CROT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5"/>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6"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6"/>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7"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7"/>
      <w:r>
        <w:rPr>
          <w:rFonts w:hint="eastAsia"/>
        </w:rPr>
        <w:t>实施</w:t>
      </w:r>
    </w:p>
    <w:p w14:paraId="6D2C49DF">
      <w:pPr>
        <w:pStyle w:val="151"/>
        <w:framePr w:h="584" w:hRule="exact" w:hSpace="181" w:vSpace="181" w:wrap="around" w:y="14800"/>
        <w:rPr>
          <w:rFonts w:hint="eastAsia" w:hAnsi="黑体"/>
        </w:rPr>
      </w:pPr>
      <w:r>
        <w:rPr>
          <w:rFonts w:hAnsi="黑体"/>
          <w:w w:val="100"/>
          <w:sz w:val="28"/>
        </w:rPr>
        <w:fldChar w:fldCharType="begin">
          <w:ffData>
            <w:name w:val="fm"/>
            <w:enabled/>
            <w:calcOnExit w:val="0"/>
            <w:textInput/>
          </w:ffData>
        </w:fldChar>
      </w:r>
      <w:bookmarkStart w:id="18" w:name="fm"/>
      <w:r>
        <w:rPr>
          <w:rFonts w:hAnsi="黑体"/>
          <w:w w:val="100"/>
          <w:sz w:val="28"/>
        </w:rPr>
        <w:instrText xml:space="preserve"> FORMTEXT </w:instrText>
      </w:r>
      <w:r>
        <w:rPr>
          <w:rFonts w:hAnsi="黑体"/>
          <w:w w:val="100"/>
          <w:sz w:val="28"/>
        </w:rPr>
        <w:fldChar w:fldCharType="separate"/>
      </w:r>
      <w:r>
        <w:rPr>
          <w:rFonts w:hAnsi="黑体"/>
          <w:w w:val="100"/>
          <w:sz w:val="28"/>
        </w:rPr>
        <w:t>中国中医药研究促进会</w:t>
      </w:r>
      <w:r>
        <w:rPr>
          <w:rFonts w:hAnsi="黑体"/>
          <w:w w:val="100"/>
          <w:sz w:val="28"/>
        </w:rPr>
        <w:fldChar w:fldCharType="end"/>
      </w:r>
      <w:bookmarkEnd w:id="18"/>
      <w:r>
        <w:rPr>
          <w:rFonts w:ascii="Times New Roman"/>
          <w:w w:val="100"/>
          <w:sz w:val="28"/>
        </w:rPr>
        <w:t>  </w:t>
      </w:r>
      <w:r>
        <w:rPr>
          <w:rStyle w:val="229"/>
          <w:rFonts w:hint="eastAsia" w:hAnsi="黑体"/>
          <w:position w:val="0"/>
        </w:rPr>
        <w:t>发</w:t>
      </w:r>
      <w:r>
        <w:rPr>
          <w:rStyle w:val="229"/>
          <w:rFonts w:hint="eastAsia" w:hAnsi="黑体"/>
          <w:spacing w:val="0"/>
          <w:position w:val="0"/>
        </w:rPr>
        <w:t>布</w:t>
      </w:r>
    </w:p>
    <w:p w14:paraId="571ADAB5">
      <w:pPr>
        <w:rPr>
          <w:rFonts w:hint="eastAsia" w:ascii="宋体" w:hAnsi="宋体"/>
          <w:sz w:val="28"/>
          <w:szCs w:val="28"/>
        </w:rPr>
        <w:sectPr>
          <w:headerReference r:id="rId7" w:type="first"/>
          <w:footerReference r:id="rId10" w:type="first"/>
          <w:headerReference r:id="rId5" w:type="default"/>
          <w:footerReference r:id="rId8" w:type="default"/>
          <w:headerReference r:id="rId6" w:type="even"/>
          <w:footerReference r:id="rId9" w:type="even"/>
          <w:type w:val="continuous"/>
          <w:pgSz w:w="11906" w:h="16838"/>
          <w:pgMar w:top="567" w:right="1134" w:bottom="1134" w:left="1134" w:header="1418" w:footer="1134" w:gutter="284"/>
          <w:cols w:space="425" w:num="1"/>
          <w:titlePg/>
          <w:docGrid w:linePitch="312" w:charSpace="0"/>
        </w:sectPr>
      </w:pPr>
      <w:r>
        <w:rPr>
          <w:rFonts w:hint="eastAsia" w:ascii="宋体" w:hAnsi="宋体"/>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14:paraId="799E2CFC">
      <w:pPr>
        <w:pStyle w:val="91"/>
        <w:spacing w:after="360"/>
      </w:pPr>
      <w:bookmarkStart w:id="19" w:name="BookMark1"/>
      <w:bookmarkStart w:id="20" w:name="_Toc237513457"/>
      <w:bookmarkStart w:id="21" w:name="_Toc237351943"/>
      <w:bookmarkStart w:id="22" w:name="_Toc237349592"/>
      <w:bookmarkStart w:id="23" w:name="_Toc234420345"/>
      <w:bookmarkStart w:id="24" w:name="_Toc237254838"/>
      <w:bookmarkStart w:id="25" w:name="_Toc237513506"/>
      <w:r>
        <w:rPr>
          <w:rFonts w:hint="eastAsia"/>
          <w:spacing w:val="320"/>
        </w:rPr>
        <w:t>目</w:t>
      </w:r>
      <w:r>
        <w:rPr>
          <w:rFonts w:hint="eastAsia"/>
        </w:rPr>
        <w:t>次</w:t>
      </w:r>
    </w:p>
    <w:p w14:paraId="5935174F">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TOC \o "1-1" \h \t "标准文件_一级条标题,2,标准文件_附录一级条标题,2," </w:instrText>
      </w:r>
      <w:r>
        <w:fldChar w:fldCharType="separate"/>
      </w:r>
      <w:r>
        <w:fldChar w:fldCharType="begin"/>
      </w:r>
      <w:r>
        <w:instrText xml:space="preserve"> HYPERLINK \l "_Toc242438019" </w:instrText>
      </w:r>
      <w:r>
        <w:fldChar w:fldCharType="separate"/>
      </w:r>
      <w:r>
        <w:rPr>
          <w:rStyle w:val="32"/>
        </w:rPr>
        <w:t>前言</w:t>
      </w:r>
      <w:r>
        <w:rPr>
          <w:rFonts w:hint="eastAsia"/>
        </w:rPr>
        <w:tab/>
      </w:r>
      <w:r>
        <w:rPr>
          <w:rFonts w:hint="eastAsia"/>
        </w:rPr>
        <w:fldChar w:fldCharType="begin"/>
      </w:r>
      <w:r>
        <w:rPr>
          <w:rFonts w:hint="eastAsia"/>
        </w:rPr>
        <w:instrText xml:space="preserve"> </w:instrText>
      </w:r>
      <w:r>
        <w:instrText xml:space="preserve">PAGEREF _Toc242438019 \h</w:instrText>
      </w:r>
      <w:r>
        <w:rPr>
          <w:rFonts w:hint="eastAsia"/>
        </w:rPr>
        <w:instrText xml:space="preserve"> </w:instrText>
      </w:r>
      <w:r>
        <w:rPr>
          <w:rFonts w:hint="eastAsia"/>
        </w:rPr>
        <w:fldChar w:fldCharType="separate"/>
      </w:r>
      <w:r>
        <w:t>III</w:t>
      </w:r>
      <w:r>
        <w:rPr>
          <w:rFonts w:hint="eastAsia"/>
        </w:rPr>
        <w:fldChar w:fldCharType="end"/>
      </w:r>
      <w:r>
        <w:rPr>
          <w:rFonts w:hint="eastAsia"/>
        </w:rPr>
        <w:fldChar w:fldCharType="end"/>
      </w:r>
    </w:p>
    <w:p w14:paraId="64CC0864">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"_Toc242438020" </w:instrText>
      </w:r>
      <w:r>
        <w:fldChar w:fldCharType="separate"/>
      </w:r>
      <w:r>
        <w:rPr>
          <w:rStyle w:val="32"/>
        </w:rPr>
        <w:t>1  范围</w:t>
      </w:r>
      <w:r>
        <w:rPr>
          <w:rFonts w:hint="eastAsia"/>
        </w:rPr>
        <w:tab/>
      </w:r>
      <w:r>
        <w:rPr>
          <w:rFonts w:hint="eastAsia"/>
        </w:rPr>
        <w:fldChar w:fldCharType="begin"/>
      </w:r>
      <w:r>
        <w:rPr>
          <w:rFonts w:hint="eastAsia"/>
        </w:rPr>
        <w:instrText xml:space="preserve"> </w:instrText>
      </w:r>
      <w:r>
        <w:instrText xml:space="preserve">PAGEREF _Toc242438020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026AC43E">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"_Toc242438021" </w:instrText>
      </w:r>
      <w:r>
        <w:fldChar w:fldCharType="separate"/>
      </w:r>
      <w:r>
        <w:rPr>
          <w:rStyle w:val="32"/>
        </w:rPr>
        <w:t>2  规范性引用文件</w:t>
      </w:r>
      <w:r>
        <w:rPr>
          <w:rFonts w:hint="eastAsia"/>
        </w:rPr>
        <w:tab/>
      </w:r>
      <w:r>
        <w:rPr>
          <w:rFonts w:hint="eastAsia"/>
        </w:rPr>
        <w:fldChar w:fldCharType="begin"/>
      </w:r>
      <w:r>
        <w:rPr>
          <w:rFonts w:hint="eastAsia"/>
        </w:rPr>
        <w:instrText xml:space="preserve"> </w:instrText>
      </w:r>
      <w:r>
        <w:instrText xml:space="preserve">PAGEREF _Toc242438021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54F71ED1">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"_Toc242438022" </w:instrText>
      </w:r>
      <w:r>
        <w:fldChar w:fldCharType="separate"/>
      </w:r>
      <w:r>
        <w:rPr>
          <w:rStyle w:val="32"/>
        </w:rPr>
        <w:t>3  术语和定义</w:t>
      </w:r>
      <w:r>
        <w:rPr>
          <w:rFonts w:hint="eastAsia"/>
        </w:rPr>
        <w:tab/>
      </w:r>
      <w:r>
        <w:rPr>
          <w:rFonts w:hint="eastAsia"/>
        </w:rPr>
        <w:fldChar w:fldCharType="begin"/>
      </w:r>
      <w:r>
        <w:rPr>
          <w:rFonts w:hint="eastAsia"/>
        </w:rPr>
        <w:instrText xml:space="preserve"> </w:instrText>
      </w:r>
      <w:r>
        <w:instrText xml:space="preserve">PAGEREF _Toc242438022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27661CC9">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"_Toc242438023" </w:instrText>
      </w:r>
      <w:r>
        <w:fldChar w:fldCharType="separate"/>
      </w:r>
      <w:r>
        <w:rPr>
          <w:rStyle w:val="32"/>
        </w:rPr>
        <w:t>4  总体原则</w:t>
      </w:r>
      <w:r>
        <w:rPr>
          <w:rFonts w:hint="eastAsia"/>
        </w:rPr>
        <w:tab/>
      </w:r>
      <w:r>
        <w:rPr>
          <w:rFonts w:hint="eastAsia"/>
        </w:rPr>
        <w:fldChar w:fldCharType="begin"/>
      </w:r>
      <w:r>
        <w:rPr>
          <w:rFonts w:hint="eastAsia"/>
        </w:rPr>
        <w:instrText xml:space="preserve"> </w:instrText>
      </w:r>
      <w:r>
        <w:instrText xml:space="preserve">PAGEREF _Toc242438023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14:paraId="136B01DF">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"_Toc242438024" </w:instrText>
      </w:r>
      <w:r>
        <w:fldChar w:fldCharType="separate"/>
      </w:r>
      <w:r>
        <w:rPr>
          <w:rStyle w:val="32"/>
          <w14:scene3d w14:prst="orthographicFront">
            <w14:lightRig w14:rig="threePt" w14:dir="t">
              <w14:rot w14:lat="0" w14:lon="0" w14:rev="0"/>
            </w14:lightRig>
          </w14:scene3d>
        </w:rPr>
        <w:t xml:space="preserve">4.1 </w:t>
      </w:r>
      <w:r>
        <w:rPr>
          <w:rStyle w:val="32"/>
        </w:rPr>
        <w:t xml:space="preserve"> 安全优先原则</w:t>
      </w:r>
      <w:r>
        <w:rPr>
          <w:rFonts w:hint="eastAsia"/>
        </w:rPr>
        <w:tab/>
      </w:r>
      <w:r>
        <w:rPr>
          <w:rFonts w:hint="eastAsia"/>
        </w:rPr>
        <w:fldChar w:fldCharType="begin"/>
      </w:r>
      <w:r>
        <w:rPr>
          <w:rFonts w:hint="eastAsia"/>
        </w:rPr>
        <w:instrText xml:space="preserve"> </w:instrText>
      </w:r>
      <w:r>
        <w:instrText xml:space="preserve">PAGEREF _Toc242438024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14:paraId="0B3379FE">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"_Toc242438025" </w:instrText>
      </w:r>
      <w:r>
        <w:fldChar w:fldCharType="separate"/>
      </w:r>
      <w:r>
        <w:rPr>
          <w:rStyle w:val="32"/>
          <w14:scene3d w14:prst="orthographicFront">
            <w14:lightRig w14:rig="threePt" w14:dir="t">
              <w14:rot w14:lat="0" w14:lon="0" w14:rev="0"/>
            </w14:lightRig>
          </w14:scene3d>
        </w:rPr>
        <w:t xml:space="preserve">4.2 </w:t>
      </w:r>
      <w:r>
        <w:rPr>
          <w:rStyle w:val="32"/>
        </w:rPr>
        <w:t xml:space="preserve"> 体质对应原则</w:t>
      </w:r>
      <w:r>
        <w:rPr>
          <w:rFonts w:hint="eastAsia"/>
        </w:rPr>
        <w:tab/>
      </w:r>
      <w:r>
        <w:rPr>
          <w:rFonts w:hint="eastAsia"/>
        </w:rPr>
        <w:fldChar w:fldCharType="begin"/>
      </w:r>
      <w:r>
        <w:rPr>
          <w:rFonts w:hint="eastAsia"/>
        </w:rPr>
        <w:instrText xml:space="preserve"> </w:instrText>
      </w:r>
      <w:r>
        <w:instrText xml:space="preserve">PAGEREF _Toc242438025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14:paraId="50DBBEAB">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"_Toc242438026" </w:instrText>
      </w:r>
      <w:r>
        <w:fldChar w:fldCharType="separate"/>
      </w:r>
      <w:r>
        <w:rPr>
          <w:rStyle w:val="32"/>
          <w14:scene3d w14:prst="orthographicFront">
            <w14:lightRig w14:rig="threePt" w14:dir="t">
              <w14:rot w14:lat="0" w14:lon="0" w14:rev="0"/>
            </w14:lightRig>
          </w14:scene3d>
        </w:rPr>
        <w:t xml:space="preserve">4.3 </w:t>
      </w:r>
      <w:r>
        <w:rPr>
          <w:rStyle w:val="32"/>
        </w:rPr>
        <w:t xml:space="preserve"> 工艺稳定原则</w:t>
      </w:r>
      <w:r>
        <w:rPr>
          <w:rFonts w:hint="eastAsia"/>
        </w:rPr>
        <w:tab/>
      </w:r>
      <w:r>
        <w:rPr>
          <w:rFonts w:hint="eastAsia"/>
        </w:rPr>
        <w:fldChar w:fldCharType="begin"/>
      </w:r>
      <w:r>
        <w:rPr>
          <w:rFonts w:hint="eastAsia"/>
        </w:rPr>
        <w:instrText xml:space="preserve"> </w:instrText>
      </w:r>
      <w:r>
        <w:instrText xml:space="preserve">PAGEREF _Toc242438026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14:paraId="192E8535">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"_Toc242438027" </w:instrText>
      </w:r>
      <w:r>
        <w:fldChar w:fldCharType="separate"/>
      </w:r>
      <w:r>
        <w:rPr>
          <w:rStyle w:val="32"/>
          <w14:scene3d w14:prst="orthographicFront">
            <w14:lightRig w14:rig="threePt" w14:dir="t">
              <w14:rot w14:lat="0" w14:lon="0" w14:rev="0"/>
            </w14:lightRig>
          </w14:scene3d>
        </w:rPr>
        <w:t xml:space="preserve">4.4 </w:t>
      </w:r>
      <w:r>
        <w:rPr>
          <w:rStyle w:val="32"/>
        </w:rPr>
        <w:t xml:space="preserve"> 质量可控原则</w:t>
      </w:r>
      <w:r>
        <w:rPr>
          <w:rFonts w:hint="eastAsia"/>
        </w:rPr>
        <w:tab/>
      </w:r>
      <w:r>
        <w:rPr>
          <w:rFonts w:hint="eastAsia"/>
        </w:rPr>
        <w:fldChar w:fldCharType="begin"/>
      </w:r>
      <w:r>
        <w:rPr>
          <w:rFonts w:hint="eastAsia"/>
        </w:rPr>
        <w:instrText xml:space="preserve"> </w:instrText>
      </w:r>
      <w:r>
        <w:instrText xml:space="preserve">PAGEREF _Toc242438027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14:paraId="28B908FD">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"_Toc242438028" </w:instrText>
      </w:r>
      <w:r>
        <w:fldChar w:fldCharType="separate"/>
      </w:r>
      <w:r>
        <w:rPr>
          <w:rStyle w:val="32"/>
        </w:rPr>
        <w:t>5  立项与调研</w:t>
      </w:r>
      <w:r>
        <w:rPr>
          <w:rFonts w:hint="eastAsia"/>
        </w:rPr>
        <w:tab/>
      </w:r>
      <w:r>
        <w:rPr>
          <w:rFonts w:hint="eastAsia"/>
        </w:rPr>
        <w:fldChar w:fldCharType="begin"/>
      </w:r>
      <w:r>
        <w:rPr>
          <w:rFonts w:hint="eastAsia"/>
        </w:rPr>
        <w:instrText xml:space="preserve"> </w:instrText>
      </w:r>
      <w:r>
        <w:instrText xml:space="preserve">PAGEREF _Toc242438028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14:paraId="5D9A975E">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"_Toc242438029" </w:instrText>
      </w:r>
      <w:r>
        <w:fldChar w:fldCharType="separate"/>
      </w:r>
      <w:r>
        <w:rPr>
          <w:rStyle w:val="32"/>
          <w14:scene3d w14:prst="orthographicFront">
            <w14:lightRig w14:rig="threePt" w14:dir="t">
              <w14:rot w14:lat="0" w14:lon="0" w14:rev="0"/>
            </w14:lightRig>
          </w14:scene3d>
        </w:rPr>
        <w:t xml:space="preserve">5.1 </w:t>
      </w:r>
      <w:r>
        <w:rPr>
          <w:rStyle w:val="32"/>
        </w:rPr>
        <w:t xml:space="preserve"> 人群流行病调研</w:t>
      </w:r>
      <w:r>
        <w:rPr>
          <w:rFonts w:hint="eastAsia"/>
        </w:rPr>
        <w:tab/>
      </w:r>
      <w:r>
        <w:rPr>
          <w:rFonts w:hint="eastAsia"/>
        </w:rPr>
        <w:fldChar w:fldCharType="begin"/>
      </w:r>
      <w:r>
        <w:rPr>
          <w:rFonts w:hint="eastAsia"/>
        </w:rPr>
        <w:instrText xml:space="preserve"> </w:instrText>
      </w:r>
      <w:r>
        <w:instrText xml:space="preserve">PAGEREF _Toc242438029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14:paraId="0EADD99A">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"_Toc242438030" </w:instrText>
      </w:r>
      <w:r>
        <w:fldChar w:fldCharType="separate"/>
      </w:r>
      <w:r>
        <w:rPr>
          <w:rStyle w:val="32"/>
          <w14:scene3d w14:prst="orthographicFront">
            <w14:lightRig w14:rig="threePt" w14:dir="t">
              <w14:rot w14:lat="0" w14:lon="0" w14:rev="0"/>
            </w14:lightRig>
          </w14:scene3d>
        </w:rPr>
        <w:t xml:space="preserve">5.2 </w:t>
      </w:r>
      <w:r>
        <w:rPr>
          <w:rStyle w:val="32"/>
        </w:rPr>
        <w:t xml:space="preserve"> 文献、标准与竞品调研</w:t>
      </w:r>
      <w:r>
        <w:rPr>
          <w:rFonts w:hint="eastAsia"/>
        </w:rPr>
        <w:tab/>
      </w:r>
      <w:r>
        <w:rPr>
          <w:rFonts w:hint="eastAsia"/>
        </w:rPr>
        <w:fldChar w:fldCharType="begin"/>
      </w:r>
      <w:r>
        <w:rPr>
          <w:rFonts w:hint="eastAsia"/>
        </w:rPr>
        <w:instrText xml:space="preserve"> </w:instrText>
      </w:r>
      <w:r>
        <w:instrText xml:space="preserve">PAGEREF _Toc242438030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14:paraId="3E81A45D">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"_Toc242438031" </w:instrText>
      </w:r>
      <w:r>
        <w:fldChar w:fldCharType="separate"/>
      </w:r>
      <w:r>
        <w:rPr>
          <w:rStyle w:val="32"/>
        </w:rPr>
        <w:t>6  体质分析与配方设计</w:t>
      </w:r>
      <w:r>
        <w:rPr>
          <w:rFonts w:hint="eastAsia"/>
        </w:rPr>
        <w:tab/>
      </w:r>
      <w:r>
        <w:rPr>
          <w:rFonts w:hint="eastAsia"/>
        </w:rPr>
        <w:fldChar w:fldCharType="begin"/>
      </w:r>
      <w:r>
        <w:rPr>
          <w:rFonts w:hint="eastAsia"/>
        </w:rPr>
        <w:instrText xml:space="preserve"> </w:instrText>
      </w:r>
      <w:r>
        <w:instrText xml:space="preserve">PAGEREF _Toc242438031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14:paraId="0E8B5F33">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"_Toc242438032" </w:instrText>
      </w:r>
      <w:r>
        <w:fldChar w:fldCharType="separate"/>
      </w:r>
      <w:r>
        <w:rPr>
          <w:rStyle w:val="32"/>
          <w14:scene3d w14:prst="orthographicFront">
            <w14:lightRig w14:rig="threePt" w14:dir="t">
              <w14:rot w14:lat="0" w14:lon="0" w14:rev="0"/>
            </w14:lightRig>
          </w14:scene3d>
        </w:rPr>
        <w:t xml:space="preserve">6.1 </w:t>
      </w:r>
      <w:r>
        <w:rPr>
          <w:rStyle w:val="32"/>
        </w:rPr>
        <w:t xml:space="preserve"> 体质综合判定</w:t>
      </w:r>
      <w:r>
        <w:rPr>
          <w:rFonts w:hint="eastAsia"/>
        </w:rPr>
        <w:tab/>
      </w:r>
      <w:r>
        <w:rPr>
          <w:rFonts w:hint="eastAsia"/>
        </w:rPr>
        <w:fldChar w:fldCharType="begin"/>
      </w:r>
      <w:r>
        <w:rPr>
          <w:rFonts w:hint="eastAsia"/>
        </w:rPr>
        <w:instrText xml:space="preserve"> </w:instrText>
      </w:r>
      <w:r>
        <w:instrText xml:space="preserve">PAGEREF _Toc242438032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14:paraId="13CFF216">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"_Toc242438033" </w:instrText>
      </w:r>
      <w:r>
        <w:fldChar w:fldCharType="separate"/>
      </w:r>
      <w:r>
        <w:rPr>
          <w:rStyle w:val="32"/>
          <w14:scene3d w14:prst="orthographicFront">
            <w14:lightRig w14:rig="threePt" w14:dir="t">
              <w14:rot w14:lat="0" w14:lon="0" w14:rev="0"/>
            </w14:lightRig>
          </w14:scene3d>
        </w:rPr>
        <w:t xml:space="preserve">6.2 </w:t>
      </w:r>
      <w:r>
        <w:rPr>
          <w:rStyle w:val="32"/>
        </w:rPr>
        <w:t xml:space="preserve"> 配方设计原则</w:t>
      </w:r>
      <w:r>
        <w:rPr>
          <w:rFonts w:hint="eastAsia"/>
        </w:rPr>
        <w:tab/>
      </w:r>
      <w:r>
        <w:rPr>
          <w:rFonts w:hint="eastAsia"/>
        </w:rPr>
        <w:fldChar w:fldCharType="begin"/>
      </w:r>
      <w:r>
        <w:rPr>
          <w:rFonts w:hint="eastAsia"/>
        </w:rPr>
        <w:instrText xml:space="preserve"> </w:instrText>
      </w:r>
      <w:r>
        <w:instrText xml:space="preserve">PAGEREF _Toc242438033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14:paraId="2B86DF34">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"_Toc242438034" </w:instrText>
      </w:r>
      <w:r>
        <w:fldChar w:fldCharType="separate"/>
      </w:r>
      <w:r>
        <w:rPr>
          <w:rStyle w:val="32"/>
          <w14:scene3d w14:prst="orthographicFront">
            <w14:lightRig w14:rig="threePt" w14:dir="t">
              <w14:rot w14:lat="0" w14:lon="0" w14:rev="0"/>
            </w14:lightRig>
          </w14:scene3d>
        </w:rPr>
        <w:t xml:space="preserve">6.3 </w:t>
      </w:r>
      <w:r>
        <w:rPr>
          <w:rStyle w:val="32"/>
        </w:rPr>
        <w:t xml:space="preserve"> 九体质差异化配伍要求</w:t>
      </w:r>
      <w:r>
        <w:rPr>
          <w:rFonts w:hint="eastAsia"/>
        </w:rPr>
        <w:tab/>
      </w:r>
      <w:r>
        <w:rPr>
          <w:rFonts w:hint="eastAsia"/>
        </w:rPr>
        <w:fldChar w:fldCharType="begin"/>
      </w:r>
      <w:r>
        <w:rPr>
          <w:rFonts w:hint="eastAsia"/>
        </w:rPr>
        <w:instrText xml:space="preserve"> </w:instrText>
      </w:r>
      <w:r>
        <w:instrText xml:space="preserve">PAGEREF _Toc242438034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14:paraId="702DA3FB">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"_Toc242438035" </w:instrText>
      </w:r>
      <w:r>
        <w:fldChar w:fldCharType="separate"/>
      </w:r>
      <w:r>
        <w:rPr>
          <w:rStyle w:val="32"/>
          <w14:scene3d w14:prst="orthographicFront">
            <w14:lightRig w14:rig="threePt" w14:dir="t">
              <w14:rot w14:lat="0" w14:lon="0" w14:rev="0"/>
            </w14:lightRig>
          </w14:scene3d>
        </w:rPr>
        <w:t xml:space="preserve">6.4 </w:t>
      </w:r>
      <w:r>
        <w:rPr>
          <w:rStyle w:val="32"/>
        </w:rPr>
        <w:t xml:space="preserve"> 兼夹体质处理</w:t>
      </w:r>
      <w:r>
        <w:rPr>
          <w:rFonts w:hint="eastAsia"/>
        </w:rPr>
        <w:tab/>
      </w:r>
      <w:r>
        <w:rPr>
          <w:rFonts w:hint="eastAsia"/>
        </w:rPr>
        <w:fldChar w:fldCharType="begin"/>
      </w:r>
      <w:r>
        <w:rPr>
          <w:rFonts w:hint="eastAsia"/>
        </w:rPr>
        <w:instrText xml:space="preserve"> </w:instrText>
      </w:r>
      <w:r>
        <w:instrText xml:space="preserve">PAGEREF _Toc242438035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14:paraId="21F8C913">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"_Toc242438036" </w:instrText>
      </w:r>
      <w:r>
        <w:fldChar w:fldCharType="separate"/>
      </w:r>
      <w:r>
        <w:rPr>
          <w:rStyle w:val="32"/>
          <w14:scene3d w14:prst="orthographicFront">
            <w14:lightRig w14:rig="threePt" w14:dir="t">
              <w14:rot w14:lat="0" w14:lon="0" w14:rev="0"/>
            </w14:lightRig>
          </w14:scene3d>
        </w:rPr>
        <w:t xml:space="preserve">6.5 </w:t>
      </w:r>
      <w:r>
        <w:rPr>
          <w:rStyle w:val="32"/>
        </w:rPr>
        <w:t xml:space="preserve"> 配方风险评估</w:t>
      </w:r>
      <w:r>
        <w:rPr>
          <w:rFonts w:hint="eastAsia"/>
        </w:rPr>
        <w:tab/>
      </w:r>
      <w:r>
        <w:rPr>
          <w:rFonts w:hint="eastAsia"/>
        </w:rPr>
        <w:fldChar w:fldCharType="begin"/>
      </w:r>
      <w:r>
        <w:rPr>
          <w:rFonts w:hint="eastAsia"/>
        </w:rPr>
        <w:instrText xml:space="preserve"> </w:instrText>
      </w:r>
      <w:r>
        <w:instrText xml:space="preserve">PAGEREF _Toc242438036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14:paraId="60469F2A">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"_Toc242438037" </w:instrText>
      </w:r>
      <w:r>
        <w:fldChar w:fldCharType="separate"/>
      </w:r>
      <w:r>
        <w:rPr>
          <w:rStyle w:val="32"/>
          <w14:scene3d w14:prst="orthographicFront">
            <w14:lightRig w14:rig="threePt" w14:dir="t">
              <w14:rot w14:lat="0" w14:lon="0" w14:rev="0"/>
            </w14:lightRig>
          </w14:scene3d>
        </w:rPr>
        <w:t xml:space="preserve">6.6 </w:t>
      </w:r>
      <w:r>
        <w:rPr>
          <w:rStyle w:val="32"/>
        </w:rPr>
        <w:t xml:space="preserve"> 配方文件编制</w:t>
      </w:r>
      <w:r>
        <w:rPr>
          <w:rFonts w:hint="eastAsia"/>
        </w:rPr>
        <w:tab/>
      </w:r>
      <w:r>
        <w:rPr>
          <w:rFonts w:hint="eastAsia"/>
        </w:rPr>
        <w:fldChar w:fldCharType="begin"/>
      </w:r>
      <w:r>
        <w:rPr>
          <w:rFonts w:hint="eastAsia"/>
        </w:rPr>
        <w:instrText xml:space="preserve"> </w:instrText>
      </w:r>
      <w:r>
        <w:instrText xml:space="preserve">PAGEREF _Toc242438037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14:paraId="1054F01E">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"_Toc242438038" </w:instrText>
      </w:r>
      <w:r>
        <w:fldChar w:fldCharType="separate"/>
      </w:r>
      <w:r>
        <w:rPr>
          <w:rStyle w:val="32"/>
        </w:rPr>
        <w:t>7  原料筛选与质量控制</w:t>
      </w:r>
      <w:r>
        <w:rPr>
          <w:rFonts w:hint="eastAsia"/>
        </w:rPr>
        <w:tab/>
      </w:r>
      <w:r>
        <w:rPr>
          <w:rFonts w:hint="eastAsia"/>
        </w:rPr>
        <w:fldChar w:fldCharType="begin"/>
      </w:r>
      <w:r>
        <w:rPr>
          <w:rFonts w:hint="eastAsia"/>
        </w:rPr>
        <w:instrText xml:space="preserve"> </w:instrText>
      </w:r>
      <w:r>
        <w:instrText xml:space="preserve">PAGEREF _Toc242438038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14:paraId="258C6AEB">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"_Toc242438039" </w:instrText>
      </w:r>
      <w:r>
        <w:fldChar w:fldCharType="separate"/>
      </w:r>
      <w:r>
        <w:rPr>
          <w:rStyle w:val="32"/>
          <w14:scene3d w14:prst="orthographicFront">
            <w14:lightRig w14:rig="threePt" w14:dir="t">
              <w14:rot w14:lat="0" w14:lon="0" w14:rev="0"/>
            </w14:lightRig>
          </w14:scene3d>
        </w:rPr>
        <w:t xml:space="preserve">7.1 </w:t>
      </w:r>
      <w:r>
        <w:rPr>
          <w:rStyle w:val="32"/>
        </w:rPr>
        <w:t xml:space="preserve"> 原料感官与理化</w:t>
      </w:r>
      <w:r>
        <w:rPr>
          <w:rFonts w:hint="eastAsia"/>
        </w:rPr>
        <w:tab/>
      </w:r>
      <w:r>
        <w:rPr>
          <w:rFonts w:hint="eastAsia"/>
        </w:rPr>
        <w:fldChar w:fldCharType="begin"/>
      </w:r>
      <w:r>
        <w:rPr>
          <w:rFonts w:hint="eastAsia"/>
        </w:rPr>
        <w:instrText xml:space="preserve"> </w:instrText>
      </w:r>
      <w:r>
        <w:instrText xml:space="preserve">PAGEREF _Toc242438039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14:paraId="16EE7FCE">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"_Toc242438040" </w:instrText>
      </w:r>
      <w:r>
        <w:fldChar w:fldCharType="separate"/>
      </w:r>
      <w:r>
        <w:rPr>
          <w:rStyle w:val="32"/>
          <w14:scene3d w14:prst="orthographicFront">
            <w14:lightRig w14:rig="threePt" w14:dir="t">
              <w14:rot w14:lat="0" w14:lon="0" w14:rev="0"/>
            </w14:lightRig>
          </w14:scene3d>
        </w:rPr>
        <w:t xml:space="preserve">7.2 </w:t>
      </w:r>
      <w:r>
        <w:rPr>
          <w:rStyle w:val="32"/>
        </w:rPr>
        <w:t xml:space="preserve"> 原料道地性与溯源性</w:t>
      </w:r>
      <w:r>
        <w:rPr>
          <w:rFonts w:hint="eastAsia"/>
        </w:rPr>
        <w:tab/>
      </w:r>
      <w:r>
        <w:rPr>
          <w:rFonts w:hint="eastAsia"/>
        </w:rPr>
        <w:fldChar w:fldCharType="begin"/>
      </w:r>
      <w:r>
        <w:rPr>
          <w:rFonts w:hint="eastAsia"/>
        </w:rPr>
        <w:instrText xml:space="preserve"> </w:instrText>
      </w:r>
      <w:r>
        <w:instrText xml:space="preserve">PAGEREF _Toc242438040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14:paraId="56A9D1C9">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"_Toc242438041" </w:instrText>
      </w:r>
      <w:r>
        <w:fldChar w:fldCharType="separate"/>
      </w:r>
      <w:r>
        <w:rPr>
          <w:rStyle w:val="32"/>
          <w14:scene3d w14:prst="orthographicFront">
            <w14:lightRig w14:rig="threePt" w14:dir="t">
              <w14:rot w14:lat="0" w14:lon="0" w14:rev="0"/>
            </w14:lightRig>
          </w14:scene3d>
        </w:rPr>
        <w:t xml:space="preserve">7.3 </w:t>
      </w:r>
      <w:r>
        <w:rPr>
          <w:rStyle w:val="32"/>
        </w:rPr>
        <w:t xml:space="preserve"> 安全性指标</w:t>
      </w:r>
      <w:r>
        <w:rPr>
          <w:rFonts w:hint="eastAsia"/>
        </w:rPr>
        <w:tab/>
      </w:r>
      <w:r>
        <w:rPr>
          <w:rFonts w:hint="eastAsia"/>
        </w:rPr>
        <w:fldChar w:fldCharType="begin"/>
      </w:r>
      <w:r>
        <w:rPr>
          <w:rFonts w:hint="eastAsia"/>
        </w:rPr>
        <w:instrText xml:space="preserve"> </w:instrText>
      </w:r>
      <w:r>
        <w:instrText xml:space="preserve">PAGEREF _Toc242438041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14:paraId="4BE1DE97">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"_Toc242438042" </w:instrText>
      </w:r>
      <w:r>
        <w:fldChar w:fldCharType="separate"/>
      </w:r>
      <w:r>
        <w:rPr>
          <w:rStyle w:val="32"/>
          <w14:scene3d w14:prst="orthographicFront">
            <w14:lightRig w14:rig="threePt" w14:dir="t">
              <w14:rot w14:lat="0" w14:lon="0" w14:rev="0"/>
            </w14:lightRig>
          </w14:scene3d>
        </w:rPr>
        <w:t xml:space="preserve">7.4 </w:t>
      </w:r>
      <w:r>
        <w:rPr>
          <w:rStyle w:val="32"/>
        </w:rPr>
        <w:t xml:space="preserve"> 食药物质目录合规性</w:t>
      </w:r>
      <w:r>
        <w:rPr>
          <w:rFonts w:hint="eastAsia"/>
        </w:rPr>
        <w:tab/>
      </w:r>
      <w:r>
        <w:rPr>
          <w:rFonts w:hint="eastAsia"/>
        </w:rPr>
        <w:fldChar w:fldCharType="begin"/>
      </w:r>
      <w:r>
        <w:rPr>
          <w:rFonts w:hint="eastAsia"/>
        </w:rPr>
        <w:instrText xml:space="preserve"> </w:instrText>
      </w:r>
      <w:r>
        <w:instrText xml:space="preserve">PAGEREF _Toc242438042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14:paraId="33252724">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"_Toc242438043" </w:instrText>
      </w:r>
      <w:r>
        <w:fldChar w:fldCharType="separate"/>
      </w:r>
      <w:r>
        <w:rPr>
          <w:rStyle w:val="32"/>
          <w14:scene3d w14:prst="orthographicFront">
            <w14:lightRig w14:rig="threePt" w14:dir="t">
              <w14:rot w14:lat="0" w14:lon="0" w14:rev="0"/>
            </w14:lightRig>
          </w14:scene3d>
        </w:rPr>
        <w:t xml:space="preserve">7.5 </w:t>
      </w:r>
      <w:r>
        <w:rPr>
          <w:rStyle w:val="32"/>
        </w:rPr>
        <w:t xml:space="preserve"> 食品添加剂</w:t>
      </w:r>
      <w:r>
        <w:rPr>
          <w:rFonts w:hint="eastAsia"/>
        </w:rPr>
        <w:tab/>
      </w:r>
      <w:r>
        <w:rPr>
          <w:rFonts w:hint="eastAsia"/>
        </w:rPr>
        <w:fldChar w:fldCharType="begin"/>
      </w:r>
      <w:r>
        <w:rPr>
          <w:rFonts w:hint="eastAsia"/>
        </w:rPr>
        <w:instrText xml:space="preserve"> </w:instrText>
      </w:r>
      <w:r>
        <w:instrText xml:space="preserve">PAGEREF _Toc242438043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14:paraId="335B5337">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"_Toc242438044" </w:instrText>
      </w:r>
      <w:r>
        <w:fldChar w:fldCharType="separate"/>
      </w:r>
      <w:r>
        <w:rPr>
          <w:rStyle w:val="32"/>
        </w:rPr>
        <w:t>8  工艺开发与验证</w:t>
      </w:r>
      <w:r>
        <w:rPr>
          <w:rFonts w:hint="eastAsia"/>
        </w:rPr>
        <w:tab/>
      </w:r>
      <w:r>
        <w:rPr>
          <w:rFonts w:hint="eastAsia"/>
        </w:rPr>
        <w:fldChar w:fldCharType="begin"/>
      </w:r>
      <w:r>
        <w:rPr>
          <w:rFonts w:hint="eastAsia"/>
        </w:rPr>
        <w:instrText xml:space="preserve"> </w:instrText>
      </w:r>
      <w:r>
        <w:instrText xml:space="preserve">PAGEREF _Toc242438044 \h</w:instrText>
      </w:r>
      <w:r>
        <w:rPr>
          <w:rFonts w:hint="eastAsia"/>
        </w:rPr>
        <w:instrText xml:space="preserve"> </w:instrText>
      </w:r>
      <w:r>
        <w:rPr>
          <w:rFonts w:hint="eastAsia"/>
        </w:rPr>
        <w:fldChar w:fldCharType="separate"/>
      </w:r>
      <w:r>
        <w:t>5</w:t>
      </w:r>
      <w:r>
        <w:rPr>
          <w:rFonts w:hint="eastAsia"/>
        </w:rPr>
        <w:fldChar w:fldCharType="end"/>
      </w:r>
      <w:r>
        <w:rPr>
          <w:rFonts w:hint="eastAsia"/>
        </w:rPr>
        <w:fldChar w:fldCharType="end"/>
      </w:r>
    </w:p>
    <w:p w14:paraId="5194353A">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"_Toc242438045" </w:instrText>
      </w:r>
      <w:r>
        <w:fldChar w:fldCharType="separate"/>
      </w:r>
      <w:r>
        <w:rPr>
          <w:rStyle w:val="32"/>
          <w14:scene3d w14:prst="orthographicFront">
            <w14:lightRig w14:rig="threePt" w14:dir="t">
              <w14:rot w14:lat="0" w14:lon="0" w14:rev="0"/>
            </w14:lightRig>
          </w14:scene3d>
        </w:rPr>
        <w:t xml:space="preserve">8.1 </w:t>
      </w:r>
      <w:r>
        <w:rPr>
          <w:rStyle w:val="32"/>
        </w:rPr>
        <w:t xml:space="preserve"> 生产环境与卫生</w:t>
      </w:r>
      <w:r>
        <w:rPr>
          <w:rFonts w:hint="eastAsia"/>
        </w:rPr>
        <w:tab/>
      </w:r>
      <w:r>
        <w:rPr>
          <w:rFonts w:hint="eastAsia"/>
        </w:rPr>
        <w:fldChar w:fldCharType="begin"/>
      </w:r>
      <w:r>
        <w:rPr>
          <w:rFonts w:hint="eastAsia"/>
        </w:rPr>
        <w:instrText xml:space="preserve"> </w:instrText>
      </w:r>
      <w:r>
        <w:instrText xml:space="preserve">PAGEREF _Toc242438045 \h</w:instrText>
      </w:r>
      <w:r>
        <w:rPr>
          <w:rFonts w:hint="eastAsia"/>
        </w:rPr>
        <w:instrText xml:space="preserve"> </w:instrText>
      </w:r>
      <w:r>
        <w:rPr>
          <w:rFonts w:hint="eastAsia"/>
        </w:rPr>
        <w:fldChar w:fldCharType="separate"/>
      </w:r>
      <w:r>
        <w:t>5</w:t>
      </w:r>
      <w:r>
        <w:rPr>
          <w:rFonts w:hint="eastAsia"/>
        </w:rPr>
        <w:fldChar w:fldCharType="end"/>
      </w:r>
      <w:r>
        <w:rPr>
          <w:rFonts w:hint="eastAsia"/>
        </w:rPr>
        <w:fldChar w:fldCharType="end"/>
      </w:r>
    </w:p>
    <w:p w14:paraId="3DCAE084">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"_Toc242438046" </w:instrText>
      </w:r>
      <w:r>
        <w:fldChar w:fldCharType="separate"/>
      </w:r>
      <w:r>
        <w:rPr>
          <w:rStyle w:val="32"/>
          <w14:scene3d w14:prst="orthographicFront">
            <w14:lightRig w14:rig="threePt" w14:dir="t">
              <w14:rot w14:lat="0" w14:lon="0" w14:rev="0"/>
            </w14:lightRig>
          </w14:scene3d>
        </w:rPr>
        <w:t xml:space="preserve">8.2 </w:t>
      </w:r>
      <w:r>
        <w:rPr>
          <w:rStyle w:val="32"/>
        </w:rPr>
        <w:t xml:space="preserve"> 原料前处理</w:t>
      </w:r>
      <w:r>
        <w:rPr>
          <w:rFonts w:hint="eastAsia"/>
        </w:rPr>
        <w:tab/>
      </w:r>
      <w:r>
        <w:rPr>
          <w:rFonts w:hint="eastAsia"/>
        </w:rPr>
        <w:fldChar w:fldCharType="begin"/>
      </w:r>
      <w:r>
        <w:rPr>
          <w:rFonts w:hint="eastAsia"/>
        </w:rPr>
        <w:instrText xml:space="preserve"> </w:instrText>
      </w:r>
      <w:r>
        <w:instrText xml:space="preserve">PAGEREF _Toc242438046 \h</w:instrText>
      </w:r>
      <w:r>
        <w:rPr>
          <w:rFonts w:hint="eastAsia"/>
        </w:rPr>
        <w:instrText xml:space="preserve"> </w:instrText>
      </w:r>
      <w:r>
        <w:rPr>
          <w:rFonts w:hint="eastAsia"/>
        </w:rPr>
        <w:fldChar w:fldCharType="separate"/>
      </w:r>
      <w:r>
        <w:t>5</w:t>
      </w:r>
      <w:r>
        <w:rPr>
          <w:rFonts w:hint="eastAsia"/>
        </w:rPr>
        <w:fldChar w:fldCharType="end"/>
      </w:r>
      <w:r>
        <w:rPr>
          <w:rFonts w:hint="eastAsia"/>
        </w:rPr>
        <w:fldChar w:fldCharType="end"/>
      </w:r>
    </w:p>
    <w:p w14:paraId="2B13F7C1">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"_Toc242438047" </w:instrText>
      </w:r>
      <w:r>
        <w:fldChar w:fldCharType="separate"/>
      </w:r>
      <w:r>
        <w:rPr>
          <w:rStyle w:val="32"/>
          <w14:scene3d w14:prst="orthographicFront">
            <w14:lightRig w14:rig="threePt" w14:dir="t">
              <w14:rot w14:lat="0" w14:lon="0" w14:rev="0"/>
            </w14:lightRig>
          </w14:scene3d>
        </w:rPr>
        <w:t xml:space="preserve">8.3 </w:t>
      </w:r>
      <w:r>
        <w:rPr>
          <w:rStyle w:val="32"/>
        </w:rPr>
        <w:t xml:space="preserve"> 提取工艺</w:t>
      </w:r>
      <w:r>
        <w:rPr>
          <w:rFonts w:hint="eastAsia"/>
        </w:rPr>
        <w:tab/>
      </w:r>
      <w:r>
        <w:rPr>
          <w:rFonts w:hint="eastAsia"/>
        </w:rPr>
        <w:fldChar w:fldCharType="begin"/>
      </w:r>
      <w:r>
        <w:rPr>
          <w:rFonts w:hint="eastAsia"/>
        </w:rPr>
        <w:instrText xml:space="preserve"> </w:instrText>
      </w:r>
      <w:r>
        <w:instrText xml:space="preserve">PAGEREF _Toc242438047 \h</w:instrText>
      </w:r>
      <w:r>
        <w:rPr>
          <w:rFonts w:hint="eastAsia"/>
        </w:rPr>
        <w:instrText xml:space="preserve"> </w:instrText>
      </w:r>
      <w:r>
        <w:rPr>
          <w:rFonts w:hint="eastAsia"/>
        </w:rPr>
        <w:fldChar w:fldCharType="separate"/>
      </w:r>
      <w:r>
        <w:t>5</w:t>
      </w:r>
      <w:r>
        <w:rPr>
          <w:rFonts w:hint="eastAsia"/>
        </w:rPr>
        <w:fldChar w:fldCharType="end"/>
      </w:r>
      <w:r>
        <w:rPr>
          <w:rFonts w:hint="eastAsia"/>
        </w:rPr>
        <w:fldChar w:fldCharType="end"/>
      </w:r>
    </w:p>
    <w:p w14:paraId="38146BC0">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"_Toc242438048" </w:instrText>
      </w:r>
      <w:r>
        <w:fldChar w:fldCharType="separate"/>
      </w:r>
      <w:r>
        <w:rPr>
          <w:rStyle w:val="32"/>
          <w14:scene3d w14:prst="orthographicFront">
            <w14:lightRig w14:rig="threePt" w14:dir="t">
              <w14:rot w14:lat="0" w14:lon="0" w14:rev="0"/>
            </w14:lightRig>
          </w14:scene3d>
        </w:rPr>
        <w:t xml:space="preserve">8.4 </w:t>
      </w:r>
      <w:r>
        <w:rPr>
          <w:rStyle w:val="32"/>
        </w:rPr>
        <w:t xml:space="preserve"> 浓缩工艺</w:t>
      </w:r>
      <w:r>
        <w:rPr>
          <w:rFonts w:hint="eastAsia"/>
        </w:rPr>
        <w:tab/>
      </w:r>
      <w:r>
        <w:rPr>
          <w:rFonts w:hint="eastAsia"/>
        </w:rPr>
        <w:fldChar w:fldCharType="begin"/>
      </w:r>
      <w:r>
        <w:rPr>
          <w:rFonts w:hint="eastAsia"/>
        </w:rPr>
        <w:instrText xml:space="preserve"> </w:instrText>
      </w:r>
      <w:r>
        <w:instrText xml:space="preserve">PAGEREF _Toc242438048 \h</w:instrText>
      </w:r>
      <w:r>
        <w:rPr>
          <w:rFonts w:hint="eastAsia"/>
        </w:rPr>
        <w:instrText xml:space="preserve"> </w:instrText>
      </w:r>
      <w:r>
        <w:rPr>
          <w:rFonts w:hint="eastAsia"/>
        </w:rPr>
        <w:fldChar w:fldCharType="separate"/>
      </w:r>
      <w:r>
        <w:t>5</w:t>
      </w:r>
      <w:r>
        <w:rPr>
          <w:rFonts w:hint="eastAsia"/>
        </w:rPr>
        <w:fldChar w:fldCharType="end"/>
      </w:r>
      <w:r>
        <w:rPr>
          <w:rFonts w:hint="eastAsia"/>
        </w:rPr>
        <w:fldChar w:fldCharType="end"/>
      </w:r>
    </w:p>
    <w:p w14:paraId="027666EA">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"_Toc242438049" </w:instrText>
      </w:r>
      <w:r>
        <w:fldChar w:fldCharType="separate"/>
      </w:r>
      <w:r>
        <w:rPr>
          <w:rStyle w:val="32"/>
          <w14:scene3d w14:prst="orthographicFront">
            <w14:lightRig w14:rig="threePt" w14:dir="t">
              <w14:rot w14:lat="0" w14:lon="0" w14:rev="0"/>
            </w14:lightRig>
          </w14:scene3d>
        </w:rPr>
        <w:t xml:space="preserve">8.5 </w:t>
      </w:r>
      <w:r>
        <w:rPr>
          <w:rStyle w:val="32"/>
        </w:rPr>
        <w:t xml:space="preserve"> 收膏工艺</w:t>
      </w:r>
      <w:r>
        <w:rPr>
          <w:rFonts w:hint="eastAsia"/>
        </w:rPr>
        <w:tab/>
      </w:r>
      <w:r>
        <w:rPr>
          <w:rFonts w:hint="eastAsia"/>
        </w:rPr>
        <w:fldChar w:fldCharType="begin"/>
      </w:r>
      <w:r>
        <w:rPr>
          <w:rFonts w:hint="eastAsia"/>
        </w:rPr>
        <w:instrText xml:space="preserve"> </w:instrText>
      </w:r>
      <w:r>
        <w:instrText xml:space="preserve">PAGEREF _Toc242438049 \h</w:instrText>
      </w:r>
      <w:r>
        <w:rPr>
          <w:rFonts w:hint="eastAsia"/>
        </w:rPr>
        <w:instrText xml:space="preserve"> </w:instrText>
      </w:r>
      <w:r>
        <w:rPr>
          <w:rFonts w:hint="eastAsia"/>
        </w:rPr>
        <w:fldChar w:fldCharType="separate"/>
      </w:r>
      <w:r>
        <w:t>5</w:t>
      </w:r>
      <w:r>
        <w:rPr>
          <w:rFonts w:hint="eastAsia"/>
        </w:rPr>
        <w:fldChar w:fldCharType="end"/>
      </w:r>
      <w:r>
        <w:rPr>
          <w:rFonts w:hint="eastAsia"/>
        </w:rPr>
        <w:fldChar w:fldCharType="end"/>
      </w:r>
    </w:p>
    <w:p w14:paraId="1356E166">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"_Toc242438050" </w:instrText>
      </w:r>
      <w:r>
        <w:fldChar w:fldCharType="separate"/>
      </w:r>
      <w:r>
        <w:rPr>
          <w:rStyle w:val="32"/>
          <w14:scene3d w14:prst="orthographicFront">
            <w14:lightRig w14:rig="threePt" w14:dir="t">
              <w14:rot w14:lat="0" w14:lon="0" w14:rev="0"/>
            </w14:lightRig>
          </w14:scene3d>
        </w:rPr>
        <w:t xml:space="preserve">8.6 </w:t>
      </w:r>
      <w:r>
        <w:rPr>
          <w:rStyle w:val="32"/>
        </w:rPr>
        <w:t xml:space="preserve"> 灭菌与灌装</w:t>
      </w:r>
      <w:r>
        <w:rPr>
          <w:rFonts w:hint="eastAsia"/>
        </w:rPr>
        <w:tab/>
      </w:r>
      <w:r>
        <w:rPr>
          <w:rFonts w:hint="eastAsia"/>
        </w:rPr>
        <w:fldChar w:fldCharType="begin"/>
      </w:r>
      <w:r>
        <w:rPr>
          <w:rFonts w:hint="eastAsia"/>
        </w:rPr>
        <w:instrText xml:space="preserve"> </w:instrText>
      </w:r>
      <w:r>
        <w:instrText xml:space="preserve">PAGEREF _Toc242438050 \h</w:instrText>
      </w:r>
      <w:r>
        <w:rPr>
          <w:rFonts w:hint="eastAsia"/>
        </w:rPr>
        <w:instrText xml:space="preserve"> </w:instrText>
      </w:r>
      <w:r>
        <w:rPr>
          <w:rFonts w:hint="eastAsia"/>
        </w:rPr>
        <w:fldChar w:fldCharType="separate"/>
      </w:r>
      <w:r>
        <w:t>5</w:t>
      </w:r>
      <w:r>
        <w:rPr>
          <w:rFonts w:hint="eastAsia"/>
        </w:rPr>
        <w:fldChar w:fldCharType="end"/>
      </w:r>
      <w:r>
        <w:rPr>
          <w:rFonts w:hint="eastAsia"/>
        </w:rPr>
        <w:fldChar w:fldCharType="end"/>
      </w:r>
    </w:p>
    <w:p w14:paraId="0711B6FD">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"_Toc242438051" </w:instrText>
      </w:r>
      <w:r>
        <w:fldChar w:fldCharType="separate"/>
      </w:r>
      <w:r>
        <w:rPr>
          <w:rStyle w:val="32"/>
          <w14:scene3d w14:prst="orthographicFront">
            <w14:lightRig w14:rig="threePt" w14:dir="t">
              <w14:rot w14:lat="0" w14:lon="0" w14:rev="0"/>
            </w14:lightRig>
          </w14:scene3d>
        </w:rPr>
        <w:t xml:space="preserve">8.7 </w:t>
      </w:r>
      <w:r>
        <w:rPr>
          <w:rStyle w:val="32"/>
        </w:rPr>
        <w:t xml:space="preserve"> 工艺验证</w:t>
      </w:r>
      <w:r>
        <w:rPr>
          <w:rFonts w:hint="eastAsia"/>
        </w:rPr>
        <w:tab/>
      </w:r>
      <w:r>
        <w:rPr>
          <w:rFonts w:hint="eastAsia"/>
        </w:rPr>
        <w:fldChar w:fldCharType="begin"/>
      </w:r>
      <w:r>
        <w:rPr>
          <w:rFonts w:hint="eastAsia"/>
        </w:rPr>
        <w:instrText xml:space="preserve"> </w:instrText>
      </w:r>
      <w:r>
        <w:instrText xml:space="preserve">PAGEREF _Toc242438051 \h</w:instrText>
      </w:r>
      <w:r>
        <w:rPr>
          <w:rFonts w:hint="eastAsia"/>
        </w:rPr>
        <w:instrText xml:space="preserve"> </w:instrText>
      </w:r>
      <w:r>
        <w:rPr>
          <w:rFonts w:hint="eastAsia"/>
        </w:rPr>
        <w:fldChar w:fldCharType="separate"/>
      </w:r>
      <w:r>
        <w:t>5</w:t>
      </w:r>
      <w:r>
        <w:rPr>
          <w:rFonts w:hint="eastAsia"/>
        </w:rPr>
        <w:fldChar w:fldCharType="end"/>
      </w:r>
      <w:r>
        <w:rPr>
          <w:rFonts w:hint="eastAsia"/>
        </w:rPr>
        <w:fldChar w:fldCharType="end"/>
      </w:r>
    </w:p>
    <w:p w14:paraId="4DA5C37A">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"_Toc242438052" </w:instrText>
      </w:r>
      <w:r>
        <w:fldChar w:fldCharType="separate"/>
      </w:r>
      <w:r>
        <w:rPr>
          <w:rStyle w:val="32"/>
        </w:rPr>
        <w:t>9  标签标识</w:t>
      </w:r>
      <w:r>
        <w:rPr>
          <w:rFonts w:hint="eastAsia"/>
        </w:rPr>
        <w:tab/>
      </w:r>
      <w:r>
        <w:rPr>
          <w:rFonts w:hint="eastAsia"/>
        </w:rPr>
        <w:fldChar w:fldCharType="begin"/>
      </w:r>
      <w:r>
        <w:rPr>
          <w:rFonts w:hint="eastAsia"/>
        </w:rPr>
        <w:instrText xml:space="preserve"> </w:instrText>
      </w:r>
      <w:r>
        <w:instrText xml:space="preserve">PAGEREF _Toc242438052 \h</w:instrText>
      </w:r>
      <w:r>
        <w:rPr>
          <w:rFonts w:hint="eastAsia"/>
        </w:rPr>
        <w:instrText xml:space="preserve"> </w:instrText>
      </w:r>
      <w:r>
        <w:rPr>
          <w:rFonts w:hint="eastAsia"/>
        </w:rPr>
        <w:fldChar w:fldCharType="separate"/>
      </w:r>
      <w:r>
        <w:t>6</w:t>
      </w:r>
      <w:r>
        <w:rPr>
          <w:rFonts w:hint="eastAsia"/>
        </w:rPr>
        <w:fldChar w:fldCharType="end"/>
      </w:r>
      <w:r>
        <w:rPr>
          <w:rFonts w:hint="eastAsia"/>
        </w:rPr>
        <w:fldChar w:fldCharType="end"/>
      </w:r>
    </w:p>
    <w:p w14:paraId="6B4908AB">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"_Toc242438053" </w:instrText>
      </w:r>
      <w:r>
        <w:fldChar w:fldCharType="separate"/>
      </w:r>
      <w:r>
        <w:rPr>
          <w:rStyle w:val="32"/>
          <w14:scene3d w14:prst="orthographicFront">
            <w14:lightRig w14:rig="threePt" w14:dir="t">
              <w14:rot w14:lat="0" w14:lon="0" w14:rev="0"/>
            </w14:lightRig>
          </w14:scene3d>
        </w:rPr>
        <w:t xml:space="preserve">9.1 </w:t>
      </w:r>
      <w:r>
        <w:rPr>
          <w:rStyle w:val="32"/>
        </w:rPr>
        <w:t xml:space="preserve"> 基本要求</w:t>
      </w:r>
      <w:r>
        <w:rPr>
          <w:rFonts w:hint="eastAsia"/>
        </w:rPr>
        <w:tab/>
      </w:r>
      <w:r>
        <w:rPr>
          <w:rFonts w:hint="eastAsia"/>
        </w:rPr>
        <w:fldChar w:fldCharType="begin"/>
      </w:r>
      <w:r>
        <w:rPr>
          <w:rFonts w:hint="eastAsia"/>
        </w:rPr>
        <w:instrText xml:space="preserve"> </w:instrText>
      </w:r>
      <w:r>
        <w:instrText xml:space="preserve">PAGEREF _Toc242438053 \h</w:instrText>
      </w:r>
      <w:r>
        <w:rPr>
          <w:rFonts w:hint="eastAsia"/>
        </w:rPr>
        <w:instrText xml:space="preserve"> </w:instrText>
      </w:r>
      <w:r>
        <w:rPr>
          <w:rFonts w:hint="eastAsia"/>
        </w:rPr>
        <w:fldChar w:fldCharType="separate"/>
      </w:r>
      <w:r>
        <w:t>6</w:t>
      </w:r>
      <w:r>
        <w:rPr>
          <w:rFonts w:hint="eastAsia"/>
        </w:rPr>
        <w:fldChar w:fldCharType="end"/>
      </w:r>
      <w:r>
        <w:rPr>
          <w:rFonts w:hint="eastAsia"/>
        </w:rPr>
        <w:fldChar w:fldCharType="end"/>
      </w:r>
    </w:p>
    <w:p w14:paraId="6BDE70CB">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"_Toc242438054" </w:instrText>
      </w:r>
      <w:r>
        <w:fldChar w:fldCharType="separate"/>
      </w:r>
      <w:r>
        <w:rPr>
          <w:rStyle w:val="32"/>
          <w14:scene3d w14:prst="orthographicFront">
            <w14:lightRig w14:rig="threePt" w14:dir="t">
              <w14:rot w14:lat="0" w14:lon="0" w14:rev="0"/>
            </w14:lightRig>
          </w14:scene3d>
        </w:rPr>
        <w:t xml:space="preserve">9.2 </w:t>
      </w:r>
      <w:r>
        <w:rPr>
          <w:rStyle w:val="32"/>
        </w:rPr>
        <w:t xml:space="preserve"> 产品名称</w:t>
      </w:r>
      <w:r>
        <w:rPr>
          <w:rFonts w:hint="eastAsia"/>
        </w:rPr>
        <w:tab/>
      </w:r>
      <w:r>
        <w:rPr>
          <w:rFonts w:hint="eastAsia"/>
        </w:rPr>
        <w:fldChar w:fldCharType="begin"/>
      </w:r>
      <w:r>
        <w:rPr>
          <w:rFonts w:hint="eastAsia"/>
        </w:rPr>
        <w:instrText xml:space="preserve"> </w:instrText>
      </w:r>
      <w:r>
        <w:instrText xml:space="preserve">PAGEREF _Toc242438054 \h</w:instrText>
      </w:r>
      <w:r>
        <w:rPr>
          <w:rFonts w:hint="eastAsia"/>
        </w:rPr>
        <w:instrText xml:space="preserve"> </w:instrText>
      </w:r>
      <w:r>
        <w:rPr>
          <w:rFonts w:hint="eastAsia"/>
        </w:rPr>
        <w:fldChar w:fldCharType="separate"/>
      </w:r>
      <w:r>
        <w:t>6</w:t>
      </w:r>
      <w:r>
        <w:rPr>
          <w:rFonts w:hint="eastAsia"/>
        </w:rPr>
        <w:fldChar w:fldCharType="end"/>
      </w:r>
      <w:r>
        <w:rPr>
          <w:rFonts w:hint="eastAsia"/>
        </w:rPr>
        <w:fldChar w:fldCharType="end"/>
      </w:r>
    </w:p>
    <w:p w14:paraId="4F9A1282">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"_Toc242438055" </w:instrText>
      </w:r>
      <w:r>
        <w:fldChar w:fldCharType="separate"/>
      </w:r>
      <w:r>
        <w:rPr>
          <w:rStyle w:val="32"/>
          <w14:scene3d w14:prst="orthographicFront">
            <w14:lightRig w14:rig="threePt" w14:dir="t">
              <w14:rot w14:lat="0" w14:lon="0" w14:rev="0"/>
            </w14:lightRig>
          </w14:scene3d>
        </w:rPr>
        <w:t xml:space="preserve">9.3 </w:t>
      </w:r>
      <w:r>
        <w:rPr>
          <w:rStyle w:val="32"/>
        </w:rPr>
        <w:t xml:space="preserve"> 配料表</w:t>
      </w:r>
      <w:r>
        <w:rPr>
          <w:rFonts w:hint="eastAsia"/>
        </w:rPr>
        <w:tab/>
      </w:r>
      <w:r>
        <w:rPr>
          <w:rFonts w:hint="eastAsia"/>
        </w:rPr>
        <w:fldChar w:fldCharType="begin"/>
      </w:r>
      <w:r>
        <w:rPr>
          <w:rFonts w:hint="eastAsia"/>
        </w:rPr>
        <w:instrText xml:space="preserve"> </w:instrText>
      </w:r>
      <w:r>
        <w:instrText xml:space="preserve">PAGEREF _Toc242438055 \h</w:instrText>
      </w:r>
      <w:r>
        <w:rPr>
          <w:rFonts w:hint="eastAsia"/>
        </w:rPr>
        <w:instrText xml:space="preserve"> </w:instrText>
      </w:r>
      <w:r>
        <w:rPr>
          <w:rFonts w:hint="eastAsia"/>
        </w:rPr>
        <w:fldChar w:fldCharType="separate"/>
      </w:r>
      <w:r>
        <w:t>6</w:t>
      </w:r>
      <w:r>
        <w:rPr>
          <w:rFonts w:hint="eastAsia"/>
        </w:rPr>
        <w:fldChar w:fldCharType="end"/>
      </w:r>
      <w:r>
        <w:rPr>
          <w:rFonts w:hint="eastAsia"/>
        </w:rPr>
        <w:fldChar w:fldCharType="end"/>
      </w:r>
    </w:p>
    <w:p w14:paraId="64C4DB51">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"_Toc242438056" </w:instrText>
      </w:r>
      <w:r>
        <w:fldChar w:fldCharType="separate"/>
      </w:r>
      <w:r>
        <w:rPr>
          <w:rStyle w:val="32"/>
          <w14:scene3d w14:prst="orthographicFront">
            <w14:lightRig w14:rig="threePt" w14:dir="t">
              <w14:rot w14:lat="0" w14:lon="0" w14:rev="0"/>
            </w14:lightRig>
          </w14:scene3d>
        </w:rPr>
        <w:t xml:space="preserve">9.4 </w:t>
      </w:r>
      <w:r>
        <w:rPr>
          <w:rStyle w:val="32"/>
        </w:rPr>
        <w:t xml:space="preserve"> 体质适配信息</w:t>
      </w:r>
      <w:r>
        <w:rPr>
          <w:rFonts w:hint="eastAsia"/>
        </w:rPr>
        <w:tab/>
      </w:r>
      <w:r>
        <w:rPr>
          <w:rFonts w:hint="eastAsia"/>
        </w:rPr>
        <w:fldChar w:fldCharType="begin"/>
      </w:r>
      <w:r>
        <w:rPr>
          <w:rFonts w:hint="eastAsia"/>
        </w:rPr>
        <w:instrText xml:space="preserve"> </w:instrText>
      </w:r>
      <w:r>
        <w:instrText xml:space="preserve">PAGEREF _Toc242438056 \h</w:instrText>
      </w:r>
      <w:r>
        <w:rPr>
          <w:rFonts w:hint="eastAsia"/>
        </w:rPr>
        <w:instrText xml:space="preserve"> </w:instrText>
      </w:r>
      <w:r>
        <w:rPr>
          <w:rFonts w:hint="eastAsia"/>
        </w:rPr>
        <w:fldChar w:fldCharType="separate"/>
      </w:r>
      <w:r>
        <w:t>6</w:t>
      </w:r>
      <w:r>
        <w:rPr>
          <w:rFonts w:hint="eastAsia"/>
        </w:rPr>
        <w:fldChar w:fldCharType="end"/>
      </w:r>
      <w:r>
        <w:rPr>
          <w:rFonts w:hint="eastAsia"/>
        </w:rPr>
        <w:fldChar w:fldCharType="end"/>
      </w:r>
    </w:p>
    <w:p w14:paraId="6F1EA750">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"_Toc242438057" </w:instrText>
      </w:r>
      <w:r>
        <w:fldChar w:fldCharType="separate"/>
      </w:r>
      <w:r>
        <w:rPr>
          <w:rStyle w:val="32"/>
          <w14:scene3d w14:prst="orthographicFront">
            <w14:lightRig w14:rig="threePt" w14:dir="t">
              <w14:rot w14:lat="0" w14:lon="0" w14:rev="0"/>
            </w14:lightRig>
          </w14:scene3d>
        </w:rPr>
        <w:t xml:space="preserve">9.5 </w:t>
      </w:r>
      <w:r>
        <w:rPr>
          <w:rStyle w:val="32"/>
        </w:rPr>
        <w:t xml:space="preserve"> 不适宜人群与食用禁忌</w:t>
      </w:r>
      <w:r>
        <w:rPr>
          <w:rFonts w:hint="eastAsia"/>
        </w:rPr>
        <w:tab/>
      </w:r>
      <w:r>
        <w:rPr>
          <w:rFonts w:hint="eastAsia"/>
        </w:rPr>
        <w:fldChar w:fldCharType="begin"/>
      </w:r>
      <w:r>
        <w:rPr>
          <w:rFonts w:hint="eastAsia"/>
        </w:rPr>
        <w:instrText xml:space="preserve"> </w:instrText>
      </w:r>
      <w:r>
        <w:instrText xml:space="preserve">PAGEREF _Toc242438057 \h</w:instrText>
      </w:r>
      <w:r>
        <w:rPr>
          <w:rFonts w:hint="eastAsia"/>
        </w:rPr>
        <w:instrText xml:space="preserve"> </w:instrText>
      </w:r>
      <w:r>
        <w:rPr>
          <w:rFonts w:hint="eastAsia"/>
        </w:rPr>
        <w:fldChar w:fldCharType="separate"/>
      </w:r>
      <w:r>
        <w:t>6</w:t>
      </w:r>
      <w:r>
        <w:rPr>
          <w:rFonts w:hint="eastAsia"/>
        </w:rPr>
        <w:fldChar w:fldCharType="end"/>
      </w:r>
      <w:r>
        <w:rPr>
          <w:rFonts w:hint="eastAsia"/>
        </w:rPr>
        <w:fldChar w:fldCharType="end"/>
      </w:r>
    </w:p>
    <w:p w14:paraId="06058FB1">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"_Toc242438058" </w:instrText>
      </w:r>
      <w:r>
        <w:fldChar w:fldCharType="separate"/>
      </w:r>
      <w:r>
        <w:rPr>
          <w:rStyle w:val="32"/>
        </w:rPr>
        <w:t>附录A（资料性）  九种中医体质食药物质配伍参考表</w:t>
      </w:r>
      <w:r>
        <w:rPr>
          <w:rFonts w:hint="eastAsia"/>
        </w:rPr>
        <w:tab/>
      </w:r>
      <w:r>
        <w:rPr>
          <w:rFonts w:hint="eastAsia"/>
        </w:rPr>
        <w:fldChar w:fldCharType="begin"/>
      </w:r>
      <w:r>
        <w:rPr>
          <w:rFonts w:hint="eastAsia"/>
        </w:rPr>
        <w:instrText xml:space="preserve"> </w:instrText>
      </w:r>
      <w:r>
        <w:instrText xml:space="preserve">PAGEREF _Toc242438058 \h</w:instrText>
      </w:r>
      <w:r>
        <w:rPr>
          <w:rFonts w:hint="eastAsia"/>
        </w:rPr>
        <w:instrText xml:space="preserve"> </w:instrText>
      </w:r>
      <w:r>
        <w:rPr>
          <w:rFonts w:hint="eastAsia"/>
        </w:rPr>
        <w:fldChar w:fldCharType="separate"/>
      </w:r>
      <w:r>
        <w:t>7</w:t>
      </w:r>
      <w:r>
        <w:rPr>
          <w:rFonts w:hint="eastAsia"/>
        </w:rPr>
        <w:fldChar w:fldCharType="end"/>
      </w:r>
      <w:r>
        <w:rPr>
          <w:rFonts w:hint="eastAsia"/>
        </w:rPr>
        <w:fldChar w:fldCharType="end"/>
      </w:r>
    </w:p>
    <w:p w14:paraId="1E6634DF">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"_Toc242438059" </w:instrText>
      </w:r>
      <w:r>
        <w:fldChar w:fldCharType="separate"/>
      </w:r>
      <w:r>
        <w:rPr>
          <w:rStyle w:val="32"/>
        </w:rPr>
        <w:t>附录B（资料性）  食药物质膏方产品配方风险评估记录表</w:t>
      </w:r>
      <w:r>
        <w:rPr>
          <w:rFonts w:hint="eastAsia"/>
        </w:rPr>
        <w:tab/>
      </w:r>
      <w:r>
        <w:rPr>
          <w:rFonts w:hint="eastAsia"/>
        </w:rPr>
        <w:fldChar w:fldCharType="begin"/>
      </w:r>
      <w:r>
        <w:rPr>
          <w:rFonts w:hint="eastAsia"/>
        </w:rPr>
        <w:instrText xml:space="preserve"> </w:instrText>
      </w:r>
      <w:r>
        <w:instrText xml:space="preserve">PAGEREF _Toc242438059 \h</w:instrText>
      </w:r>
      <w:r>
        <w:rPr>
          <w:rFonts w:hint="eastAsia"/>
        </w:rPr>
        <w:instrText xml:space="preserve"> </w:instrText>
      </w:r>
      <w:r>
        <w:rPr>
          <w:rFonts w:hint="eastAsia"/>
        </w:rPr>
        <w:fldChar w:fldCharType="separate"/>
      </w:r>
      <w:r>
        <w:t>8</w:t>
      </w:r>
      <w:r>
        <w:rPr>
          <w:rFonts w:hint="eastAsia"/>
        </w:rPr>
        <w:fldChar w:fldCharType="end"/>
      </w:r>
      <w:r>
        <w:rPr>
          <w:rFonts w:hint="eastAsia"/>
        </w:rPr>
        <w:fldChar w:fldCharType="end"/>
      </w:r>
    </w:p>
    <w:p w14:paraId="520711FF">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"_Toc242438060" </w:instrText>
      </w:r>
      <w:r>
        <w:fldChar w:fldCharType="separate"/>
      </w:r>
      <w:r>
        <w:rPr>
          <w:rStyle w:val="32"/>
        </w:rPr>
        <w:t>B.1  基础信息</w:t>
      </w:r>
      <w:r>
        <w:rPr>
          <w:rFonts w:hint="eastAsia"/>
        </w:rPr>
        <w:tab/>
      </w:r>
      <w:r>
        <w:rPr>
          <w:rFonts w:hint="eastAsia"/>
        </w:rPr>
        <w:fldChar w:fldCharType="begin"/>
      </w:r>
      <w:r>
        <w:rPr>
          <w:rFonts w:hint="eastAsia"/>
        </w:rPr>
        <w:instrText xml:space="preserve"> </w:instrText>
      </w:r>
      <w:r>
        <w:instrText xml:space="preserve">PAGEREF _Toc242438060 \h</w:instrText>
      </w:r>
      <w:r>
        <w:rPr>
          <w:rFonts w:hint="eastAsia"/>
        </w:rPr>
        <w:instrText xml:space="preserve"> </w:instrText>
      </w:r>
      <w:r>
        <w:rPr>
          <w:rFonts w:hint="eastAsia"/>
        </w:rPr>
        <w:fldChar w:fldCharType="separate"/>
      </w:r>
      <w:r>
        <w:t>8</w:t>
      </w:r>
      <w:r>
        <w:rPr>
          <w:rFonts w:hint="eastAsia"/>
        </w:rPr>
        <w:fldChar w:fldCharType="end"/>
      </w:r>
      <w:r>
        <w:rPr>
          <w:rFonts w:hint="eastAsia"/>
        </w:rPr>
        <w:fldChar w:fldCharType="end"/>
      </w:r>
    </w:p>
    <w:p w14:paraId="744A4C4F">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"_Toc242438061" </w:instrText>
      </w:r>
      <w:r>
        <w:fldChar w:fldCharType="separate"/>
      </w:r>
      <w:r>
        <w:rPr>
          <w:rStyle w:val="32"/>
        </w:rPr>
        <w:t>B.2  风险评估维度</w:t>
      </w:r>
      <w:r>
        <w:rPr>
          <w:rFonts w:hint="eastAsia"/>
        </w:rPr>
        <w:tab/>
      </w:r>
      <w:r>
        <w:rPr>
          <w:rFonts w:hint="eastAsia"/>
        </w:rPr>
        <w:fldChar w:fldCharType="begin"/>
      </w:r>
      <w:r>
        <w:rPr>
          <w:rFonts w:hint="eastAsia"/>
        </w:rPr>
        <w:instrText xml:space="preserve"> </w:instrText>
      </w:r>
      <w:r>
        <w:instrText xml:space="preserve">PAGEREF _Toc242438061 \h</w:instrText>
      </w:r>
      <w:r>
        <w:rPr>
          <w:rFonts w:hint="eastAsia"/>
        </w:rPr>
        <w:instrText xml:space="preserve"> </w:instrText>
      </w:r>
      <w:r>
        <w:rPr>
          <w:rFonts w:hint="eastAsia"/>
        </w:rPr>
        <w:fldChar w:fldCharType="separate"/>
      </w:r>
      <w:r>
        <w:t>8</w:t>
      </w:r>
      <w:r>
        <w:rPr>
          <w:rFonts w:hint="eastAsia"/>
        </w:rPr>
        <w:fldChar w:fldCharType="end"/>
      </w:r>
      <w:r>
        <w:rPr>
          <w:rFonts w:hint="eastAsia"/>
        </w:rPr>
        <w:fldChar w:fldCharType="end"/>
      </w:r>
    </w:p>
    <w:p w14:paraId="615E6962">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"_Toc242438062" </w:instrText>
      </w:r>
      <w:r>
        <w:fldChar w:fldCharType="separate"/>
      </w:r>
      <w:r>
        <w:rPr>
          <w:rStyle w:val="32"/>
        </w:rPr>
        <w:t>B.3  风险分级</w:t>
      </w:r>
      <w:r>
        <w:rPr>
          <w:rFonts w:hint="eastAsia"/>
        </w:rPr>
        <w:tab/>
      </w:r>
      <w:r>
        <w:rPr>
          <w:rFonts w:hint="eastAsia"/>
        </w:rPr>
        <w:fldChar w:fldCharType="begin"/>
      </w:r>
      <w:r>
        <w:rPr>
          <w:rFonts w:hint="eastAsia"/>
        </w:rPr>
        <w:instrText xml:space="preserve"> </w:instrText>
      </w:r>
      <w:r>
        <w:instrText xml:space="preserve">PAGEREF _Toc242438062 \h</w:instrText>
      </w:r>
      <w:r>
        <w:rPr>
          <w:rFonts w:hint="eastAsia"/>
        </w:rPr>
        <w:instrText xml:space="preserve"> </w:instrText>
      </w:r>
      <w:r>
        <w:rPr>
          <w:rFonts w:hint="eastAsia"/>
        </w:rPr>
        <w:fldChar w:fldCharType="separate"/>
      </w:r>
      <w:r>
        <w:t>8</w:t>
      </w:r>
      <w:r>
        <w:rPr>
          <w:rFonts w:hint="eastAsia"/>
        </w:rPr>
        <w:fldChar w:fldCharType="end"/>
      </w:r>
      <w:r>
        <w:rPr>
          <w:rFonts w:hint="eastAsia"/>
        </w:rPr>
        <w:fldChar w:fldCharType="end"/>
      </w:r>
    </w:p>
    <w:p w14:paraId="7DFDCA03">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"_Toc242438063" </w:instrText>
      </w:r>
      <w:r>
        <w:fldChar w:fldCharType="separate"/>
      </w:r>
      <w:r>
        <w:rPr>
          <w:rStyle w:val="32"/>
        </w:rPr>
        <w:t>B.4  记录内容</w:t>
      </w:r>
      <w:r>
        <w:rPr>
          <w:rFonts w:hint="eastAsia"/>
        </w:rPr>
        <w:tab/>
      </w:r>
      <w:r>
        <w:rPr>
          <w:rFonts w:hint="eastAsia"/>
        </w:rPr>
        <w:fldChar w:fldCharType="begin"/>
      </w:r>
      <w:r>
        <w:rPr>
          <w:rFonts w:hint="eastAsia"/>
        </w:rPr>
        <w:instrText xml:space="preserve"> </w:instrText>
      </w:r>
      <w:r>
        <w:instrText xml:space="preserve">PAGEREF _Toc242438063 \h</w:instrText>
      </w:r>
      <w:r>
        <w:rPr>
          <w:rFonts w:hint="eastAsia"/>
        </w:rPr>
        <w:instrText xml:space="preserve"> </w:instrText>
      </w:r>
      <w:r>
        <w:rPr>
          <w:rFonts w:hint="eastAsia"/>
        </w:rPr>
        <w:fldChar w:fldCharType="separate"/>
      </w:r>
      <w:r>
        <w:t>8</w:t>
      </w:r>
      <w:r>
        <w:rPr>
          <w:rFonts w:hint="eastAsia"/>
        </w:rPr>
        <w:fldChar w:fldCharType="end"/>
      </w:r>
      <w:r>
        <w:rPr>
          <w:rFonts w:hint="eastAsia"/>
        </w:rPr>
        <w:fldChar w:fldCharType="end"/>
      </w:r>
    </w:p>
    <w:p w14:paraId="1D29AF3D">
      <w:pPr>
        <w:pStyle w:val="91"/>
        <w:spacing w:after="360"/>
        <w:sectPr>
          <w:headerReference r:id="rId11" w:type="default"/>
          <w:footerReference r:id="rId13" w:type="default"/>
          <w:headerReference r:id="rId12" w:type="even"/>
          <w:footerReference r:id="rId14" w:type="even"/>
          <w:pgSz w:w="11906" w:h="16838"/>
          <w:pgMar w:top="1928" w:right="1134" w:bottom="1134" w:left="1134" w:header="1418" w:footer="1134" w:gutter="284"/>
          <w:pgNumType w:fmt="upperRoman" w:start="1"/>
          <w:cols w:space="425" w:num="1"/>
          <w:formProt w:val="0"/>
          <w:docGrid w:linePitch="312" w:charSpace="0"/>
        </w:sectPr>
      </w:pPr>
      <w:r>
        <w:fldChar w:fldCharType="end"/>
      </w:r>
    </w:p>
    <w:bookmarkEnd w:id="19"/>
    <w:p w14:paraId="54B448CE">
      <w:pPr>
        <w:pStyle w:val="89"/>
        <w:spacing w:before="560" w:after="360"/>
      </w:pPr>
      <w:bookmarkStart w:id="26" w:name="_Toc242438019"/>
      <w:bookmarkStart w:id="27" w:name="BookMark2"/>
      <w:r>
        <w:rPr>
          <w:rFonts w:hint="eastAsia"/>
          <w:spacing w:val="320"/>
        </w:rPr>
        <w:t>前</w:t>
      </w:r>
      <w:r>
        <w:rPr>
          <w:rFonts w:hint="eastAsia"/>
        </w:rPr>
        <w:t>言</w:t>
      </w:r>
      <w:bookmarkEnd w:id="20"/>
      <w:bookmarkEnd w:id="21"/>
      <w:bookmarkEnd w:id="22"/>
      <w:bookmarkEnd w:id="23"/>
      <w:bookmarkEnd w:id="24"/>
      <w:bookmarkEnd w:id="25"/>
      <w:bookmarkEnd w:id="26"/>
    </w:p>
    <w:p w14:paraId="2359E672">
      <w:pPr>
        <w:pStyle w:val="56"/>
        <w:ind w:firstLine="420"/>
        <w:rPr>
          <w:color w:val="000000"/>
        </w:rPr>
      </w:pPr>
      <w:r>
        <w:rPr>
          <w:rFonts w:hint="eastAsia"/>
          <w:color w:val="000000"/>
        </w:rPr>
        <w:t>本文件按照GB/T 1.1—2020《标准化工作导则  第1部分：标准化文件的结构和起草规则》的规定起草。</w:t>
      </w:r>
    </w:p>
    <w:p w14:paraId="4AEA7490">
      <w:pPr>
        <w:pStyle w:val="56"/>
        <w:ind w:firstLine="420"/>
        <w:rPr>
          <w:color w:val="000000"/>
        </w:rPr>
      </w:pPr>
      <w:r>
        <w:rPr>
          <w:rFonts w:hint="eastAsia"/>
          <w:color w:val="000000"/>
        </w:rPr>
        <w:t>请注意本文件的某些内容可能涉及专利。本文件的发布机构不承担识别专利的责任。</w:t>
      </w:r>
    </w:p>
    <w:p w14:paraId="1F86874A">
      <w:pPr>
        <w:pStyle w:val="56"/>
        <w:ind w:firstLine="420"/>
        <w:rPr>
          <w:color w:val="000000"/>
        </w:rPr>
      </w:pPr>
      <w:r>
        <w:rPr>
          <w:rFonts w:hint="eastAsia"/>
          <w:color w:val="000000"/>
        </w:rPr>
        <w:t>本文件由中国中医科学院中药研究所提出。</w:t>
      </w:r>
    </w:p>
    <w:p w14:paraId="0700E699">
      <w:pPr>
        <w:pStyle w:val="56"/>
        <w:ind w:firstLine="420"/>
        <w:rPr>
          <w:color w:val="000000"/>
        </w:rPr>
      </w:pPr>
      <w:r>
        <w:rPr>
          <w:rFonts w:hint="eastAsia"/>
          <w:color w:val="000000"/>
        </w:rPr>
        <w:t>本文件由中国中医药研究促进会归口。</w:t>
      </w:r>
    </w:p>
    <w:p w14:paraId="489B1E59">
      <w:pPr>
        <w:pStyle w:val="56"/>
        <w:ind w:firstLine="420"/>
        <w:rPr>
          <w:color w:val="000000"/>
        </w:rPr>
      </w:pPr>
      <w:r>
        <w:rPr>
          <w:rFonts w:hint="eastAsia"/>
          <w:color w:val="000000"/>
        </w:rPr>
        <w:t>本文件起草单位：固正保和中医药科技（成都）有限公司、成都双流固正保和互联网医院、成都武侯固正保和堂中医诊所、中国中医科学院中药研究所、成都固正保和堂健康管理有限责任公司、南京九虎古方中医研究院有限公司、南京九虎古方医疗科技有限公司建邺中医诊所</w:t>
      </w:r>
      <w:r>
        <w:rPr>
          <w:rFonts w:hint="eastAsia"/>
          <w:color w:val="000000"/>
          <w:lang w:eastAsia="zh-CN"/>
        </w:rPr>
        <w:t>、</w:t>
      </w:r>
      <w:r>
        <w:rPr>
          <w:rFonts w:hint="eastAsia"/>
          <w:color w:val="000000"/>
          <w:lang w:val="en-US" w:eastAsia="zh-CN"/>
        </w:rPr>
        <w:t>中国医学科学院药用植物研究所、北京北清创新医学研究院有限公司</w:t>
      </w:r>
      <w:r>
        <w:rPr>
          <w:rFonts w:hint="eastAsia"/>
          <w:color w:val="000000"/>
        </w:rPr>
        <w:t>。</w:t>
      </w:r>
    </w:p>
    <w:p w14:paraId="01E820F7">
      <w:pPr>
        <w:pStyle w:val="56"/>
        <w:ind w:firstLine="420"/>
        <w:rPr>
          <w:color w:val="000000"/>
        </w:rPr>
      </w:pPr>
      <w:r>
        <w:rPr>
          <w:rFonts w:hint="eastAsia"/>
          <w:color w:val="000000"/>
        </w:rPr>
        <w:t>本文件主要起草人：尤虎、王聚和、杜茂波、李海涛、潘学强、张红利、邱礼楠、吴九妹、熊兴江、王朋倩、张春、赵成宝、徐天成、罗巍、杨程、缪文雄、林浩、张艺、张明</w:t>
      </w:r>
      <w:bookmarkStart w:id="360" w:name="_GoBack"/>
      <w:bookmarkEnd w:id="360"/>
      <w:r>
        <w:rPr>
          <w:rFonts w:hint="eastAsia"/>
          <w:color w:val="000000"/>
        </w:rPr>
        <w:t>、张延海、徐海波、孙德印。</w:t>
      </w:r>
    </w:p>
    <w:p w14:paraId="41455509">
      <w:pPr>
        <w:pStyle w:val="56"/>
        <w:ind w:firstLine="420"/>
        <w:rPr>
          <w:color w:val="000000"/>
        </w:rPr>
        <w:sectPr>
          <w:headerReference r:id="rId15" w:type="default"/>
          <w:footerReference r:id="rId17" w:type="default"/>
          <w:headerReference r:id="rId16" w:type="even"/>
          <w:footerReference r:id="rId18" w:type="even"/>
          <w:pgSz w:w="11906" w:h="16838"/>
          <w:pgMar w:top="1928" w:right="1134" w:bottom="1134" w:left="1134" w:header="1418" w:footer="1134" w:gutter="284"/>
          <w:pgNumType w:fmt="upperRoman"/>
          <w:cols w:space="425" w:num="1"/>
          <w:formProt w:val="0"/>
          <w:docGrid w:linePitch="312" w:charSpace="0"/>
        </w:sectPr>
      </w:pPr>
    </w:p>
    <w:bookmarkEnd w:id="27"/>
    <w:p w14:paraId="1BDC01AE">
      <w:pPr>
        <w:spacing w:line="20" w:lineRule="exact"/>
        <w:jc w:val="center"/>
        <w:rPr>
          <w:rFonts w:hint="eastAsia" w:ascii="黑体" w:hAnsi="黑体" w:eastAsia="黑体"/>
          <w:color w:val="000000"/>
          <w:sz w:val="32"/>
          <w:szCs w:val="32"/>
        </w:rPr>
      </w:pPr>
      <w:bookmarkStart w:id="28" w:name="OLE_LINK8"/>
      <w:bookmarkStart w:id="29" w:name="BookMark4"/>
    </w:p>
    <w:p w14:paraId="62393EA9">
      <w:pPr>
        <w:spacing w:line="20" w:lineRule="exact"/>
        <w:jc w:val="center"/>
        <w:rPr>
          <w:rFonts w:hint="eastAsia" w:ascii="黑体" w:hAnsi="黑体" w:eastAsia="黑体"/>
          <w:color w:val="000000"/>
          <w:sz w:val="32"/>
          <w:szCs w:val="32"/>
        </w:rPr>
      </w:pPr>
    </w:p>
    <w:sdt>
      <w:sdtPr>
        <w:rPr>
          <w:color w:val="000000"/>
        </w:rPr>
        <w:tag w:val="NEW_STAND_NAME"/>
        <w:id w:val="595910757"/>
        <w:lock w:val="sdtLocked"/>
        <w:placeholder>
          <w:docPart w:val="647EC360FA944EE789BF25776C36EFF5"/>
        </w:placeholder>
      </w:sdtPr>
      <w:sdtEndPr>
        <w:rPr>
          <w:color w:val="000000"/>
        </w:rPr>
      </w:sdtEndPr>
      <w:sdtContent>
        <w:p w14:paraId="4925BA0D">
          <w:pPr>
            <w:pStyle w:val="177"/>
            <w:spacing w:before="240" w:beforeLines="100" w:after="528" w:afterLines="220"/>
            <w:rPr>
              <w:rFonts w:hint="eastAsia"/>
              <w:color w:val="000000"/>
            </w:rPr>
          </w:pPr>
          <w:bookmarkStart w:id="30" w:name="NEW_STAND_NAME"/>
          <w:bookmarkStart w:id="31" w:name="OLE_LINK3"/>
          <w:r>
            <w:rPr>
              <w:rFonts w:hint="eastAsia"/>
              <w:color w:val="000000"/>
            </w:rPr>
            <w:t>基于中医体质的食药物质膏方产品研发指南</w:t>
          </w:r>
        </w:p>
      </w:sdtContent>
    </w:sdt>
    <w:bookmarkEnd w:id="28"/>
    <w:bookmarkEnd w:id="30"/>
    <w:p w14:paraId="475F6AB3">
      <w:pPr>
        <w:pStyle w:val="104"/>
        <w:spacing w:before="240" w:after="240"/>
        <w:rPr>
          <w:color w:val="000000"/>
        </w:rPr>
      </w:pPr>
      <w:bookmarkStart w:id="32" w:name="_Toc17233325"/>
      <w:bookmarkStart w:id="33" w:name="_Toc17233333"/>
      <w:bookmarkStart w:id="34" w:name="_Toc26986530"/>
      <w:bookmarkStart w:id="35" w:name="_Toc24884211"/>
      <w:bookmarkStart w:id="36" w:name="_Toc237254839"/>
      <w:bookmarkStart w:id="37" w:name="_Toc26986771"/>
      <w:bookmarkStart w:id="38" w:name="_Toc237349593"/>
      <w:bookmarkStart w:id="39" w:name="_Toc97192964"/>
      <w:bookmarkStart w:id="40" w:name="_Toc26718930"/>
      <w:bookmarkStart w:id="41" w:name="_Toc234420346"/>
      <w:bookmarkStart w:id="42" w:name="_Toc230335228"/>
      <w:bookmarkStart w:id="43" w:name="_Toc237513458"/>
      <w:bookmarkStart w:id="44" w:name="_Toc237351944"/>
      <w:bookmarkStart w:id="45" w:name="_Toc26648465"/>
      <w:bookmarkStart w:id="46" w:name="_Toc230337772"/>
      <w:bookmarkStart w:id="47" w:name="_Toc24884218"/>
      <w:bookmarkStart w:id="48" w:name="_Toc230351345"/>
      <w:bookmarkStart w:id="49" w:name="_Toc237513507"/>
      <w:bookmarkStart w:id="50" w:name="_Toc242438020"/>
      <w:r>
        <w:rPr>
          <w:rFonts w:hint="eastAsia"/>
          <w:color w:val="000000"/>
        </w:rPr>
        <w:t>范围</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14:paraId="328D3709">
      <w:pPr>
        <w:pStyle w:val="56"/>
        <w:ind w:firstLine="420"/>
        <w:rPr>
          <w:color w:val="000000"/>
        </w:rPr>
      </w:pPr>
      <w:bookmarkStart w:id="51" w:name="OLE_LINK9"/>
      <w:bookmarkStart w:id="52" w:name="_Toc26648466"/>
      <w:bookmarkStart w:id="53" w:name="_Toc17233334"/>
      <w:bookmarkStart w:id="54" w:name="_Toc24884219"/>
      <w:bookmarkStart w:id="55" w:name="_Toc17233326"/>
      <w:bookmarkStart w:id="56" w:name="_Toc24884212"/>
      <w:r>
        <w:rPr>
          <w:rFonts w:hint="eastAsia"/>
          <w:color w:val="000000"/>
        </w:rPr>
        <w:t>本文件给出了基于中医体质的食药物质膏方产品研发的总体原则、立项与调研、体质分析与配方设计、原料筛选与质量控制、工艺开发与验证、</w:t>
      </w:r>
      <w:r>
        <w:rPr>
          <w:color w:val="000000"/>
        </w:rPr>
        <w:t>标签标识</w:t>
      </w:r>
      <w:r>
        <w:rPr>
          <w:rFonts w:hint="eastAsia"/>
          <w:color w:val="000000"/>
        </w:rPr>
        <w:t>相关信息。</w:t>
      </w:r>
    </w:p>
    <w:p w14:paraId="6E851E39">
      <w:pPr>
        <w:pStyle w:val="56"/>
        <w:ind w:firstLine="420"/>
        <w:rPr>
          <w:color w:val="000000"/>
        </w:rPr>
      </w:pPr>
      <w:r>
        <w:rPr>
          <w:rFonts w:hint="eastAsia"/>
          <w:color w:val="000000"/>
        </w:rPr>
        <w:t>本文件适用于食药物质为主要原料的膏方产品的研发、生产加工和质量管控。</w:t>
      </w:r>
    </w:p>
    <w:bookmarkEnd w:id="51"/>
    <w:p w14:paraId="03E55544">
      <w:pPr>
        <w:pStyle w:val="104"/>
        <w:spacing w:before="240" w:after="240"/>
        <w:rPr>
          <w:color w:val="000000"/>
        </w:rPr>
      </w:pPr>
      <w:bookmarkStart w:id="57" w:name="_Toc26986531"/>
      <w:bookmarkStart w:id="58" w:name="_Toc242438021"/>
      <w:bookmarkStart w:id="59" w:name="_Toc237351945"/>
      <w:bookmarkStart w:id="60" w:name="_Toc237513508"/>
      <w:bookmarkStart w:id="61" w:name="_Toc230337773"/>
      <w:bookmarkStart w:id="62" w:name="_Toc237349594"/>
      <w:bookmarkStart w:id="63" w:name="_Toc97192965"/>
      <w:bookmarkStart w:id="64" w:name="_Toc237513459"/>
      <w:bookmarkStart w:id="65" w:name="_Toc234420347"/>
      <w:bookmarkStart w:id="66" w:name="_Toc230335229"/>
      <w:bookmarkStart w:id="67" w:name="_Toc237254840"/>
      <w:bookmarkStart w:id="68" w:name="_Toc26718931"/>
      <w:bookmarkStart w:id="69" w:name="_Toc230351346"/>
      <w:bookmarkStart w:id="70" w:name="_Toc26986772"/>
      <w:r>
        <w:rPr>
          <w:rFonts w:hint="eastAsia"/>
          <w:color w:val="000000"/>
        </w:rPr>
        <w:t>规范性引用文件</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sdt>
      <w:sdtPr>
        <w:rPr>
          <w:rFonts w:hint="eastAsia"/>
          <w:color w:val="000000"/>
        </w:rPr>
        <w:id w:val="715848253"/>
        <w:placeholder>
          <w:docPart w:val="93929E43B0CF49169760B10E3CC5078C"/>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color w:val="000000"/>
        </w:rPr>
      </w:sdtEndPr>
      <w:sdtContent>
        <w:p w14:paraId="1004BC31">
          <w:pPr>
            <w:pStyle w:val="56"/>
            <w:ind w:firstLine="420"/>
            <w:rPr>
              <w:color w:val="000000"/>
            </w:rPr>
          </w:pPr>
          <w:r>
            <w:rPr>
              <w:rFonts w:hint="eastAsia"/>
              <w:color w:val="000000"/>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14:paraId="20B456E7">
      <w:pPr>
        <w:pStyle w:val="56"/>
        <w:ind w:firstLine="420"/>
        <w:rPr>
          <w:rFonts w:hint="eastAsia" w:ascii="宋体" w:hAnsi="宋体"/>
          <w:color w:val="000000"/>
        </w:rPr>
      </w:pPr>
      <w:r>
        <w:rPr>
          <w:rFonts w:hint="eastAsia" w:ascii="宋体" w:hAnsi="宋体"/>
          <w:color w:val="000000"/>
        </w:rPr>
        <w:t>GB 2760  食品安全国家标准  食品添加剂使用标准</w:t>
      </w:r>
    </w:p>
    <w:p w14:paraId="4176B11D">
      <w:pPr>
        <w:pStyle w:val="56"/>
        <w:ind w:firstLine="420"/>
        <w:rPr>
          <w:rFonts w:hint="eastAsia" w:ascii="宋体" w:hAnsi="宋体"/>
          <w:color w:val="000000"/>
        </w:rPr>
      </w:pPr>
      <w:r>
        <w:rPr>
          <w:rFonts w:hint="eastAsia" w:ascii="宋体" w:hAnsi="宋体"/>
          <w:color w:val="000000"/>
        </w:rPr>
        <w:t>GB 2761  食品安全国家标准  食品中真菌毒素限量</w:t>
      </w:r>
    </w:p>
    <w:p w14:paraId="01756D2C">
      <w:pPr>
        <w:pStyle w:val="56"/>
        <w:ind w:firstLine="420"/>
        <w:rPr>
          <w:rFonts w:hint="eastAsia" w:ascii="宋体" w:hAnsi="宋体"/>
          <w:color w:val="000000"/>
        </w:rPr>
      </w:pPr>
      <w:r>
        <w:rPr>
          <w:rFonts w:hint="eastAsia" w:ascii="宋体" w:hAnsi="宋体"/>
          <w:color w:val="000000"/>
        </w:rPr>
        <w:t>GB 2762  食品安全国家标准  食品中污染物限量</w:t>
      </w:r>
    </w:p>
    <w:p w14:paraId="10E9D6FA">
      <w:pPr>
        <w:pStyle w:val="56"/>
        <w:ind w:firstLine="420"/>
        <w:rPr>
          <w:rFonts w:hint="eastAsia" w:ascii="宋体" w:hAnsi="宋体"/>
          <w:color w:val="000000"/>
        </w:rPr>
      </w:pPr>
      <w:r>
        <w:rPr>
          <w:rFonts w:hint="eastAsia" w:ascii="宋体" w:hAnsi="宋体"/>
          <w:color w:val="000000"/>
        </w:rPr>
        <w:t>GB 2763  食品安全国家标准  食品中农药最大残留限量</w:t>
      </w:r>
    </w:p>
    <w:p w14:paraId="75E8EBD1">
      <w:pPr>
        <w:pStyle w:val="56"/>
        <w:ind w:firstLine="420"/>
        <w:rPr>
          <w:rFonts w:hint="eastAsia" w:ascii="宋体" w:hAnsi="宋体"/>
          <w:color w:val="000000"/>
        </w:rPr>
      </w:pPr>
      <w:r>
        <w:rPr>
          <w:rFonts w:hint="eastAsia" w:ascii="宋体" w:hAnsi="宋体"/>
          <w:color w:val="000000"/>
        </w:rPr>
        <w:t>GB 5749  生活饮用水卫生标准</w:t>
      </w:r>
    </w:p>
    <w:p w14:paraId="03ABA2B5">
      <w:pPr>
        <w:pStyle w:val="56"/>
        <w:ind w:firstLine="420"/>
        <w:rPr>
          <w:rFonts w:hint="eastAsia" w:ascii="宋体" w:hAnsi="宋体"/>
          <w:color w:val="000000"/>
        </w:rPr>
      </w:pPr>
      <w:r>
        <w:rPr>
          <w:rFonts w:hint="eastAsia" w:ascii="宋体" w:hAnsi="宋体"/>
          <w:color w:val="000000"/>
        </w:rPr>
        <w:t>GB 7718  食品安全国家标准  预包装食品标签通则</w:t>
      </w:r>
    </w:p>
    <w:p w14:paraId="6A8DB9AA">
      <w:pPr>
        <w:pStyle w:val="56"/>
        <w:ind w:firstLine="420"/>
        <w:rPr>
          <w:rFonts w:hint="eastAsia" w:ascii="宋体" w:hAnsi="宋体"/>
          <w:color w:val="000000"/>
        </w:rPr>
      </w:pPr>
      <w:r>
        <w:rPr>
          <w:rFonts w:hint="eastAsia" w:ascii="宋体" w:hAnsi="宋体"/>
          <w:color w:val="000000"/>
        </w:rPr>
        <w:t>GB 14881  食品安全国家标准  食品生产通用卫生规范</w:t>
      </w:r>
    </w:p>
    <w:p w14:paraId="5A18ACA3">
      <w:pPr>
        <w:pStyle w:val="56"/>
        <w:ind w:firstLine="420"/>
        <w:rPr>
          <w:rFonts w:hint="eastAsia" w:ascii="宋体" w:hAnsi="宋体"/>
          <w:color w:val="000000"/>
        </w:rPr>
      </w:pPr>
      <w:r>
        <w:rPr>
          <w:rFonts w:hint="eastAsia" w:ascii="宋体" w:hAnsi="宋体"/>
          <w:color w:val="000000"/>
        </w:rPr>
        <w:t>GB 28050  食品安全国家标准  预包装食品营养标签通则</w:t>
      </w:r>
    </w:p>
    <w:p w14:paraId="7FA3C90B">
      <w:pPr>
        <w:pStyle w:val="56"/>
        <w:ind w:firstLine="420"/>
        <w:rPr>
          <w:rFonts w:hint="eastAsia" w:ascii="宋体" w:hAnsi="宋体"/>
          <w:color w:val="000000"/>
        </w:rPr>
      </w:pPr>
      <w:bookmarkStart w:id="71" w:name="OLE_LINK1"/>
      <w:r>
        <w:rPr>
          <w:rFonts w:hint="eastAsia" w:ascii="宋体" w:hAnsi="宋体"/>
          <w:color w:val="000000"/>
        </w:rPr>
        <w:t>GB/T 46939</w:t>
      </w:r>
      <w:bookmarkEnd w:id="71"/>
      <w:r>
        <w:rPr>
          <w:rFonts w:hint="eastAsia" w:ascii="宋体" w:hAnsi="宋体"/>
          <w:color w:val="000000"/>
        </w:rPr>
        <w:t xml:space="preserve">  中医体质分类与判定</w:t>
      </w:r>
    </w:p>
    <w:p w14:paraId="4964B769">
      <w:pPr>
        <w:pStyle w:val="56"/>
        <w:ind w:firstLine="420"/>
        <w:rPr>
          <w:rFonts w:hint="eastAsia" w:ascii="宋体" w:hAnsi="宋体"/>
          <w:color w:val="000000"/>
        </w:rPr>
      </w:pPr>
      <w:r>
        <w:rPr>
          <w:rFonts w:hint="eastAsia" w:ascii="宋体" w:hAnsi="宋体"/>
          <w:color w:val="000000"/>
        </w:rPr>
        <w:t>《中华人民共和国药典》（2025年版）</w:t>
      </w:r>
    </w:p>
    <w:p w14:paraId="37DD2045">
      <w:pPr>
        <w:pStyle w:val="56"/>
        <w:ind w:firstLine="420"/>
        <w:rPr>
          <w:rFonts w:hint="eastAsia" w:ascii="宋体" w:hAnsi="宋体"/>
          <w:color w:val="000000"/>
        </w:rPr>
      </w:pPr>
      <w:r>
        <w:rPr>
          <w:rFonts w:hint="eastAsia" w:ascii="宋体" w:hAnsi="宋体"/>
          <w:color w:val="000000"/>
        </w:rPr>
        <w:t>《按照传统既是食品又是中药材的物质目录》（国卫食品发〔2021〕36号）</w:t>
      </w:r>
    </w:p>
    <w:p w14:paraId="392BCAD6">
      <w:pPr>
        <w:pStyle w:val="56"/>
        <w:ind w:firstLine="420"/>
        <w:rPr>
          <w:rFonts w:hint="eastAsia" w:ascii="宋体" w:hAnsi="宋体"/>
          <w:color w:val="000000"/>
        </w:rPr>
      </w:pPr>
      <w:r>
        <w:rPr>
          <w:rFonts w:hint="eastAsia" w:ascii="宋体" w:hAnsi="宋体"/>
          <w:color w:val="000000"/>
        </w:rPr>
        <w:t>《食品标识监督管理办法》（国家市场监督管理总局令第100号）</w:t>
      </w:r>
    </w:p>
    <w:p w14:paraId="6011506D">
      <w:pPr>
        <w:pStyle w:val="104"/>
        <w:spacing w:before="240" w:after="240"/>
        <w:rPr>
          <w:color w:val="000000"/>
        </w:rPr>
      </w:pPr>
      <w:bookmarkStart w:id="72" w:name="_Toc237351946"/>
      <w:bookmarkStart w:id="73" w:name="_Toc237513509"/>
      <w:bookmarkStart w:id="74" w:name="_Toc230335230"/>
      <w:bookmarkStart w:id="75" w:name="_Toc237513460"/>
      <w:bookmarkStart w:id="76" w:name="_Toc237254841"/>
      <w:bookmarkStart w:id="77" w:name="_Toc234420348"/>
      <w:bookmarkStart w:id="78" w:name="_Toc230337774"/>
      <w:bookmarkStart w:id="79" w:name="_Toc237349595"/>
      <w:bookmarkStart w:id="80" w:name="_Toc242438022"/>
      <w:bookmarkStart w:id="81" w:name="_Toc230351347"/>
      <w:bookmarkStart w:id="82" w:name="_Toc97192966"/>
      <w:r>
        <w:rPr>
          <w:rFonts w:hint="eastAsia"/>
          <w:color w:val="000000"/>
          <w:szCs w:val="21"/>
        </w:rPr>
        <w:t>术语和定义</w:t>
      </w:r>
      <w:bookmarkEnd w:id="72"/>
      <w:bookmarkEnd w:id="73"/>
      <w:bookmarkEnd w:id="74"/>
      <w:bookmarkEnd w:id="75"/>
      <w:bookmarkEnd w:id="76"/>
      <w:bookmarkEnd w:id="77"/>
      <w:bookmarkEnd w:id="78"/>
      <w:bookmarkEnd w:id="79"/>
      <w:bookmarkEnd w:id="80"/>
      <w:bookmarkEnd w:id="81"/>
      <w:bookmarkEnd w:id="82"/>
    </w:p>
    <w:sdt>
      <w:sdtPr>
        <w:rPr>
          <w:color w:val="000000"/>
        </w:rPr>
        <w:id w:val="-1909835108"/>
        <w:placeholder>
          <w:docPart w:val="A3F6014629B945FDB0E5E3CF9D118726"/>
        </w:placeholder>
        <w:comboBox>
          <w:listItem w:displayText="点击并选择适当的引导语" w:value="点击并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rPr>
          <w:color w:val="000000"/>
        </w:rPr>
      </w:sdtEndPr>
      <w:sdtContent>
        <w:p w14:paraId="134759E4">
          <w:pPr>
            <w:pStyle w:val="56"/>
            <w:ind w:firstLine="420"/>
            <w:rPr>
              <w:color w:val="000000"/>
            </w:rPr>
          </w:pPr>
          <w:bookmarkStart w:id="83" w:name="_Toc26986532"/>
          <w:bookmarkEnd w:id="83"/>
          <w:r>
            <w:rPr>
              <w:color w:val="000000"/>
            </w:rPr>
            <w:t>下列术语和定义适用于本文件。</w:t>
          </w:r>
        </w:p>
      </w:sdtContent>
    </w:sdt>
    <w:p w14:paraId="33502FB5">
      <w:pPr>
        <w:pStyle w:val="223"/>
        <w:ind w:left="420" w:hanging="420" w:hangingChars="200"/>
        <w:rPr>
          <w:rFonts w:hint="eastAsia" w:ascii="黑体" w:hAnsi="黑体" w:eastAsia="黑体"/>
          <w:color w:val="000000"/>
        </w:rPr>
      </w:pPr>
      <w:r>
        <w:rPr>
          <w:rFonts w:ascii="黑体" w:hAnsi="黑体" w:eastAsia="黑体"/>
          <w:color w:val="000000"/>
        </w:rPr>
        <w:br w:type="textWrapping"/>
      </w:r>
      <w:r>
        <w:rPr>
          <w:rFonts w:hint="eastAsia" w:ascii="黑体" w:hAnsi="黑体" w:eastAsia="黑体"/>
          <w:color w:val="000000"/>
        </w:rPr>
        <w:t>中医体质  constitution of traditional Chinese medicine</w:t>
      </w:r>
    </w:p>
    <w:p w14:paraId="26430F38">
      <w:pPr>
        <w:pStyle w:val="56"/>
        <w:ind w:firstLine="420"/>
        <w:rPr>
          <w:color w:val="000000"/>
        </w:rPr>
      </w:pPr>
      <w:r>
        <w:rPr>
          <w:rFonts w:hint="eastAsia"/>
          <w:color w:val="000000"/>
        </w:rPr>
        <w:t>人体生命过程中，在先天禀赋和后天获得的基础上所形成的形态结构、生理功能、心理状态和适应能力方面综合的、相对稳定的固有特质;是人类在生长、发育过程中所形成的与自然、社会环境相适应的人体个体特征。</w:t>
      </w:r>
    </w:p>
    <w:p w14:paraId="75AB905C">
      <w:pPr>
        <w:pStyle w:val="56"/>
        <w:ind w:firstLine="420"/>
        <w:rPr>
          <w:color w:val="000000"/>
        </w:rPr>
      </w:pPr>
      <w:r>
        <w:rPr>
          <w:rFonts w:hint="eastAsia"/>
          <w:color w:val="000000"/>
        </w:rPr>
        <w:t>[来源：</w:t>
      </w:r>
      <w:r>
        <w:rPr>
          <w:color w:val="000000"/>
        </w:rPr>
        <w:t>GB/T 46939-2025</w:t>
      </w:r>
      <w:r>
        <w:rPr>
          <w:rFonts w:hint="eastAsia"/>
          <w:color w:val="000000"/>
        </w:rPr>
        <w:t>，3.1]</w:t>
      </w:r>
    </w:p>
    <w:p w14:paraId="51CE2264">
      <w:pPr>
        <w:pStyle w:val="223"/>
        <w:ind w:left="420" w:hanging="420" w:hangingChars="200"/>
        <w:rPr>
          <w:rFonts w:hint="eastAsia" w:ascii="黑体" w:hAnsi="黑体" w:eastAsia="黑体"/>
          <w:color w:val="000000"/>
        </w:rPr>
      </w:pPr>
      <w:bookmarkStart w:id="84" w:name="OLE_LINK4"/>
      <w:r>
        <w:rPr>
          <w:rFonts w:ascii="黑体" w:hAnsi="黑体" w:eastAsia="黑体"/>
          <w:color w:val="000000"/>
        </w:rPr>
        <w:br w:type="textWrapping"/>
      </w:r>
      <w:r>
        <w:rPr>
          <w:rFonts w:hint="eastAsia" w:ascii="黑体" w:hAnsi="黑体" w:eastAsia="黑体"/>
          <w:color w:val="000000"/>
        </w:rPr>
        <w:t>食药物质</w:t>
      </w:r>
      <w:bookmarkEnd w:id="84"/>
      <w:r>
        <w:rPr>
          <w:rFonts w:hint="eastAsia" w:ascii="黑体" w:hAnsi="黑体" w:eastAsia="黑体"/>
          <w:color w:val="000000"/>
        </w:rPr>
        <w:t xml:space="preserve">  </w:t>
      </w:r>
      <w:r>
        <w:rPr>
          <w:rFonts w:ascii="黑体" w:hAnsi="黑体" w:eastAsia="黑体"/>
          <w:color w:val="000000"/>
        </w:rPr>
        <w:t>medicinal and edible substances</w:t>
      </w:r>
    </w:p>
    <w:p w14:paraId="6C0A31AA">
      <w:pPr>
        <w:pStyle w:val="56"/>
        <w:ind w:firstLine="420"/>
        <w:rPr>
          <w:color w:val="000000"/>
        </w:rPr>
      </w:pPr>
      <w:r>
        <w:rPr>
          <w:color w:val="000000"/>
        </w:rPr>
        <w:t>传统作为食品，且列入《中华人民共和国药典》（以下简称《中国药典》）的物质</w:t>
      </w:r>
      <w:r>
        <w:rPr>
          <w:rFonts w:hint="eastAsia"/>
          <w:color w:val="000000"/>
        </w:rPr>
        <w:t>。</w:t>
      </w:r>
    </w:p>
    <w:p w14:paraId="5E2030B4">
      <w:pPr>
        <w:pStyle w:val="223"/>
        <w:ind w:left="420" w:hanging="420" w:hangingChars="200"/>
        <w:rPr>
          <w:rFonts w:hint="eastAsia" w:ascii="黑体" w:hAnsi="黑体" w:eastAsia="黑体"/>
          <w:color w:val="000000"/>
        </w:rPr>
      </w:pPr>
      <w:bookmarkStart w:id="85" w:name="OLE_LINK2"/>
      <w:r>
        <w:rPr>
          <w:rFonts w:hint="eastAsia" w:ascii="黑体" w:hAnsi="黑体" w:eastAsia="黑体"/>
          <w:color w:val="000000"/>
        </w:rPr>
        <w:br w:type="textWrapping"/>
      </w:r>
      <w:r>
        <w:rPr>
          <w:rFonts w:hint="eastAsia" w:ascii="黑体" w:hAnsi="黑体" w:eastAsia="黑体"/>
          <w:color w:val="000000"/>
        </w:rPr>
        <w:t>食药物质膏方</w:t>
      </w:r>
      <w:bookmarkEnd w:id="85"/>
      <w:r>
        <w:rPr>
          <w:rFonts w:hint="eastAsia" w:ascii="黑体" w:hAnsi="黑体" w:eastAsia="黑体"/>
          <w:color w:val="000000"/>
        </w:rPr>
        <w:t xml:space="preserve">产品  </w:t>
      </w:r>
      <w:r>
        <w:rPr>
          <w:rFonts w:ascii="黑体" w:hAnsi="黑体" w:eastAsia="黑体"/>
          <w:color w:val="000000"/>
        </w:rPr>
        <w:t>paste products from medicinal and edible substances</w:t>
      </w:r>
    </w:p>
    <w:p w14:paraId="13F9639A">
      <w:pPr>
        <w:pStyle w:val="56"/>
        <w:ind w:firstLine="420"/>
        <w:rPr>
          <w:color w:val="000000"/>
        </w:rPr>
      </w:pPr>
      <w:r>
        <w:rPr>
          <w:rFonts w:hint="eastAsia"/>
          <w:color w:val="000000"/>
        </w:rPr>
        <w:t>以国家公布的食药物质物质为主要原料，可搭配合规食品辅料，经原料前处理、提取、过滤、浓缩、调配、收膏、灭菌、灌装等工序制成，适配中医体质日常调理食用的半流体膏状食品。</w:t>
      </w:r>
    </w:p>
    <w:p w14:paraId="616EC83C">
      <w:pPr>
        <w:pStyle w:val="223"/>
        <w:ind w:left="420" w:hanging="420" w:hangingChars="200"/>
        <w:rPr>
          <w:rFonts w:hint="eastAsia" w:ascii="黑体" w:hAnsi="黑体" w:eastAsia="黑体"/>
          <w:color w:val="000000"/>
        </w:rPr>
      </w:pPr>
      <w:r>
        <w:rPr>
          <w:rFonts w:ascii="黑体" w:hAnsi="黑体" w:eastAsia="黑体"/>
          <w:color w:val="000000"/>
        </w:rPr>
        <w:br w:type="textWrapping"/>
      </w:r>
      <w:r>
        <w:rPr>
          <w:rFonts w:hint="eastAsia" w:ascii="黑体" w:hAnsi="黑体" w:eastAsia="黑体"/>
          <w:color w:val="000000"/>
        </w:rPr>
        <w:t>兼夹体质  combined constitution</w:t>
      </w:r>
    </w:p>
    <w:p w14:paraId="720495F6">
      <w:pPr>
        <w:pStyle w:val="56"/>
        <w:ind w:firstLine="420"/>
        <w:rPr>
          <w:color w:val="000000"/>
        </w:rPr>
      </w:pPr>
      <w:r>
        <w:rPr>
          <w:rFonts w:hint="eastAsia"/>
          <w:color w:val="000000"/>
        </w:rPr>
        <w:t>以一种主体质为主、同时兼有不超过一种其他体质偏颇特征的复合体质类型。</w:t>
      </w:r>
    </w:p>
    <w:p w14:paraId="34F9FB59">
      <w:pPr>
        <w:pStyle w:val="223"/>
        <w:ind w:left="420" w:hanging="420" w:hangingChars="200"/>
        <w:rPr>
          <w:rFonts w:hint="eastAsia" w:ascii="黑体" w:hAnsi="黑体" w:eastAsia="黑体"/>
          <w:color w:val="000000"/>
        </w:rPr>
      </w:pPr>
      <w:r>
        <w:rPr>
          <w:rFonts w:ascii="黑体" w:hAnsi="黑体" w:eastAsia="黑体"/>
          <w:color w:val="000000"/>
        </w:rPr>
        <w:br w:type="textWrapping"/>
      </w:r>
      <w:r>
        <w:rPr>
          <w:rFonts w:hint="eastAsia" w:ascii="黑体" w:hAnsi="黑体" w:eastAsia="黑体"/>
          <w:color w:val="000000"/>
        </w:rPr>
        <w:t>出膏率  e</w:t>
      </w:r>
      <w:r>
        <w:rPr>
          <w:rFonts w:ascii="黑体" w:hAnsi="黑体" w:eastAsia="黑体"/>
          <w:color w:val="000000"/>
        </w:rPr>
        <w:t>xtraction yield</w:t>
      </w:r>
    </w:p>
    <w:p w14:paraId="752C5E45">
      <w:pPr>
        <w:pStyle w:val="56"/>
        <w:ind w:firstLine="420"/>
        <w:rPr>
          <w:color w:val="000000"/>
        </w:rPr>
      </w:pPr>
      <w:r>
        <w:rPr>
          <w:rFonts w:hint="eastAsia"/>
          <w:color w:val="000000"/>
        </w:rPr>
        <w:t>原料经提取浓缩收膏后，成品膏体质量与投料原料质量的百分比。</w:t>
      </w:r>
    </w:p>
    <w:p w14:paraId="42296E35">
      <w:pPr>
        <w:pStyle w:val="104"/>
        <w:spacing w:before="240" w:after="240"/>
        <w:rPr>
          <w:color w:val="000000"/>
        </w:rPr>
      </w:pPr>
      <w:bookmarkStart w:id="86" w:name="_Toc237349596"/>
      <w:bookmarkStart w:id="87" w:name="_Toc230337775"/>
      <w:bookmarkStart w:id="88" w:name="_Toc237351947"/>
      <w:bookmarkStart w:id="89" w:name="_Toc237513510"/>
      <w:bookmarkStart w:id="90" w:name="_Toc242438023"/>
      <w:bookmarkStart w:id="91" w:name="_Toc230351348"/>
      <w:bookmarkStart w:id="92" w:name="_Toc237254842"/>
      <w:bookmarkStart w:id="93" w:name="_Toc234420349"/>
      <w:bookmarkStart w:id="94" w:name="_Toc237513461"/>
      <w:bookmarkStart w:id="95" w:name="OLE_LINK13"/>
      <w:r>
        <w:rPr>
          <w:rFonts w:hint="eastAsia"/>
          <w:color w:val="000000"/>
        </w:rPr>
        <w:t>总体原则</w:t>
      </w:r>
      <w:bookmarkEnd w:id="86"/>
      <w:bookmarkEnd w:id="87"/>
      <w:bookmarkEnd w:id="88"/>
      <w:bookmarkEnd w:id="89"/>
      <w:bookmarkEnd w:id="90"/>
      <w:bookmarkEnd w:id="91"/>
      <w:bookmarkEnd w:id="92"/>
      <w:bookmarkEnd w:id="93"/>
      <w:bookmarkEnd w:id="94"/>
    </w:p>
    <w:p w14:paraId="4A75CBE2">
      <w:pPr>
        <w:pStyle w:val="105"/>
        <w:spacing w:before="120" w:after="120"/>
        <w:rPr>
          <w:color w:val="000000"/>
        </w:rPr>
      </w:pPr>
      <w:bookmarkStart w:id="96" w:name="_Toc237513462"/>
      <w:bookmarkStart w:id="97" w:name="_Toc230351349"/>
      <w:bookmarkStart w:id="98" w:name="_Toc237513511"/>
      <w:bookmarkStart w:id="99" w:name="_Toc237254843"/>
      <w:bookmarkStart w:id="100" w:name="_Toc237351948"/>
      <w:bookmarkStart w:id="101" w:name="_Toc237349597"/>
      <w:bookmarkStart w:id="102" w:name="_Toc242438024"/>
      <w:bookmarkStart w:id="103" w:name="_Toc234420350"/>
      <w:bookmarkStart w:id="104" w:name="_Toc230337776"/>
      <w:r>
        <w:rPr>
          <w:rFonts w:hint="eastAsia"/>
          <w:color w:val="000000"/>
        </w:rPr>
        <w:t>安全优先原则</w:t>
      </w:r>
      <w:bookmarkEnd w:id="96"/>
      <w:bookmarkEnd w:id="97"/>
      <w:bookmarkEnd w:id="98"/>
      <w:bookmarkEnd w:id="99"/>
      <w:bookmarkEnd w:id="100"/>
      <w:bookmarkEnd w:id="101"/>
      <w:bookmarkEnd w:id="102"/>
      <w:bookmarkEnd w:id="103"/>
      <w:bookmarkEnd w:id="104"/>
    </w:p>
    <w:p w14:paraId="241B74C5">
      <w:pPr>
        <w:pStyle w:val="165"/>
        <w:rPr>
          <w:color w:val="000000"/>
        </w:rPr>
      </w:pPr>
      <w:r>
        <w:rPr>
          <w:color w:val="000000"/>
        </w:rPr>
        <w:t>所有原料、辅料及食品添加剂的使用均应符合国家相关法律法规和食品安全标准的要求。</w:t>
      </w:r>
      <w:r>
        <w:rPr>
          <w:rFonts w:hint="eastAsia"/>
          <w:color w:val="000000"/>
        </w:rPr>
        <w:t>食药物质</w:t>
      </w:r>
      <w:r>
        <w:rPr>
          <w:color w:val="000000"/>
        </w:rPr>
        <w:t>的使用应在现行有效的目录范围内，在限定使用范围和剂量内使用，严禁使用目录外任何中药材、药品或保健食品原料</w:t>
      </w:r>
      <w:r>
        <w:rPr>
          <w:rFonts w:hint="eastAsia"/>
          <w:color w:val="000000"/>
        </w:rPr>
        <w:t>。</w:t>
      </w:r>
    </w:p>
    <w:p w14:paraId="4C5B70F9">
      <w:pPr>
        <w:pStyle w:val="165"/>
        <w:rPr>
          <w:color w:val="000000"/>
        </w:rPr>
      </w:pPr>
      <w:r>
        <w:rPr>
          <w:rFonts w:hint="eastAsia"/>
          <w:color w:val="000000"/>
        </w:rPr>
        <w:t>食品添加剂的使用种类、范围、用量需符合GB 2760的规定，</w:t>
      </w:r>
      <w:r>
        <w:rPr>
          <w:color w:val="000000"/>
        </w:rPr>
        <w:t>建立添加剂采购、领用、使用记录台账，资料留存不少于5年</w:t>
      </w:r>
      <w:r>
        <w:rPr>
          <w:rFonts w:hint="eastAsia"/>
          <w:color w:val="000000"/>
        </w:rPr>
        <w:t>。食药物质</w:t>
      </w:r>
    </w:p>
    <w:p w14:paraId="6B09DE44">
      <w:pPr>
        <w:pStyle w:val="165"/>
        <w:rPr>
          <w:color w:val="000000"/>
        </w:rPr>
      </w:pPr>
      <w:r>
        <w:rPr>
          <w:color w:val="000000"/>
        </w:rPr>
        <w:t>膏方配方设计优先选择不添加防腐剂、人工色素、人工合成甜味剂的方案</w:t>
      </w:r>
      <w:r>
        <w:rPr>
          <w:rFonts w:hint="eastAsia"/>
          <w:color w:val="000000"/>
        </w:rPr>
        <w:t>。</w:t>
      </w:r>
    </w:p>
    <w:p w14:paraId="74A0C06D">
      <w:pPr>
        <w:pStyle w:val="165"/>
        <w:rPr>
          <w:color w:val="000000"/>
        </w:rPr>
      </w:pPr>
      <w:r>
        <w:rPr>
          <w:rFonts w:hint="eastAsia"/>
          <w:color w:val="000000"/>
        </w:rPr>
        <w:t>宜建立食药物质目录动态跟踪机制，</w:t>
      </w:r>
      <w:r>
        <w:rPr>
          <w:color w:val="000000"/>
        </w:rPr>
        <w:t>及时关注</w:t>
      </w:r>
      <w:r>
        <w:rPr>
          <w:rFonts w:hint="eastAsia"/>
          <w:color w:val="000000"/>
        </w:rPr>
        <w:t>国家相关行政部门</w:t>
      </w:r>
      <w:r>
        <w:rPr>
          <w:color w:val="000000"/>
        </w:rPr>
        <w:t>发布的最新公告，实时更新内部原料合规清单。</w:t>
      </w:r>
    </w:p>
    <w:p w14:paraId="5602FAD3">
      <w:pPr>
        <w:pStyle w:val="165"/>
        <w:rPr>
          <w:color w:val="000000"/>
        </w:rPr>
      </w:pPr>
      <w:r>
        <w:rPr>
          <w:color w:val="000000"/>
        </w:rPr>
        <w:t>严禁添加花粉、高致敏异种蛋白等易致敏原料用于特禀质以外普通膏方</w:t>
      </w:r>
      <w:r>
        <w:rPr>
          <w:rFonts w:hint="eastAsia"/>
          <w:color w:val="000000"/>
        </w:rPr>
        <w:t>。</w:t>
      </w:r>
      <w:r>
        <w:rPr>
          <w:color w:val="000000"/>
        </w:rPr>
        <w:t>特禀质膏方</w:t>
      </w:r>
      <w:r>
        <w:rPr>
          <w:rFonts w:hint="eastAsia"/>
          <w:color w:val="000000"/>
        </w:rPr>
        <w:t>要</w:t>
      </w:r>
      <w:r>
        <w:rPr>
          <w:color w:val="000000"/>
        </w:rPr>
        <w:t>严格剔除高致敏物料。</w:t>
      </w:r>
    </w:p>
    <w:p w14:paraId="4B5D59C7">
      <w:pPr>
        <w:pStyle w:val="105"/>
        <w:spacing w:before="120" w:after="120"/>
        <w:rPr>
          <w:color w:val="000000"/>
        </w:rPr>
      </w:pPr>
      <w:bookmarkStart w:id="105" w:name="_Toc242438025"/>
      <w:bookmarkStart w:id="106" w:name="_Toc237513512"/>
      <w:bookmarkStart w:id="107" w:name="_Toc237349598"/>
      <w:bookmarkStart w:id="108" w:name="_Toc237351949"/>
      <w:bookmarkStart w:id="109" w:name="_Toc237513463"/>
      <w:bookmarkStart w:id="110" w:name="_Toc230337777"/>
      <w:bookmarkStart w:id="111" w:name="_Toc234420351"/>
      <w:bookmarkStart w:id="112" w:name="_Toc237254844"/>
      <w:bookmarkStart w:id="113" w:name="_Toc230351350"/>
      <w:r>
        <w:rPr>
          <w:rFonts w:hint="eastAsia"/>
          <w:color w:val="000000"/>
        </w:rPr>
        <w:t>体质对应原则</w:t>
      </w:r>
      <w:bookmarkEnd w:id="105"/>
      <w:bookmarkEnd w:id="106"/>
      <w:bookmarkEnd w:id="107"/>
      <w:bookmarkEnd w:id="108"/>
      <w:bookmarkEnd w:id="109"/>
      <w:bookmarkEnd w:id="110"/>
      <w:bookmarkEnd w:id="111"/>
      <w:bookmarkEnd w:id="112"/>
      <w:bookmarkEnd w:id="113"/>
    </w:p>
    <w:p w14:paraId="5749FB10">
      <w:pPr>
        <w:pStyle w:val="165"/>
        <w:rPr>
          <w:color w:val="000000"/>
        </w:rPr>
      </w:pPr>
      <w:r>
        <w:rPr>
          <w:rFonts w:hint="eastAsia"/>
          <w:color w:val="000000"/>
        </w:rPr>
        <w:t>食药物质膏方产品配方宜依据GB/T 46939划分的9种基本体质类型进行设计，每款产品仅限适配1种或至多1种兼夹体质的调理指向。</w:t>
      </w:r>
    </w:p>
    <w:p w14:paraId="4C317180">
      <w:pPr>
        <w:pStyle w:val="165"/>
        <w:rPr>
          <w:color w:val="000000"/>
        </w:rPr>
      </w:pPr>
      <w:r>
        <w:rPr>
          <w:rFonts w:hint="eastAsia"/>
          <w:color w:val="000000"/>
        </w:rPr>
        <w:t>根据不同体质的特征提出差异化调理原则，</w:t>
      </w:r>
      <w:r>
        <w:rPr>
          <w:color w:val="000000"/>
        </w:rPr>
        <w:t>不得违背中医体质调理规律</w:t>
      </w:r>
      <w:r>
        <w:rPr>
          <w:rFonts w:hint="eastAsia"/>
          <w:color w:val="000000"/>
        </w:rPr>
        <w:t>。</w:t>
      </w:r>
    </w:p>
    <w:p w14:paraId="1FDC096D">
      <w:pPr>
        <w:pStyle w:val="165"/>
        <w:rPr>
          <w:color w:val="000000"/>
        </w:rPr>
      </w:pPr>
      <w:r>
        <w:rPr>
          <w:rFonts w:hint="eastAsia"/>
          <w:color w:val="000000"/>
        </w:rPr>
        <w:t>明确划定每款膏方不适宜人群、食用禁忌及特殊人群慎用提示。</w:t>
      </w:r>
    </w:p>
    <w:p w14:paraId="576270D7">
      <w:pPr>
        <w:pStyle w:val="165"/>
        <w:rPr>
          <w:color w:val="000000"/>
        </w:rPr>
      </w:pPr>
      <w:r>
        <w:rPr>
          <w:color w:val="000000"/>
        </w:rPr>
        <w:t>配方应规避温热燥烈、寒凉峻下类原料滥用，防止长期食用造成人体体质二次偏颇。</w:t>
      </w:r>
    </w:p>
    <w:p w14:paraId="768FC490">
      <w:pPr>
        <w:pStyle w:val="105"/>
        <w:spacing w:before="120" w:after="120"/>
        <w:rPr>
          <w:color w:val="000000"/>
        </w:rPr>
      </w:pPr>
      <w:bookmarkStart w:id="114" w:name="_Toc237254845"/>
      <w:bookmarkStart w:id="115" w:name="_Toc237351950"/>
      <w:bookmarkStart w:id="116" w:name="_Toc237513464"/>
      <w:bookmarkStart w:id="117" w:name="_Toc230351351"/>
      <w:bookmarkStart w:id="118" w:name="_Toc237513513"/>
      <w:bookmarkStart w:id="119" w:name="_Toc230337778"/>
      <w:bookmarkStart w:id="120" w:name="_Toc242438026"/>
      <w:bookmarkStart w:id="121" w:name="_Toc234420352"/>
      <w:bookmarkStart w:id="122" w:name="_Toc237349599"/>
      <w:r>
        <w:rPr>
          <w:rFonts w:hint="eastAsia"/>
          <w:color w:val="000000"/>
        </w:rPr>
        <w:t>工艺稳定原则</w:t>
      </w:r>
      <w:bookmarkEnd w:id="114"/>
      <w:bookmarkEnd w:id="115"/>
      <w:bookmarkEnd w:id="116"/>
      <w:bookmarkEnd w:id="117"/>
      <w:bookmarkEnd w:id="118"/>
      <w:bookmarkEnd w:id="119"/>
      <w:bookmarkEnd w:id="120"/>
      <w:bookmarkEnd w:id="121"/>
      <w:bookmarkEnd w:id="122"/>
    </w:p>
    <w:p w14:paraId="0474CE10">
      <w:pPr>
        <w:pStyle w:val="165"/>
        <w:rPr>
          <w:color w:val="000000"/>
        </w:rPr>
      </w:pPr>
      <w:r>
        <w:rPr>
          <w:rFonts w:hint="eastAsia"/>
          <w:color w:val="000000"/>
        </w:rPr>
        <w:t>食药物质提取、浓缩、收膏、灭菌等关键工艺参数要经过工艺验证，制定标准化操作程序。</w:t>
      </w:r>
    </w:p>
    <w:p w14:paraId="1011F822">
      <w:pPr>
        <w:pStyle w:val="165"/>
        <w:rPr>
          <w:color w:val="000000"/>
        </w:rPr>
      </w:pPr>
      <w:r>
        <w:rPr>
          <w:rFonts w:hint="eastAsia"/>
          <w:color w:val="000000"/>
        </w:rPr>
        <w:t>生产全过程宜保留完整的工艺参数记录，包括但不限于食药物质投料量、温度、时间、密度、出膏率等关键指标，确保工艺重现性。</w:t>
      </w:r>
    </w:p>
    <w:p w14:paraId="1C68EC4C">
      <w:pPr>
        <w:pStyle w:val="165"/>
        <w:rPr>
          <w:color w:val="000000"/>
        </w:rPr>
      </w:pPr>
      <w:r>
        <w:rPr>
          <w:rFonts w:hint="eastAsia"/>
          <w:color w:val="000000"/>
        </w:rPr>
        <w:t>针对易褐变、易返砂、易分层膏方，制定专项工艺控制措施，固化操作参数。</w:t>
      </w:r>
    </w:p>
    <w:p w14:paraId="003DDF14">
      <w:pPr>
        <w:pStyle w:val="105"/>
        <w:spacing w:before="120" w:after="120"/>
        <w:rPr>
          <w:color w:val="000000"/>
        </w:rPr>
      </w:pPr>
      <w:bookmarkStart w:id="123" w:name="_Toc237513465"/>
      <w:bookmarkStart w:id="124" w:name="_Toc242438027"/>
      <w:bookmarkStart w:id="125" w:name="_Toc237351951"/>
      <w:bookmarkStart w:id="126" w:name="_Toc230337779"/>
      <w:bookmarkStart w:id="127" w:name="_Toc230351352"/>
      <w:bookmarkStart w:id="128" w:name="_Toc237254846"/>
      <w:bookmarkStart w:id="129" w:name="_Toc237513514"/>
      <w:bookmarkStart w:id="130" w:name="_Toc237349600"/>
      <w:bookmarkStart w:id="131" w:name="_Toc234420353"/>
      <w:r>
        <w:rPr>
          <w:rFonts w:hint="eastAsia"/>
          <w:color w:val="000000"/>
        </w:rPr>
        <w:t>质量可控原则</w:t>
      </w:r>
      <w:bookmarkEnd w:id="123"/>
      <w:bookmarkEnd w:id="124"/>
      <w:bookmarkEnd w:id="125"/>
      <w:bookmarkEnd w:id="126"/>
      <w:bookmarkEnd w:id="127"/>
      <w:bookmarkEnd w:id="128"/>
      <w:bookmarkEnd w:id="129"/>
      <w:bookmarkEnd w:id="130"/>
      <w:bookmarkEnd w:id="131"/>
    </w:p>
    <w:p w14:paraId="60A3AFF8">
      <w:pPr>
        <w:pStyle w:val="165"/>
        <w:rPr>
          <w:color w:val="000000"/>
        </w:rPr>
      </w:pPr>
      <w:r>
        <w:rPr>
          <w:rFonts w:hint="eastAsia"/>
          <w:color w:val="000000"/>
        </w:rPr>
        <w:t>宜建立食药物质原料、中间体、成品的质量标准和检验方法，确保每批膏方在感官、理化指标、微生物指标上的稳定性。</w:t>
      </w:r>
    </w:p>
    <w:p w14:paraId="02A2B5A9">
      <w:pPr>
        <w:pStyle w:val="165"/>
        <w:rPr>
          <w:color w:val="000000"/>
        </w:rPr>
      </w:pPr>
      <w:r>
        <w:rPr>
          <w:rFonts w:hint="eastAsia"/>
          <w:color w:val="000000"/>
        </w:rPr>
        <w:t>宜建立供应商准入与审核制度，优先选用道地产区、可全程溯源、资质齐全的原料供应主体。</w:t>
      </w:r>
    </w:p>
    <w:p w14:paraId="371FB9DC">
      <w:pPr>
        <w:pStyle w:val="165"/>
        <w:rPr>
          <w:color w:val="000000"/>
        </w:rPr>
      </w:pPr>
      <w:r>
        <w:rPr>
          <w:rFonts w:hint="eastAsia"/>
          <w:color w:val="000000"/>
        </w:rPr>
        <w:t>质量内控指标可参照《中华人民共和国药典》相关品种要求制定，不得低于食品安全国标底线。</w:t>
      </w:r>
    </w:p>
    <w:bookmarkEnd w:id="95"/>
    <w:p w14:paraId="5729FFDE">
      <w:pPr>
        <w:pStyle w:val="104"/>
        <w:spacing w:before="240" w:after="240"/>
        <w:rPr>
          <w:color w:val="000000"/>
        </w:rPr>
      </w:pPr>
      <w:bookmarkStart w:id="132" w:name="_Toc237513515"/>
      <w:bookmarkStart w:id="133" w:name="_Toc242438028"/>
      <w:bookmarkStart w:id="134" w:name="_Toc237254848"/>
      <w:bookmarkStart w:id="135" w:name="_Toc234420355"/>
      <w:bookmarkStart w:id="136" w:name="_Toc230337781"/>
      <w:bookmarkStart w:id="137" w:name="_Toc237351952"/>
      <w:bookmarkStart w:id="138" w:name="_Toc230351354"/>
      <w:bookmarkStart w:id="139" w:name="_Toc237513466"/>
      <w:bookmarkStart w:id="140" w:name="_Toc237349601"/>
      <w:bookmarkStart w:id="141" w:name="OLE_LINK12"/>
      <w:bookmarkStart w:id="142" w:name="OLE_LINK5"/>
      <w:r>
        <w:rPr>
          <w:rFonts w:hint="eastAsia"/>
          <w:color w:val="000000"/>
        </w:rPr>
        <w:t>立项与调研</w:t>
      </w:r>
      <w:bookmarkEnd w:id="132"/>
      <w:bookmarkEnd w:id="133"/>
      <w:bookmarkEnd w:id="134"/>
      <w:bookmarkEnd w:id="135"/>
      <w:bookmarkEnd w:id="136"/>
      <w:bookmarkEnd w:id="137"/>
      <w:bookmarkEnd w:id="138"/>
      <w:bookmarkEnd w:id="139"/>
      <w:bookmarkEnd w:id="140"/>
    </w:p>
    <w:p w14:paraId="0149DB6B">
      <w:pPr>
        <w:pStyle w:val="105"/>
        <w:spacing w:before="120" w:after="120"/>
        <w:rPr>
          <w:color w:val="000000"/>
        </w:rPr>
      </w:pPr>
      <w:bookmarkStart w:id="143" w:name="_Toc237351953"/>
      <w:bookmarkStart w:id="144" w:name="_Toc237349602"/>
      <w:bookmarkStart w:id="145" w:name="_Toc242438029"/>
      <w:bookmarkStart w:id="146" w:name="_Toc237513516"/>
      <w:bookmarkStart w:id="147" w:name="_Toc237513467"/>
      <w:r>
        <w:rPr>
          <w:rFonts w:hint="eastAsia"/>
          <w:color w:val="000000"/>
        </w:rPr>
        <w:t>人群流行病调研</w:t>
      </w:r>
      <w:bookmarkEnd w:id="143"/>
      <w:bookmarkEnd w:id="144"/>
      <w:bookmarkEnd w:id="145"/>
      <w:bookmarkEnd w:id="146"/>
      <w:bookmarkEnd w:id="147"/>
    </w:p>
    <w:p w14:paraId="09733D57">
      <w:pPr>
        <w:pStyle w:val="165"/>
        <w:rPr>
          <w:color w:val="000000"/>
        </w:rPr>
      </w:pPr>
      <w:r>
        <w:rPr>
          <w:rFonts w:hint="eastAsia"/>
          <w:color w:val="000000"/>
        </w:rPr>
        <w:t>开展人群体质调研时，可依据 GB/T 46939 体质判定量表开展数据统计，采用多维度交叉分层方式梳理调理需求，优先选取人群基数大、体质偏颇占比高的方向开展产品开发。</w:t>
      </w:r>
    </w:p>
    <w:p w14:paraId="2504DF31">
      <w:pPr>
        <w:pStyle w:val="165"/>
        <w:rPr>
          <w:color w:val="000000"/>
        </w:rPr>
      </w:pPr>
      <w:r>
        <w:rPr>
          <w:rFonts w:hint="eastAsia"/>
          <w:color w:val="000000"/>
        </w:rPr>
        <w:t>可选用的分层参考维度如下：</w:t>
      </w:r>
    </w:p>
    <w:p w14:paraId="46F31CB3">
      <w:pPr>
        <w:pStyle w:val="132"/>
        <w:rPr>
          <w:color w:val="000000"/>
        </w:rPr>
      </w:pPr>
      <w:r>
        <w:rPr>
          <w:rFonts w:hint="eastAsia"/>
          <w:color w:val="000000"/>
        </w:rPr>
        <w:t>中医体质偏颇程度：轻度偏颇、中度偏颇、重度偏颇；</w:t>
      </w:r>
    </w:p>
    <w:p w14:paraId="77A0E291">
      <w:pPr>
        <w:pStyle w:val="132"/>
        <w:rPr>
          <w:color w:val="000000"/>
        </w:rPr>
      </w:pPr>
      <w:r>
        <w:rPr>
          <w:rFonts w:hint="eastAsia"/>
          <w:color w:val="000000"/>
        </w:rPr>
        <w:t>基础人群特征：年龄（青少年、中青年、中老年）、性别、慢性基础疾病（代谢类、消化类、呼吸类、心脑血管类、过敏性疾病）；</w:t>
      </w:r>
    </w:p>
    <w:p w14:paraId="7220CD9B">
      <w:pPr>
        <w:pStyle w:val="132"/>
        <w:rPr>
          <w:color w:val="000000"/>
        </w:rPr>
      </w:pPr>
      <w:r>
        <w:rPr>
          <w:rFonts w:hint="eastAsia"/>
          <w:color w:val="000000"/>
        </w:rPr>
        <w:t>特殊生理阶段：备孕期、妊娠期、哺乳期、更年期、术后恢复期；</w:t>
      </w:r>
    </w:p>
    <w:p w14:paraId="6F7CBA1A">
      <w:pPr>
        <w:pStyle w:val="132"/>
        <w:rPr>
          <w:color w:val="000000"/>
        </w:rPr>
      </w:pPr>
      <w:r>
        <w:rPr>
          <w:rFonts w:hint="eastAsia"/>
          <w:color w:val="000000"/>
        </w:rPr>
        <w:t>地域气候与膳食类型：南方湿热区域、北方干寒区域、沿海潮湿区域、高原干燥区域；</w:t>
      </w:r>
    </w:p>
    <w:p w14:paraId="1EFC6EF5">
      <w:pPr>
        <w:pStyle w:val="132"/>
        <w:rPr>
          <w:color w:val="000000"/>
        </w:rPr>
      </w:pPr>
      <w:r>
        <w:rPr>
          <w:rFonts w:hint="eastAsia"/>
          <w:color w:val="000000"/>
        </w:rPr>
        <w:t>生活诱发因素：长期熬夜、久坐少动、高压情绪、长期烟酒、节食减重、户外长期劳作；</w:t>
      </w:r>
    </w:p>
    <w:p w14:paraId="55397C0D">
      <w:pPr>
        <w:pStyle w:val="132"/>
        <w:rPr>
          <w:color w:val="000000"/>
        </w:rPr>
      </w:pPr>
      <w:r>
        <w:rPr>
          <w:rFonts w:hint="eastAsia"/>
          <w:color w:val="000000"/>
        </w:rPr>
        <w:t>调养周期需求：短期阶段性调养（1个月～3个月）、长期日常养护；</w:t>
      </w:r>
    </w:p>
    <w:p w14:paraId="1958F0C4">
      <w:pPr>
        <w:pStyle w:val="132"/>
        <w:rPr>
          <w:color w:val="000000"/>
        </w:rPr>
      </w:pPr>
      <w:r>
        <w:rPr>
          <w:rFonts w:hint="eastAsia"/>
          <w:color w:val="000000"/>
        </w:rPr>
        <w:t>产品市场定位：大众居家款、便携独立条装、高端道地原料款、儿童专用款。</w:t>
      </w:r>
    </w:p>
    <w:p w14:paraId="04195437">
      <w:pPr>
        <w:pStyle w:val="179"/>
        <w:rPr>
          <w:color w:val="000000"/>
        </w:rPr>
      </w:pPr>
      <w:r>
        <w:rPr>
          <w:color w:val="000000"/>
        </w:rPr>
        <w:t>对于核心原料重合度较高、适配体质与目标人群高度趋同的产品，宜审慎评估立项必要。</w:t>
      </w:r>
    </w:p>
    <w:p w14:paraId="5AC0809F">
      <w:pPr>
        <w:pStyle w:val="105"/>
        <w:spacing w:before="120" w:after="120"/>
        <w:rPr>
          <w:color w:val="000000"/>
        </w:rPr>
      </w:pPr>
      <w:bookmarkStart w:id="148" w:name="_Toc237513468"/>
      <w:bookmarkStart w:id="149" w:name="_Toc242438030"/>
      <w:bookmarkStart w:id="150" w:name="_Toc237349604"/>
      <w:bookmarkStart w:id="151" w:name="_Toc237351954"/>
      <w:bookmarkStart w:id="152" w:name="_Toc237513517"/>
      <w:r>
        <w:rPr>
          <w:color w:val="000000"/>
        </w:rPr>
        <w:t>文献、标准与竞品调研</w:t>
      </w:r>
      <w:bookmarkEnd w:id="148"/>
      <w:bookmarkEnd w:id="149"/>
      <w:bookmarkEnd w:id="150"/>
      <w:bookmarkEnd w:id="151"/>
      <w:bookmarkEnd w:id="152"/>
    </w:p>
    <w:p w14:paraId="261327E8">
      <w:pPr>
        <w:pStyle w:val="65"/>
        <w:spacing w:before="120" w:after="120"/>
        <w:rPr>
          <w:color w:val="000000"/>
        </w:rPr>
      </w:pPr>
      <w:r>
        <w:rPr>
          <w:rFonts w:hint="eastAsia"/>
          <w:color w:val="000000"/>
        </w:rPr>
        <w:t>传统与现代文献梳理</w:t>
      </w:r>
    </w:p>
    <w:p w14:paraId="47EEC872">
      <w:pPr>
        <w:pStyle w:val="56"/>
        <w:ind w:firstLine="420"/>
        <w:rPr>
          <w:color w:val="000000"/>
        </w:rPr>
      </w:pPr>
      <w:r>
        <w:rPr>
          <w:rFonts w:hint="eastAsia"/>
          <w:color w:val="000000"/>
        </w:rPr>
        <w:t>可梳理《食疗本草》《</w:t>
      </w:r>
      <w:bookmarkStart w:id="153" w:name="OLE_LINK6"/>
      <w:r>
        <w:rPr>
          <w:rFonts w:hint="eastAsia"/>
          <w:color w:val="000000"/>
        </w:rPr>
        <w:t>本草纲目</w:t>
      </w:r>
      <w:bookmarkEnd w:id="153"/>
      <w:r>
        <w:rPr>
          <w:rFonts w:hint="eastAsia"/>
          <w:color w:val="000000"/>
        </w:rPr>
        <w:t>》等食疗古籍、现代中医体质学术文献、食药物质基础研究成果，归纳九种体质通用君臣佐使配伍思路。</w:t>
      </w:r>
    </w:p>
    <w:p w14:paraId="2E8C9D19">
      <w:pPr>
        <w:pStyle w:val="65"/>
        <w:spacing w:before="120" w:after="120"/>
        <w:rPr>
          <w:color w:val="000000"/>
        </w:rPr>
      </w:pPr>
      <w:r>
        <w:rPr>
          <w:rFonts w:hint="eastAsia"/>
          <w:color w:val="000000"/>
        </w:rPr>
        <w:t>行业标准参考</w:t>
      </w:r>
    </w:p>
    <w:p w14:paraId="6373A032">
      <w:pPr>
        <w:pStyle w:val="56"/>
        <w:ind w:firstLine="420"/>
        <w:rPr>
          <w:color w:val="000000"/>
        </w:rPr>
      </w:pPr>
      <w:r>
        <w:rPr>
          <w:color w:val="000000"/>
        </w:rPr>
        <w:t>可参考现行相关团体标准或行业规范中关于体质配伍、原料管控、安全评估等方面的内容</w:t>
      </w:r>
      <w:r>
        <w:rPr>
          <w:rFonts w:hint="eastAsia"/>
          <w:color w:val="000000"/>
        </w:rPr>
        <w:t>。</w:t>
      </w:r>
    </w:p>
    <w:p w14:paraId="65D58F61">
      <w:pPr>
        <w:pStyle w:val="65"/>
        <w:spacing w:before="120" w:after="120"/>
        <w:rPr>
          <w:color w:val="000000"/>
        </w:rPr>
      </w:pPr>
      <w:r>
        <w:rPr>
          <w:rFonts w:hint="eastAsia"/>
          <w:color w:val="000000"/>
        </w:rPr>
        <w:t>同类产品调研</w:t>
      </w:r>
    </w:p>
    <w:p w14:paraId="4CEA67AF">
      <w:pPr>
        <w:pStyle w:val="56"/>
        <w:ind w:firstLine="420"/>
        <w:rPr>
          <w:color w:val="000000"/>
        </w:rPr>
      </w:pPr>
      <w:r>
        <w:rPr>
          <w:rFonts w:hint="eastAsia"/>
          <w:color w:val="000000"/>
        </w:rPr>
        <w:t>收集市面同类膏方配方、工艺、市场反馈，梳理返砂、分层、霉变、上火、腹胀、口感苦涩等常见问题及成因。</w:t>
      </w:r>
    </w:p>
    <w:p w14:paraId="5798908B">
      <w:pPr>
        <w:pStyle w:val="65"/>
        <w:spacing w:before="120" w:after="120"/>
        <w:rPr>
          <w:color w:val="000000"/>
        </w:rPr>
      </w:pPr>
      <w:r>
        <w:rPr>
          <w:color w:val="000000"/>
        </w:rPr>
        <w:t>地域与人群适配风味、稠度设计</w:t>
      </w:r>
    </w:p>
    <w:p w14:paraId="12EE1AE3">
      <w:pPr>
        <w:pStyle w:val="56"/>
        <w:ind w:firstLine="420"/>
        <w:rPr>
          <w:color w:val="000000"/>
        </w:rPr>
      </w:pPr>
      <w:r>
        <w:rPr>
          <w:rFonts w:hint="eastAsia"/>
          <w:color w:val="000000"/>
        </w:rPr>
        <w:t>可结合区域膳食习惯、不同人群生理耐受特点，差异化设计膏方甜度、稠度、香气，提升适口性：</w:t>
      </w:r>
    </w:p>
    <w:p w14:paraId="538A29A4">
      <w:pPr>
        <w:pStyle w:val="132"/>
        <w:rPr>
          <w:color w:val="000000"/>
        </w:rPr>
      </w:pPr>
      <w:r>
        <w:rPr>
          <w:rFonts w:hint="eastAsia"/>
          <w:color w:val="000000"/>
        </w:rPr>
        <w:t>甜度设计：南方湿热人群、血糖异常人群配方总糖宜偏低；北方干燥中老年调养款可适度增加润养糖类；儿童配方采用低清甜型；</w:t>
      </w:r>
    </w:p>
    <w:p w14:paraId="766C54BD">
      <w:pPr>
        <w:pStyle w:val="132"/>
        <w:rPr>
          <w:color w:val="000000"/>
        </w:rPr>
      </w:pPr>
      <w:r>
        <w:rPr>
          <w:rFonts w:hint="eastAsia"/>
          <w:color w:val="000000"/>
        </w:rPr>
        <w:t>稠度设计：居家大容量膏体相对密度适中；便携条装降低稠度，便于温水冲调；重度调养膏可适度提高收膏相对密度；</w:t>
      </w:r>
    </w:p>
    <w:p w14:paraId="34FBC089">
      <w:pPr>
        <w:pStyle w:val="132"/>
        <w:rPr>
          <w:color w:val="000000"/>
        </w:rPr>
      </w:pPr>
      <w:r>
        <w:rPr>
          <w:rFonts w:hint="eastAsia"/>
          <w:color w:val="000000"/>
        </w:rPr>
        <w:t>风味调配：气郁、阴虚人群膏方可搭配芳香类食药物质；儿童配方优先温和果香原料，减少苦涩物料配比。</w:t>
      </w:r>
    </w:p>
    <w:p w14:paraId="39161492">
      <w:pPr>
        <w:pStyle w:val="104"/>
        <w:spacing w:before="240" w:after="240"/>
        <w:rPr>
          <w:color w:val="000000"/>
        </w:rPr>
      </w:pPr>
      <w:bookmarkStart w:id="154" w:name="_Toc234420356"/>
      <w:bookmarkStart w:id="155" w:name="_Toc237254849"/>
      <w:bookmarkStart w:id="156" w:name="_Toc242438031"/>
      <w:bookmarkStart w:id="157" w:name="_Toc230337782"/>
      <w:bookmarkStart w:id="158" w:name="_Toc237351955"/>
      <w:bookmarkStart w:id="159" w:name="_Toc237513518"/>
      <w:bookmarkStart w:id="160" w:name="_Toc237513469"/>
      <w:bookmarkStart w:id="161" w:name="_Toc237349605"/>
      <w:bookmarkStart w:id="162" w:name="_Toc230351355"/>
      <w:r>
        <w:rPr>
          <w:rFonts w:hint="eastAsia"/>
          <w:color w:val="000000"/>
        </w:rPr>
        <w:t>体质分析与配方设计</w:t>
      </w:r>
      <w:bookmarkEnd w:id="154"/>
      <w:bookmarkEnd w:id="155"/>
      <w:bookmarkEnd w:id="156"/>
      <w:bookmarkEnd w:id="157"/>
      <w:bookmarkEnd w:id="158"/>
      <w:bookmarkEnd w:id="159"/>
      <w:bookmarkEnd w:id="160"/>
      <w:bookmarkEnd w:id="161"/>
      <w:bookmarkEnd w:id="162"/>
    </w:p>
    <w:p w14:paraId="1F2005D9">
      <w:pPr>
        <w:pStyle w:val="105"/>
        <w:spacing w:before="120" w:after="120"/>
        <w:rPr>
          <w:color w:val="000000"/>
        </w:rPr>
      </w:pPr>
      <w:bookmarkStart w:id="163" w:name="_Toc237349606"/>
      <w:bookmarkStart w:id="164" w:name="_Toc242438032"/>
      <w:bookmarkStart w:id="165" w:name="_Toc237351956"/>
      <w:bookmarkStart w:id="166" w:name="_Toc237513519"/>
      <w:bookmarkStart w:id="167" w:name="_Toc237513470"/>
      <w:r>
        <w:rPr>
          <w:color w:val="000000"/>
        </w:rPr>
        <w:t>体质综合判定</w:t>
      </w:r>
      <w:bookmarkEnd w:id="163"/>
      <w:bookmarkEnd w:id="164"/>
      <w:bookmarkEnd w:id="165"/>
      <w:bookmarkEnd w:id="166"/>
      <w:bookmarkEnd w:id="167"/>
    </w:p>
    <w:p w14:paraId="2A8D2362">
      <w:pPr>
        <w:pStyle w:val="165"/>
        <w:rPr>
          <w:color w:val="000000"/>
        </w:rPr>
      </w:pPr>
      <w:r>
        <w:rPr>
          <w:rFonts w:hint="eastAsia"/>
          <w:color w:val="000000"/>
        </w:rPr>
        <w:t>体质判定应严格执行GB/T 46939的规定。</w:t>
      </w:r>
    </w:p>
    <w:p w14:paraId="0393405F">
      <w:pPr>
        <w:pStyle w:val="105"/>
        <w:spacing w:before="120" w:after="120"/>
        <w:rPr>
          <w:color w:val="000000"/>
        </w:rPr>
      </w:pPr>
      <w:bookmarkStart w:id="168" w:name="_Toc237513520"/>
      <w:bookmarkStart w:id="169" w:name="_Toc237513471"/>
      <w:bookmarkStart w:id="170" w:name="_Toc237349607"/>
      <w:bookmarkStart w:id="171" w:name="_Toc237351957"/>
      <w:bookmarkStart w:id="172" w:name="_Toc242438033"/>
      <w:r>
        <w:rPr>
          <w:rFonts w:hint="eastAsia"/>
          <w:color w:val="000000"/>
        </w:rPr>
        <w:t>配方设计原则</w:t>
      </w:r>
      <w:bookmarkEnd w:id="168"/>
      <w:bookmarkEnd w:id="169"/>
      <w:bookmarkEnd w:id="170"/>
      <w:bookmarkEnd w:id="171"/>
      <w:bookmarkEnd w:id="172"/>
    </w:p>
    <w:p w14:paraId="431920DA">
      <w:pPr>
        <w:pStyle w:val="165"/>
        <w:rPr>
          <w:color w:val="000000"/>
        </w:rPr>
      </w:pPr>
      <w:r>
        <w:rPr>
          <w:color w:val="000000"/>
        </w:rPr>
        <w:t>组方可遵循君臣佐使传统食疗配伍逻辑，九大体质差异化食药物质配伍思路</w:t>
      </w:r>
      <w:r>
        <w:rPr>
          <w:rFonts w:hint="eastAsia"/>
          <w:color w:val="000000"/>
        </w:rPr>
        <w:t>可</w:t>
      </w:r>
      <w:r>
        <w:rPr>
          <w:color w:val="000000"/>
        </w:rPr>
        <w:t>参考附录 A</w:t>
      </w:r>
      <w:r>
        <w:rPr>
          <w:rFonts w:hint="eastAsia"/>
          <w:color w:val="000000"/>
        </w:rPr>
        <w:t>。</w:t>
      </w:r>
    </w:p>
    <w:p w14:paraId="360E28B5">
      <w:pPr>
        <w:pStyle w:val="165"/>
        <w:rPr>
          <w:color w:val="000000"/>
        </w:rPr>
      </w:pPr>
      <w:r>
        <w:rPr>
          <w:rFonts w:hint="eastAsia"/>
          <w:color w:val="000000"/>
        </w:rPr>
        <w:t>禁用非食药物质物料，慎用温热燥烈、寒凉峻下原料，避免长期食用造成体质二次偏颇。</w:t>
      </w:r>
    </w:p>
    <w:p w14:paraId="583C759A">
      <w:pPr>
        <w:pStyle w:val="165"/>
        <w:rPr>
          <w:color w:val="000000"/>
        </w:rPr>
      </w:pPr>
      <w:r>
        <w:rPr>
          <w:rFonts w:hint="eastAsia"/>
          <w:color w:val="000000"/>
        </w:rPr>
        <w:t>宜控制苦涩物料添加比例，合理搭配甜味、芳香类药食物料，降低滋腻感，提升食用适口性。</w:t>
      </w:r>
    </w:p>
    <w:p w14:paraId="22788A96">
      <w:pPr>
        <w:pStyle w:val="105"/>
        <w:spacing w:before="120" w:after="120"/>
        <w:rPr>
          <w:color w:val="000000"/>
        </w:rPr>
      </w:pPr>
      <w:bookmarkStart w:id="173" w:name="_Toc237513521"/>
      <w:bookmarkStart w:id="174" w:name="_Toc237349608"/>
      <w:bookmarkStart w:id="175" w:name="_Toc242438034"/>
      <w:bookmarkStart w:id="176" w:name="_Toc237513472"/>
      <w:bookmarkStart w:id="177" w:name="_Toc237351958"/>
      <w:r>
        <w:rPr>
          <w:rFonts w:hint="eastAsia"/>
          <w:color w:val="000000"/>
        </w:rPr>
        <w:t>九体质差异化配伍要求</w:t>
      </w:r>
      <w:bookmarkEnd w:id="173"/>
      <w:bookmarkEnd w:id="174"/>
      <w:bookmarkEnd w:id="175"/>
      <w:bookmarkEnd w:id="176"/>
      <w:bookmarkEnd w:id="177"/>
    </w:p>
    <w:p w14:paraId="056956B7">
      <w:pPr>
        <w:pStyle w:val="56"/>
        <w:ind w:firstLine="420"/>
        <w:rPr>
          <w:color w:val="000000"/>
        </w:rPr>
      </w:pPr>
      <w:r>
        <w:rPr>
          <w:color w:val="000000"/>
        </w:rPr>
        <w:t>九种体质差异化配伍宜遵循以下方向</w:t>
      </w:r>
      <w:r>
        <w:rPr>
          <w:rFonts w:hint="eastAsia"/>
          <w:color w:val="000000"/>
        </w:rPr>
        <w:t>：</w:t>
      </w:r>
    </w:p>
    <w:p w14:paraId="35306321">
      <w:pPr>
        <w:pStyle w:val="132"/>
        <w:rPr>
          <w:color w:val="000000"/>
        </w:rPr>
      </w:pPr>
      <w:r>
        <w:rPr>
          <w:rFonts w:hint="eastAsia"/>
          <w:color w:val="000000"/>
        </w:rPr>
        <w:t>平和质：平补调和，选用清淡温润物料，忌大寒大热、峻补峻泻；</w:t>
      </w:r>
    </w:p>
    <w:p w14:paraId="1C57A8C1">
      <w:pPr>
        <w:pStyle w:val="132"/>
        <w:rPr>
          <w:color w:val="000000"/>
        </w:rPr>
      </w:pPr>
      <w:r>
        <w:rPr>
          <w:rFonts w:hint="eastAsia"/>
          <w:color w:val="000000"/>
        </w:rPr>
        <w:t>气虚质：益气健脾，选用甘平补益物料，减少寒凉耗气原料，控制滋腻、高脂组分；</w:t>
      </w:r>
    </w:p>
    <w:p w14:paraId="69F1BDB1">
      <w:pPr>
        <w:pStyle w:val="132"/>
        <w:rPr>
          <w:color w:val="000000"/>
        </w:rPr>
      </w:pPr>
      <w:r>
        <w:rPr>
          <w:rFonts w:hint="eastAsia"/>
          <w:color w:val="000000"/>
        </w:rPr>
        <w:t>阳虚质：温阳散寒、健脾固本，选用温和温热物料，规避生冷寒凉原料，低糖防湿滞；</w:t>
      </w:r>
    </w:p>
    <w:p w14:paraId="7A07175F">
      <w:pPr>
        <w:pStyle w:val="132"/>
        <w:rPr>
          <w:color w:val="000000"/>
        </w:rPr>
      </w:pPr>
      <w:r>
        <w:rPr>
          <w:rFonts w:hint="eastAsia"/>
          <w:color w:val="000000"/>
        </w:rPr>
        <w:t>阴虚质：养阴生津、润燥清热，选用甘凉濡润物料，禁用辛辣燥热、温燥动火原料；</w:t>
      </w:r>
    </w:p>
    <w:p w14:paraId="7D18A32D">
      <w:pPr>
        <w:pStyle w:val="132"/>
        <w:rPr>
          <w:color w:val="000000"/>
        </w:rPr>
      </w:pPr>
      <w:r>
        <w:rPr>
          <w:rFonts w:hint="eastAsia"/>
          <w:color w:val="000000"/>
        </w:rPr>
        <w:t>痰湿质：健脾祛湿、理气化痰，配方低糖低滋腻，禁用厚重甜腻物料；</w:t>
      </w:r>
    </w:p>
    <w:p w14:paraId="3538E55E">
      <w:pPr>
        <w:pStyle w:val="132"/>
        <w:rPr>
          <w:color w:val="000000"/>
        </w:rPr>
      </w:pPr>
      <w:r>
        <w:rPr>
          <w:rFonts w:hint="eastAsia"/>
          <w:color w:val="000000"/>
        </w:rPr>
        <w:t>湿热质：清热利湿、轻清透泄，配方清淡少糖，不使用温热补益、助湿生热原料；</w:t>
      </w:r>
    </w:p>
    <w:p w14:paraId="62C40FE7">
      <w:pPr>
        <w:pStyle w:val="132"/>
        <w:rPr>
          <w:color w:val="000000"/>
        </w:rPr>
      </w:pPr>
      <w:r>
        <w:rPr>
          <w:rFonts w:hint="eastAsia"/>
          <w:color w:val="000000"/>
        </w:rPr>
        <w:t>血瘀质：行气和血、通络调畅，选用平和活血物料，禁用烈性破血原料，标注女性特殊生理期慎用提示；</w:t>
      </w:r>
    </w:p>
    <w:p w14:paraId="16A2F912">
      <w:pPr>
        <w:pStyle w:val="132"/>
        <w:rPr>
          <w:color w:val="000000"/>
        </w:rPr>
      </w:pPr>
      <w:r>
        <w:rPr>
          <w:rFonts w:hint="eastAsia"/>
          <w:color w:val="000000"/>
        </w:rPr>
        <w:t>气郁质：疏肝理气、解郁调畅，多用芳香行气物料，减少厚重黏腻物料阻碍气机；</w:t>
      </w:r>
    </w:p>
    <w:p w14:paraId="0539ED73">
      <w:pPr>
        <w:pStyle w:val="132"/>
        <w:rPr>
          <w:color w:val="000000"/>
        </w:rPr>
      </w:pPr>
      <w:r>
        <w:rPr>
          <w:rFonts w:hint="eastAsia"/>
          <w:color w:val="000000"/>
        </w:rPr>
        <w:t>特禀质：平和固表、舒缓致敏，配方精简，剔除花粉、异种蛋白等高致敏原料。</w:t>
      </w:r>
    </w:p>
    <w:p w14:paraId="1A571A50">
      <w:pPr>
        <w:pStyle w:val="105"/>
        <w:spacing w:before="120" w:after="120"/>
        <w:rPr>
          <w:color w:val="000000"/>
        </w:rPr>
      </w:pPr>
      <w:bookmarkStart w:id="178" w:name="_Toc237351959"/>
      <w:bookmarkStart w:id="179" w:name="_Toc242438035"/>
      <w:bookmarkStart w:id="180" w:name="_Toc237513522"/>
      <w:bookmarkStart w:id="181" w:name="_Toc237349609"/>
      <w:bookmarkStart w:id="182" w:name="_Toc237513473"/>
      <w:r>
        <w:rPr>
          <w:rFonts w:hint="eastAsia"/>
          <w:color w:val="000000"/>
        </w:rPr>
        <w:t>兼夹体质处理</w:t>
      </w:r>
      <w:bookmarkEnd w:id="178"/>
      <w:bookmarkEnd w:id="179"/>
      <w:bookmarkEnd w:id="180"/>
      <w:bookmarkEnd w:id="181"/>
      <w:bookmarkEnd w:id="182"/>
    </w:p>
    <w:p w14:paraId="1A99381F">
      <w:pPr>
        <w:pStyle w:val="56"/>
        <w:ind w:firstLine="420"/>
        <w:rPr>
          <w:color w:val="000000"/>
        </w:rPr>
      </w:pPr>
      <w:r>
        <w:rPr>
          <w:rFonts w:hint="eastAsia"/>
          <w:color w:val="000000"/>
        </w:rPr>
        <w:t>对于兼夹体质，宜以主体质为核心进行配方设计，兼顾兼夹体质的调理需求。若两种体质存在配伍冲突（如阴虚质兼痰湿质），应优先解决主要矛盾，或开发不同配比规格供消费者选择。</w:t>
      </w:r>
    </w:p>
    <w:p w14:paraId="030AB490">
      <w:pPr>
        <w:pStyle w:val="105"/>
        <w:spacing w:before="120" w:after="120"/>
        <w:rPr>
          <w:color w:val="000000"/>
        </w:rPr>
      </w:pPr>
      <w:bookmarkStart w:id="183" w:name="_Toc237351960"/>
      <w:bookmarkStart w:id="184" w:name="_Toc237513474"/>
      <w:bookmarkStart w:id="185" w:name="_Toc237513523"/>
      <w:bookmarkStart w:id="186" w:name="_Toc242438036"/>
      <w:bookmarkStart w:id="187" w:name="_Toc237349610"/>
      <w:r>
        <w:rPr>
          <w:rFonts w:hint="eastAsia"/>
          <w:color w:val="000000"/>
        </w:rPr>
        <w:t>配方风险评估</w:t>
      </w:r>
      <w:bookmarkEnd w:id="183"/>
      <w:bookmarkEnd w:id="184"/>
      <w:bookmarkEnd w:id="185"/>
      <w:bookmarkEnd w:id="186"/>
      <w:bookmarkEnd w:id="187"/>
    </w:p>
    <w:p w14:paraId="4CBDADBC">
      <w:pPr>
        <w:pStyle w:val="56"/>
        <w:ind w:firstLine="420"/>
        <w:rPr>
          <w:color w:val="000000"/>
        </w:rPr>
      </w:pPr>
      <w:r>
        <w:rPr>
          <w:rFonts w:hint="eastAsia"/>
          <w:color w:val="000000"/>
        </w:rPr>
        <w:t>配方设计阶段宜开展全维度风险研判，</w:t>
      </w:r>
      <w:r>
        <w:rPr>
          <w:color w:val="000000"/>
        </w:rPr>
        <w:t>食药物质膏方产品配方风险评估记录表</w:t>
      </w:r>
      <w:r>
        <w:rPr>
          <w:rFonts w:hint="eastAsia"/>
          <w:color w:val="000000"/>
        </w:rPr>
        <w:t>可参考附录B，风险评估维度包括：</w:t>
      </w:r>
    </w:p>
    <w:p w14:paraId="23BEF2B2">
      <w:pPr>
        <w:pStyle w:val="132"/>
        <w:rPr>
          <w:color w:val="000000"/>
        </w:rPr>
      </w:pPr>
      <w:bookmarkStart w:id="188" w:name="OLE_LINK14"/>
      <w:r>
        <w:rPr>
          <w:rFonts w:hint="eastAsia"/>
          <w:color w:val="000000"/>
        </w:rPr>
        <w:t>加工稳定性风险：评估高糖、高油脂、高吸湿性、易氧化、易分层配方在工业化生产及储存过程中的劣变风险；</w:t>
      </w:r>
    </w:p>
    <w:p w14:paraId="6F7168A2">
      <w:pPr>
        <w:pStyle w:val="132"/>
        <w:rPr>
          <w:color w:val="000000"/>
        </w:rPr>
      </w:pPr>
      <w:r>
        <w:rPr>
          <w:rFonts w:hint="eastAsia"/>
          <w:color w:val="000000"/>
        </w:rPr>
        <w:t>人群耐受风险：评估高糖配方对血糖异常人群的影响、滋腻厚重配方对脾胃虚弱人群的影响、温热类原料配比过高对阴虚人群的影响；</w:t>
      </w:r>
    </w:p>
    <w:p w14:paraId="6CC8041D">
      <w:pPr>
        <w:pStyle w:val="132"/>
        <w:rPr>
          <w:color w:val="000000"/>
        </w:rPr>
      </w:pPr>
      <w:r>
        <w:rPr>
          <w:rFonts w:hint="eastAsia"/>
          <w:color w:val="000000"/>
        </w:rPr>
        <w:t>长期食用体质风险：评估过量温热、寒凉原料长期食用对人体体质二次偏颇的影响，活血类原料对经期及凝血功能异常人群的影响；</w:t>
      </w:r>
    </w:p>
    <w:p w14:paraId="5052B0B7">
      <w:pPr>
        <w:pStyle w:val="132"/>
        <w:rPr>
          <w:color w:val="000000"/>
        </w:rPr>
      </w:pPr>
      <w:r>
        <w:rPr>
          <w:rFonts w:hint="eastAsia"/>
          <w:color w:val="000000"/>
        </w:rPr>
        <w:t>致敏风险：评估配方中可能存在的致敏原料及其替代方案。</w:t>
      </w:r>
    </w:p>
    <w:bookmarkEnd w:id="188"/>
    <w:p w14:paraId="0F5230C7">
      <w:pPr>
        <w:pStyle w:val="105"/>
        <w:spacing w:before="120" w:after="120"/>
        <w:rPr>
          <w:color w:val="000000"/>
        </w:rPr>
      </w:pPr>
      <w:bookmarkStart w:id="189" w:name="_Toc237351961"/>
      <w:bookmarkStart w:id="190" w:name="_Toc242438037"/>
      <w:bookmarkStart w:id="191" w:name="_Toc237513524"/>
      <w:bookmarkStart w:id="192" w:name="_Toc237513475"/>
      <w:bookmarkStart w:id="193" w:name="_Toc237349611"/>
      <w:r>
        <w:rPr>
          <w:rFonts w:hint="eastAsia"/>
          <w:color w:val="000000"/>
        </w:rPr>
        <w:t>配方文件编制</w:t>
      </w:r>
      <w:bookmarkEnd w:id="189"/>
      <w:bookmarkEnd w:id="190"/>
      <w:bookmarkEnd w:id="191"/>
      <w:bookmarkEnd w:id="192"/>
      <w:bookmarkEnd w:id="193"/>
    </w:p>
    <w:p w14:paraId="5F260308">
      <w:pPr>
        <w:pStyle w:val="56"/>
        <w:ind w:firstLine="420"/>
        <w:rPr>
          <w:color w:val="000000"/>
        </w:rPr>
      </w:pPr>
      <w:r>
        <w:rPr>
          <w:rFonts w:hint="eastAsia"/>
          <w:color w:val="000000"/>
        </w:rPr>
        <w:t>每款膏方产品的研发应形成完整的配方设计文件，至少包含以下内容：</w:t>
      </w:r>
    </w:p>
    <w:p w14:paraId="504F2159">
      <w:pPr>
        <w:pStyle w:val="132"/>
        <w:rPr>
          <w:color w:val="000000"/>
        </w:rPr>
      </w:pPr>
      <w:r>
        <w:rPr>
          <w:rFonts w:hint="eastAsia"/>
          <w:color w:val="000000"/>
        </w:rPr>
        <w:t>目标体质类型及判定依据；</w:t>
      </w:r>
    </w:p>
    <w:p w14:paraId="06BF2C33">
      <w:pPr>
        <w:pStyle w:val="132"/>
        <w:rPr>
          <w:color w:val="000000"/>
        </w:rPr>
      </w:pPr>
      <w:r>
        <w:rPr>
          <w:rFonts w:hint="eastAsia"/>
          <w:color w:val="000000"/>
        </w:rPr>
        <w:t>体质病机分析；</w:t>
      </w:r>
    </w:p>
    <w:p w14:paraId="6F0F6456">
      <w:pPr>
        <w:pStyle w:val="132"/>
        <w:rPr>
          <w:color w:val="000000"/>
        </w:rPr>
      </w:pPr>
      <w:r>
        <w:rPr>
          <w:rFonts w:hint="eastAsia"/>
          <w:color w:val="000000"/>
        </w:rPr>
        <w:t>配伍理论依据（君臣佐使定位）；</w:t>
      </w:r>
    </w:p>
    <w:p w14:paraId="3C891FD8">
      <w:pPr>
        <w:pStyle w:val="132"/>
        <w:rPr>
          <w:color w:val="000000"/>
        </w:rPr>
      </w:pPr>
      <w:r>
        <w:rPr>
          <w:rFonts w:hint="eastAsia"/>
          <w:color w:val="000000"/>
        </w:rPr>
        <w:t>各食药物质名称、用量及干重投料占比；</w:t>
      </w:r>
    </w:p>
    <w:p w14:paraId="73976AD2">
      <w:pPr>
        <w:pStyle w:val="132"/>
        <w:rPr>
          <w:color w:val="000000"/>
        </w:rPr>
      </w:pPr>
      <w:r>
        <w:rPr>
          <w:rFonts w:hint="eastAsia"/>
          <w:color w:val="000000"/>
        </w:rPr>
        <w:t>推荐连续食用周期（建议3周至3个月）；</w:t>
      </w:r>
    </w:p>
    <w:p w14:paraId="12E9F3D3">
      <w:pPr>
        <w:pStyle w:val="132"/>
        <w:rPr>
          <w:color w:val="000000"/>
        </w:rPr>
      </w:pPr>
      <w:r>
        <w:rPr>
          <w:rFonts w:hint="eastAsia"/>
          <w:color w:val="000000"/>
        </w:rPr>
        <w:t>不适宜人群与食用禁忌。</w:t>
      </w:r>
    </w:p>
    <w:bookmarkEnd w:id="141"/>
    <w:p w14:paraId="343BB11B">
      <w:pPr>
        <w:pStyle w:val="104"/>
        <w:spacing w:before="240" w:after="240"/>
        <w:rPr>
          <w:color w:val="000000"/>
        </w:rPr>
      </w:pPr>
      <w:bookmarkStart w:id="194" w:name="_Toc230337783"/>
      <w:bookmarkStart w:id="195" w:name="_Toc234420357"/>
      <w:bookmarkStart w:id="196" w:name="_Toc237351962"/>
      <w:bookmarkStart w:id="197" w:name="_Toc230351356"/>
      <w:bookmarkStart w:id="198" w:name="_Toc242438038"/>
      <w:bookmarkStart w:id="199" w:name="_Toc237349612"/>
      <w:bookmarkStart w:id="200" w:name="_Toc237254850"/>
      <w:bookmarkStart w:id="201" w:name="_Toc237513476"/>
      <w:bookmarkStart w:id="202" w:name="_Toc237513525"/>
      <w:bookmarkStart w:id="203" w:name="OLE_LINK11"/>
      <w:r>
        <w:rPr>
          <w:rFonts w:hint="eastAsia"/>
          <w:color w:val="000000"/>
        </w:rPr>
        <w:t>原料筛选与质量控制</w:t>
      </w:r>
      <w:bookmarkEnd w:id="194"/>
      <w:bookmarkEnd w:id="195"/>
      <w:bookmarkEnd w:id="196"/>
      <w:bookmarkEnd w:id="197"/>
      <w:bookmarkEnd w:id="198"/>
      <w:bookmarkEnd w:id="199"/>
      <w:bookmarkEnd w:id="200"/>
      <w:bookmarkEnd w:id="201"/>
      <w:bookmarkEnd w:id="202"/>
    </w:p>
    <w:p w14:paraId="71062F46">
      <w:pPr>
        <w:pStyle w:val="105"/>
        <w:spacing w:before="120" w:after="120"/>
        <w:rPr>
          <w:color w:val="000000"/>
        </w:rPr>
      </w:pPr>
      <w:bookmarkStart w:id="204" w:name="_Toc237513526"/>
      <w:bookmarkStart w:id="205" w:name="_Toc237349613"/>
      <w:bookmarkStart w:id="206" w:name="_Toc237351963"/>
      <w:bookmarkStart w:id="207" w:name="_Toc237513477"/>
      <w:bookmarkStart w:id="208" w:name="_Toc242438039"/>
      <w:r>
        <w:rPr>
          <w:rFonts w:hint="eastAsia"/>
          <w:color w:val="000000"/>
        </w:rPr>
        <w:t>原料感官与理化</w:t>
      </w:r>
      <w:bookmarkEnd w:id="204"/>
      <w:bookmarkEnd w:id="205"/>
      <w:bookmarkEnd w:id="206"/>
      <w:bookmarkEnd w:id="207"/>
      <w:bookmarkEnd w:id="208"/>
    </w:p>
    <w:p w14:paraId="155081CD">
      <w:pPr>
        <w:pStyle w:val="165"/>
        <w:rPr>
          <w:color w:val="000000"/>
        </w:rPr>
      </w:pPr>
      <w:r>
        <w:rPr>
          <w:rFonts w:hint="eastAsia"/>
          <w:color w:val="000000"/>
        </w:rPr>
        <w:t>原料感官应色泽正常、无霉变、无虫蛀、无异味、无泥沙杂质。</w:t>
      </w:r>
    </w:p>
    <w:p w14:paraId="4C904234">
      <w:pPr>
        <w:pStyle w:val="165"/>
        <w:rPr>
          <w:color w:val="000000"/>
        </w:rPr>
      </w:pPr>
      <w:r>
        <w:rPr>
          <w:color w:val="000000"/>
        </w:rPr>
        <w:t>干燥物料的水分含量应符合相应食品安全标准或《中华人民共和国药典》（现行版）相应品种项下的规定。无规定时，宜通过试验确定合理的水分控制限度</w:t>
      </w:r>
      <w:r>
        <w:rPr>
          <w:rFonts w:hint="eastAsia"/>
          <w:color w:val="000000"/>
        </w:rPr>
        <w:t>。</w:t>
      </w:r>
    </w:p>
    <w:p w14:paraId="5548AF96">
      <w:pPr>
        <w:pStyle w:val="165"/>
        <w:rPr>
          <w:color w:val="000000"/>
        </w:rPr>
      </w:pPr>
      <w:r>
        <w:rPr>
          <w:color w:val="000000"/>
        </w:rPr>
        <w:t>面向过敏</w:t>
      </w:r>
      <w:r>
        <w:rPr>
          <w:rFonts w:hint="eastAsia"/>
          <w:color w:val="000000"/>
        </w:rPr>
        <w:t>体质</w:t>
      </w:r>
      <w:r>
        <w:rPr>
          <w:color w:val="000000"/>
        </w:rPr>
        <w:t>、肝肾基础病人群的原料，可增设杂质、霉变专项筛查。</w:t>
      </w:r>
    </w:p>
    <w:p w14:paraId="60850081">
      <w:pPr>
        <w:pStyle w:val="105"/>
        <w:spacing w:before="120" w:after="120"/>
        <w:rPr>
          <w:color w:val="000000"/>
        </w:rPr>
      </w:pPr>
      <w:bookmarkStart w:id="209" w:name="_Toc237349614"/>
      <w:bookmarkStart w:id="210" w:name="_Toc237351964"/>
      <w:bookmarkStart w:id="211" w:name="_Toc237513478"/>
      <w:bookmarkStart w:id="212" w:name="_Toc237513527"/>
      <w:bookmarkStart w:id="213" w:name="_Toc242438040"/>
      <w:r>
        <w:rPr>
          <w:color w:val="000000"/>
        </w:rPr>
        <w:t>原料道地性与溯源性</w:t>
      </w:r>
      <w:bookmarkEnd w:id="209"/>
      <w:bookmarkEnd w:id="210"/>
      <w:bookmarkEnd w:id="211"/>
      <w:bookmarkEnd w:id="212"/>
      <w:bookmarkEnd w:id="213"/>
    </w:p>
    <w:p w14:paraId="69714E18">
      <w:pPr>
        <w:pStyle w:val="165"/>
        <w:rPr>
          <w:color w:val="000000"/>
        </w:rPr>
      </w:pPr>
      <w:r>
        <w:rPr>
          <w:color w:val="000000"/>
        </w:rPr>
        <w:t>宜优先选用道地产区、规范采收周期、种植/加工规范的物料，确保成分稳定、批次差异小。</w:t>
      </w:r>
    </w:p>
    <w:p w14:paraId="3ACDEAE0">
      <w:pPr>
        <w:pStyle w:val="165"/>
        <w:rPr>
          <w:color w:val="000000"/>
        </w:rPr>
      </w:pPr>
      <w:r>
        <w:rPr>
          <w:color w:val="000000"/>
        </w:rPr>
        <w:t>原料供应商应具备完整的食品生产经营资质，可提供产地证明及年度质检报告。宜建立原料溯源台账，记录原料来源、检验信息等。专供特殊人群膏方的原料，宜额外关注其人群适配安全性。相关资质及检测记录的保存期限宜符合国家有关规定。</w:t>
      </w:r>
    </w:p>
    <w:p w14:paraId="08B86C65">
      <w:pPr>
        <w:pStyle w:val="105"/>
        <w:spacing w:before="120" w:after="120"/>
        <w:rPr>
          <w:color w:val="000000"/>
        </w:rPr>
      </w:pPr>
      <w:bookmarkStart w:id="214" w:name="_Toc237351965"/>
      <w:bookmarkStart w:id="215" w:name="_Toc237349615"/>
      <w:bookmarkStart w:id="216" w:name="_Toc242438041"/>
      <w:bookmarkStart w:id="217" w:name="_Toc237513528"/>
      <w:bookmarkStart w:id="218" w:name="_Toc237513479"/>
      <w:r>
        <w:rPr>
          <w:rFonts w:hint="eastAsia"/>
          <w:color w:val="000000"/>
        </w:rPr>
        <w:t>安全性指标</w:t>
      </w:r>
      <w:bookmarkEnd w:id="214"/>
      <w:bookmarkEnd w:id="215"/>
      <w:bookmarkEnd w:id="216"/>
      <w:bookmarkEnd w:id="217"/>
      <w:bookmarkEnd w:id="218"/>
    </w:p>
    <w:p w14:paraId="26230A14">
      <w:pPr>
        <w:pStyle w:val="56"/>
        <w:ind w:firstLine="420"/>
        <w:rPr>
          <w:rFonts w:hint="eastAsia" w:ascii="宋体" w:hAnsi="宋体"/>
          <w:color w:val="000000"/>
        </w:rPr>
      </w:pPr>
      <w:r>
        <w:rPr>
          <w:rFonts w:ascii="宋体" w:hAnsi="宋体"/>
          <w:color w:val="000000"/>
        </w:rPr>
        <w:t>原料的安全性（包括重金属、农药残留、真菌毒素、微生物等指标）应符合GB 2762、GB 2763、GB 2761及国家食品安全相关标准的规定。宜根据产品目标人群的特点，在符合国家标准的基础上确定原料的内控安全性要求。</w:t>
      </w:r>
    </w:p>
    <w:p w14:paraId="29465B43">
      <w:pPr>
        <w:pStyle w:val="105"/>
        <w:spacing w:before="120" w:after="120"/>
        <w:rPr>
          <w:color w:val="000000"/>
        </w:rPr>
      </w:pPr>
      <w:bookmarkStart w:id="219" w:name="_Toc237349616"/>
      <w:bookmarkStart w:id="220" w:name="_Toc237351966"/>
      <w:bookmarkStart w:id="221" w:name="_Toc237513480"/>
      <w:bookmarkStart w:id="222" w:name="_Toc242438042"/>
      <w:bookmarkStart w:id="223" w:name="_Toc237513529"/>
      <w:r>
        <w:rPr>
          <w:rFonts w:hint="eastAsia"/>
          <w:color w:val="000000"/>
        </w:rPr>
        <w:t>食药物质目录合规性</w:t>
      </w:r>
      <w:bookmarkEnd w:id="219"/>
      <w:bookmarkEnd w:id="220"/>
      <w:bookmarkEnd w:id="221"/>
      <w:bookmarkEnd w:id="222"/>
      <w:bookmarkEnd w:id="223"/>
    </w:p>
    <w:p w14:paraId="0B27E373">
      <w:pPr>
        <w:pStyle w:val="165"/>
        <w:rPr>
          <w:color w:val="000000"/>
        </w:rPr>
      </w:pPr>
      <w:r>
        <w:rPr>
          <w:rFonts w:hint="eastAsia"/>
          <w:color w:val="000000"/>
        </w:rPr>
        <w:t>所有原料应属于现行有效的《按照传统既是食品又是中药材的物质目录》。</w:t>
      </w:r>
      <w:r>
        <w:rPr>
          <w:color w:val="000000"/>
        </w:rPr>
        <w:t>对于国家规定需要在限定使用范围和剂量内使用的食药物质，应遵照相关公告的要求执行。</w:t>
      </w:r>
    </w:p>
    <w:p w14:paraId="144D588B">
      <w:pPr>
        <w:pStyle w:val="165"/>
        <w:rPr>
          <w:color w:val="000000"/>
        </w:rPr>
      </w:pPr>
      <w:r>
        <w:rPr>
          <w:color w:val="000000"/>
        </w:rPr>
        <w:t>不应使用未纳入目录、试点限定或禁止添加的物料。儿童、孕期及哺乳期妇女、特禀人群专用膏方，应单独复核全部原料的食用禁忌</w:t>
      </w:r>
      <w:r>
        <w:rPr>
          <w:rFonts w:hint="eastAsia"/>
          <w:color w:val="000000"/>
        </w:rPr>
        <w:t>。</w:t>
      </w:r>
    </w:p>
    <w:p w14:paraId="764A94F3">
      <w:pPr>
        <w:pStyle w:val="105"/>
        <w:spacing w:before="120" w:after="120"/>
        <w:rPr>
          <w:color w:val="000000"/>
        </w:rPr>
      </w:pPr>
      <w:bookmarkStart w:id="224" w:name="_Toc237513481"/>
      <w:bookmarkStart w:id="225" w:name="_Toc242438043"/>
      <w:bookmarkStart w:id="226" w:name="_Toc237513530"/>
      <w:bookmarkStart w:id="227" w:name="_Toc237349617"/>
      <w:bookmarkStart w:id="228" w:name="_Toc237351967"/>
      <w:r>
        <w:rPr>
          <w:rFonts w:hint="eastAsia"/>
          <w:color w:val="000000"/>
        </w:rPr>
        <w:t>食品添加剂</w:t>
      </w:r>
      <w:bookmarkEnd w:id="224"/>
      <w:bookmarkEnd w:id="225"/>
      <w:bookmarkEnd w:id="226"/>
      <w:bookmarkEnd w:id="227"/>
      <w:bookmarkEnd w:id="228"/>
    </w:p>
    <w:p w14:paraId="264120EB">
      <w:pPr>
        <w:pStyle w:val="56"/>
        <w:ind w:firstLine="420"/>
        <w:rPr>
          <w:rFonts w:hint="eastAsia" w:ascii="宋体" w:hAnsi="宋体"/>
          <w:color w:val="000000"/>
        </w:rPr>
      </w:pPr>
      <w:r>
        <w:rPr>
          <w:rFonts w:hint="eastAsia" w:ascii="宋体" w:hAnsi="宋体"/>
          <w:color w:val="000000"/>
        </w:rPr>
        <w:t>食品添加剂的使用应符合GB 2760的规定。配方设计宜优先选择不添加防腐剂、人工色素、人工合成甜味剂的方案。儿童、血糖异常人群膏方宜不使用人工添加剂。</w:t>
      </w:r>
    </w:p>
    <w:bookmarkEnd w:id="203"/>
    <w:p w14:paraId="2B98ADEA">
      <w:pPr>
        <w:pStyle w:val="104"/>
        <w:spacing w:before="240" w:after="240"/>
        <w:rPr>
          <w:color w:val="000000"/>
        </w:rPr>
      </w:pPr>
      <w:bookmarkStart w:id="229" w:name="_Toc237513531"/>
      <w:bookmarkStart w:id="230" w:name="_Toc237513482"/>
      <w:bookmarkStart w:id="231" w:name="_Toc230351357"/>
      <w:bookmarkStart w:id="232" w:name="_Toc242438044"/>
      <w:bookmarkStart w:id="233" w:name="_Toc237351968"/>
      <w:bookmarkStart w:id="234" w:name="_Toc237254851"/>
      <w:bookmarkStart w:id="235" w:name="_Toc234420358"/>
      <w:bookmarkStart w:id="236" w:name="_Toc237349618"/>
      <w:bookmarkStart w:id="237" w:name="OLE_LINK10"/>
      <w:r>
        <w:rPr>
          <w:rFonts w:hint="eastAsia"/>
          <w:color w:val="000000"/>
        </w:rPr>
        <w:t>工艺开发与验证</w:t>
      </w:r>
      <w:bookmarkEnd w:id="229"/>
      <w:bookmarkEnd w:id="230"/>
      <w:bookmarkEnd w:id="231"/>
      <w:bookmarkEnd w:id="232"/>
      <w:bookmarkEnd w:id="233"/>
      <w:bookmarkEnd w:id="234"/>
      <w:bookmarkEnd w:id="235"/>
      <w:bookmarkEnd w:id="236"/>
    </w:p>
    <w:p w14:paraId="1B54BBFB">
      <w:pPr>
        <w:pStyle w:val="105"/>
        <w:spacing w:before="120" w:after="120"/>
        <w:rPr>
          <w:color w:val="000000"/>
        </w:rPr>
      </w:pPr>
      <w:bookmarkStart w:id="238" w:name="_Toc237513483"/>
      <w:bookmarkStart w:id="239" w:name="_Toc237513532"/>
      <w:bookmarkStart w:id="240" w:name="_Toc237351969"/>
      <w:bookmarkStart w:id="241" w:name="_Toc237349619"/>
      <w:bookmarkStart w:id="242" w:name="_Toc242438045"/>
      <w:r>
        <w:rPr>
          <w:color w:val="000000"/>
        </w:rPr>
        <w:t>生产环境与卫生</w:t>
      </w:r>
      <w:bookmarkEnd w:id="238"/>
      <w:bookmarkEnd w:id="239"/>
      <w:bookmarkEnd w:id="240"/>
      <w:bookmarkEnd w:id="241"/>
      <w:bookmarkEnd w:id="242"/>
    </w:p>
    <w:p w14:paraId="1CBC5B16">
      <w:pPr>
        <w:pStyle w:val="56"/>
        <w:ind w:firstLine="420"/>
        <w:rPr>
          <w:rFonts w:hint="eastAsia" w:ascii="宋体" w:hAnsi="宋体"/>
          <w:color w:val="000000"/>
        </w:rPr>
      </w:pPr>
      <w:r>
        <w:rPr>
          <w:rFonts w:ascii="宋体" w:hAnsi="宋体"/>
          <w:color w:val="000000"/>
        </w:rPr>
        <w:t>车间分区、洁净等级、人员清洗消毒管理应符合GB 14881的规定。儿童、特禀、慢病专用膏方宜设置独立生产线，实现人流、物流、物料批次物理隔离，降低交叉污染风险。</w:t>
      </w:r>
    </w:p>
    <w:p w14:paraId="00FF18BD">
      <w:pPr>
        <w:pStyle w:val="105"/>
        <w:spacing w:before="120" w:after="120"/>
        <w:rPr>
          <w:color w:val="000000"/>
        </w:rPr>
      </w:pPr>
      <w:bookmarkStart w:id="243" w:name="_Toc237513484"/>
      <w:bookmarkStart w:id="244" w:name="_Toc237351970"/>
      <w:bookmarkStart w:id="245" w:name="_Toc242438046"/>
      <w:bookmarkStart w:id="246" w:name="_Toc237349620"/>
      <w:bookmarkStart w:id="247" w:name="_Toc237513533"/>
      <w:r>
        <w:rPr>
          <w:rFonts w:hint="eastAsia"/>
          <w:color w:val="000000"/>
        </w:rPr>
        <w:t>原料前处理</w:t>
      </w:r>
      <w:bookmarkEnd w:id="243"/>
      <w:bookmarkEnd w:id="244"/>
      <w:bookmarkEnd w:id="245"/>
      <w:bookmarkEnd w:id="246"/>
      <w:bookmarkEnd w:id="247"/>
    </w:p>
    <w:p w14:paraId="5564B18C">
      <w:pPr>
        <w:pStyle w:val="56"/>
        <w:ind w:firstLine="420"/>
        <w:rPr>
          <w:color w:val="000000"/>
        </w:rPr>
      </w:pPr>
      <w:r>
        <w:rPr>
          <w:color w:val="000000"/>
        </w:rPr>
        <w:t>宜依据食药物质的理化特性选择适宜的前处理方式</w:t>
      </w:r>
      <w:r>
        <w:rPr>
          <w:rFonts w:hint="eastAsia"/>
          <w:color w:val="000000"/>
        </w:rPr>
        <w:t>：</w:t>
      </w:r>
    </w:p>
    <w:p w14:paraId="12FC2C1E">
      <w:pPr>
        <w:pStyle w:val="132"/>
        <w:rPr>
          <w:color w:val="000000"/>
        </w:rPr>
      </w:pPr>
      <w:r>
        <w:rPr>
          <w:rFonts w:hint="eastAsia"/>
          <w:color w:val="000000"/>
        </w:rPr>
        <w:t>坚硬根茎类物料：宜清洗后切片或切块，采用低温干燥方式处理，确保干燥均匀；</w:t>
      </w:r>
    </w:p>
    <w:p w14:paraId="6F353B2F">
      <w:pPr>
        <w:pStyle w:val="132"/>
        <w:rPr>
          <w:color w:val="000000"/>
        </w:rPr>
      </w:pPr>
      <w:r>
        <w:rPr>
          <w:rFonts w:hint="eastAsia"/>
          <w:color w:val="000000"/>
        </w:rPr>
        <w:t>芳香花类物料：宜采用低温烘干方式，避免高温导致挥发性成分损失；</w:t>
      </w:r>
    </w:p>
    <w:p w14:paraId="682C746E">
      <w:pPr>
        <w:pStyle w:val="132"/>
        <w:rPr>
          <w:color w:val="000000"/>
        </w:rPr>
      </w:pPr>
      <w:r>
        <w:rPr>
          <w:rFonts w:hint="eastAsia"/>
          <w:color w:val="000000"/>
        </w:rPr>
        <w:t>果实种子类物料：宜去杂、净选，根据提取需要适度破碎；</w:t>
      </w:r>
    </w:p>
    <w:p w14:paraId="0C7B91A1">
      <w:pPr>
        <w:pStyle w:val="132"/>
        <w:rPr>
          <w:color w:val="000000"/>
        </w:rPr>
      </w:pPr>
      <w:r>
        <w:rPr>
          <w:rFonts w:hint="eastAsia"/>
          <w:color w:val="000000"/>
        </w:rPr>
        <w:t>儿童及消化功能偏弱人群专用膏方：宜在提取后增加过滤工序，控制颗粒残留。</w:t>
      </w:r>
    </w:p>
    <w:p w14:paraId="7B8E9604">
      <w:pPr>
        <w:pStyle w:val="105"/>
        <w:spacing w:before="120" w:after="120"/>
        <w:rPr>
          <w:color w:val="000000"/>
        </w:rPr>
      </w:pPr>
      <w:bookmarkStart w:id="248" w:name="_Toc237351971"/>
      <w:bookmarkStart w:id="249" w:name="_Toc237513534"/>
      <w:bookmarkStart w:id="250" w:name="_Toc237513485"/>
      <w:bookmarkStart w:id="251" w:name="_Toc242438047"/>
      <w:bookmarkStart w:id="252" w:name="_Toc237349621"/>
      <w:r>
        <w:rPr>
          <w:rFonts w:hint="eastAsia"/>
          <w:color w:val="000000"/>
        </w:rPr>
        <w:t>提取工艺</w:t>
      </w:r>
      <w:bookmarkEnd w:id="248"/>
      <w:bookmarkEnd w:id="249"/>
      <w:bookmarkEnd w:id="250"/>
      <w:bookmarkEnd w:id="251"/>
      <w:bookmarkEnd w:id="252"/>
    </w:p>
    <w:p w14:paraId="281E1110">
      <w:pPr>
        <w:pStyle w:val="56"/>
        <w:ind w:firstLine="420"/>
        <w:rPr>
          <w:rFonts w:hint="eastAsia" w:ascii="宋体" w:hAnsi="宋体"/>
          <w:color w:val="000000"/>
        </w:rPr>
      </w:pPr>
      <w:r>
        <w:rPr>
          <w:rFonts w:hint="eastAsia" w:ascii="宋体" w:hAnsi="宋体"/>
          <w:color w:val="000000"/>
        </w:rPr>
        <w:t>提取工艺的确定宜考虑以下方面：</w:t>
      </w:r>
    </w:p>
    <w:p w14:paraId="24816529">
      <w:pPr>
        <w:pStyle w:val="132"/>
        <w:rPr>
          <w:rFonts w:hint="eastAsia" w:hAnsi="宋体"/>
          <w:color w:val="000000"/>
        </w:rPr>
      </w:pPr>
      <w:r>
        <w:rPr>
          <w:rFonts w:hint="eastAsia" w:hAnsi="宋体"/>
          <w:color w:val="000000"/>
        </w:rPr>
        <w:t>提取溶剂宜采用符合GB 5749规定的饮用水；</w:t>
      </w:r>
    </w:p>
    <w:p w14:paraId="1312A147">
      <w:pPr>
        <w:pStyle w:val="132"/>
        <w:rPr>
          <w:rFonts w:hint="eastAsia" w:hAnsi="宋体"/>
          <w:color w:val="000000"/>
        </w:rPr>
      </w:pPr>
      <w:r>
        <w:rPr>
          <w:rFonts w:hint="eastAsia" w:hAnsi="宋体"/>
          <w:color w:val="000000"/>
        </w:rPr>
        <w:t>料液比应根据原料特性通过试验确定，以保证提取效率；</w:t>
      </w:r>
    </w:p>
    <w:p w14:paraId="4CC1C9EE">
      <w:pPr>
        <w:pStyle w:val="132"/>
        <w:rPr>
          <w:rFonts w:hint="eastAsia" w:hAnsi="宋体"/>
          <w:color w:val="000000"/>
        </w:rPr>
      </w:pPr>
      <w:r>
        <w:rPr>
          <w:rFonts w:hint="eastAsia" w:hAnsi="宋体"/>
          <w:color w:val="000000"/>
        </w:rPr>
        <w:t>提取温度应根据原料中活性成分的热稳定性确定：常规物料宜采用常压水煎提取；热敏性物料可采用温浸提取方式；</w:t>
      </w:r>
    </w:p>
    <w:p w14:paraId="416C7E96">
      <w:pPr>
        <w:pStyle w:val="132"/>
        <w:rPr>
          <w:rFonts w:hint="eastAsia" w:hAnsi="宋体"/>
          <w:color w:val="000000"/>
        </w:rPr>
      </w:pPr>
      <w:r>
        <w:rPr>
          <w:rFonts w:hint="eastAsia" w:hAnsi="宋体"/>
          <w:color w:val="000000"/>
        </w:rPr>
        <w:t>提取时间与次数应通过试验优化确定，以出膏率和指标成分为评价指标。</w:t>
      </w:r>
    </w:p>
    <w:p w14:paraId="7A411323">
      <w:pPr>
        <w:pStyle w:val="105"/>
        <w:spacing w:before="120" w:after="120"/>
        <w:rPr>
          <w:color w:val="000000"/>
        </w:rPr>
      </w:pPr>
      <w:bookmarkStart w:id="253" w:name="_Toc237349622"/>
      <w:bookmarkStart w:id="254" w:name="_Toc237513535"/>
      <w:bookmarkStart w:id="255" w:name="_Toc237513486"/>
      <w:bookmarkStart w:id="256" w:name="_Toc237351972"/>
      <w:bookmarkStart w:id="257" w:name="_Toc242438048"/>
      <w:r>
        <w:rPr>
          <w:rFonts w:hint="eastAsia"/>
          <w:color w:val="000000"/>
        </w:rPr>
        <w:t>浓缩工艺</w:t>
      </w:r>
      <w:bookmarkEnd w:id="253"/>
      <w:bookmarkEnd w:id="254"/>
      <w:bookmarkEnd w:id="255"/>
      <w:bookmarkEnd w:id="256"/>
      <w:bookmarkEnd w:id="257"/>
    </w:p>
    <w:p w14:paraId="2D880CF8">
      <w:pPr>
        <w:pStyle w:val="56"/>
        <w:ind w:firstLine="420"/>
        <w:rPr>
          <w:color w:val="000000"/>
        </w:rPr>
      </w:pPr>
      <w:r>
        <w:rPr>
          <w:rFonts w:hint="eastAsia"/>
          <w:color w:val="000000"/>
        </w:rPr>
        <w:t>浓缩工艺的确定宜考虑以下方面：</w:t>
      </w:r>
    </w:p>
    <w:p w14:paraId="57664542">
      <w:pPr>
        <w:pStyle w:val="132"/>
        <w:rPr>
          <w:rFonts w:ascii="Times New Roman"/>
          <w:color w:val="000000"/>
        </w:rPr>
      </w:pPr>
      <w:r>
        <w:rPr>
          <w:rFonts w:hint="eastAsia" w:ascii="Times New Roman"/>
          <w:color w:val="000000"/>
        </w:rPr>
        <w:t>宜采用减压浓缩方式，控制适宜的浓缩温度和真空度，防止活性成分受热破坏；</w:t>
      </w:r>
    </w:p>
    <w:p w14:paraId="097BD38A">
      <w:pPr>
        <w:pStyle w:val="132"/>
        <w:rPr>
          <w:rFonts w:ascii="Times New Roman"/>
          <w:color w:val="000000"/>
        </w:rPr>
      </w:pPr>
      <w:r>
        <w:rPr>
          <w:rFonts w:hint="eastAsia" w:ascii="Times New Roman"/>
          <w:color w:val="000000"/>
        </w:rPr>
        <w:t>应根据产品剂型要求确定适宜的浓缩终点（以相对密度等指标判定）；</w:t>
      </w:r>
    </w:p>
    <w:p w14:paraId="6E6F1173">
      <w:pPr>
        <w:pStyle w:val="132"/>
        <w:rPr>
          <w:color w:val="000000"/>
        </w:rPr>
      </w:pPr>
      <w:r>
        <w:rPr>
          <w:rFonts w:hint="eastAsia" w:ascii="Times New Roman"/>
          <w:color w:val="000000"/>
        </w:rPr>
        <w:t>易褐变物料的浓缩宜采取避光措施，适当控制浓缩温度。</w:t>
      </w:r>
    </w:p>
    <w:p w14:paraId="35FD4B16">
      <w:pPr>
        <w:pStyle w:val="105"/>
        <w:spacing w:before="120" w:after="120"/>
        <w:rPr>
          <w:color w:val="000000"/>
        </w:rPr>
      </w:pPr>
      <w:bookmarkStart w:id="258" w:name="_Toc237349623"/>
      <w:bookmarkStart w:id="259" w:name="_Toc242438049"/>
      <w:bookmarkStart w:id="260" w:name="_Toc237513536"/>
      <w:bookmarkStart w:id="261" w:name="_Toc237351973"/>
      <w:bookmarkStart w:id="262" w:name="_Toc237513487"/>
      <w:r>
        <w:rPr>
          <w:rFonts w:hint="eastAsia"/>
          <w:color w:val="000000"/>
        </w:rPr>
        <w:t>收膏工艺</w:t>
      </w:r>
      <w:bookmarkEnd w:id="258"/>
      <w:bookmarkEnd w:id="259"/>
      <w:bookmarkEnd w:id="260"/>
      <w:bookmarkEnd w:id="261"/>
      <w:bookmarkEnd w:id="262"/>
    </w:p>
    <w:p w14:paraId="51364A75">
      <w:pPr>
        <w:pStyle w:val="56"/>
        <w:ind w:firstLine="420"/>
        <w:rPr>
          <w:color w:val="000000"/>
        </w:rPr>
      </w:pPr>
      <w:r>
        <w:rPr>
          <w:rFonts w:hint="eastAsia"/>
          <w:color w:val="000000"/>
        </w:rPr>
        <w:t>收膏工艺的确定宜考虑以下方面：</w:t>
      </w:r>
    </w:p>
    <w:p w14:paraId="2AD33E93">
      <w:pPr>
        <w:pStyle w:val="132"/>
        <w:rPr>
          <w:rFonts w:ascii="Times New Roman"/>
          <w:color w:val="000000"/>
        </w:rPr>
      </w:pPr>
      <w:r>
        <w:rPr>
          <w:rFonts w:hint="eastAsia" w:ascii="Times New Roman"/>
          <w:color w:val="000000"/>
        </w:rPr>
        <w:t>收膏终点宜以相对密度为主要判定依据，可辅以传统经验判断方法（如观察膏体的性状）；</w:t>
      </w:r>
    </w:p>
    <w:p w14:paraId="05145F9A">
      <w:pPr>
        <w:pStyle w:val="132"/>
        <w:rPr>
          <w:rFonts w:ascii="Times New Roman"/>
          <w:color w:val="000000"/>
        </w:rPr>
      </w:pPr>
      <w:r>
        <w:rPr>
          <w:rFonts w:hint="eastAsia" w:ascii="Times New Roman"/>
          <w:color w:val="000000"/>
        </w:rPr>
        <w:t>应记录每批实际出膏率，作为批次间一致性评价的依据；</w:t>
      </w:r>
    </w:p>
    <w:p w14:paraId="79A45462">
      <w:pPr>
        <w:pStyle w:val="132"/>
        <w:rPr>
          <w:rFonts w:ascii="Times New Roman"/>
          <w:color w:val="000000"/>
        </w:rPr>
      </w:pPr>
      <w:r>
        <w:rPr>
          <w:rFonts w:hint="eastAsia" w:ascii="Times New Roman"/>
          <w:color w:val="000000"/>
        </w:rPr>
        <w:t>收膏阶段宜控制适宜的加热温度，避免长时间高温加热导致品质劣变；</w:t>
      </w:r>
    </w:p>
    <w:p w14:paraId="304631B5">
      <w:pPr>
        <w:pStyle w:val="132"/>
        <w:rPr>
          <w:color w:val="000000"/>
        </w:rPr>
      </w:pPr>
      <w:r>
        <w:rPr>
          <w:rFonts w:hint="eastAsia" w:ascii="Times New Roman"/>
          <w:color w:val="000000"/>
        </w:rPr>
        <w:t>收膏过程中宜持续搅拌，防止结块或焦化</w:t>
      </w:r>
      <w:r>
        <w:rPr>
          <w:rFonts w:hint="eastAsia"/>
          <w:color w:val="000000"/>
        </w:rPr>
        <w:t>。</w:t>
      </w:r>
    </w:p>
    <w:p w14:paraId="0FEDBB35">
      <w:pPr>
        <w:pStyle w:val="105"/>
        <w:spacing w:before="120" w:after="120"/>
        <w:rPr>
          <w:color w:val="000000"/>
        </w:rPr>
      </w:pPr>
      <w:bookmarkStart w:id="263" w:name="_Toc237351974"/>
      <w:bookmarkStart w:id="264" w:name="_Toc237513537"/>
      <w:bookmarkStart w:id="265" w:name="_Toc237513488"/>
      <w:bookmarkStart w:id="266" w:name="_Toc242438050"/>
      <w:bookmarkStart w:id="267" w:name="_Toc237349624"/>
      <w:r>
        <w:rPr>
          <w:rFonts w:hint="eastAsia"/>
          <w:color w:val="000000"/>
        </w:rPr>
        <w:t>灭菌与灌装</w:t>
      </w:r>
      <w:bookmarkEnd w:id="263"/>
      <w:bookmarkEnd w:id="264"/>
      <w:bookmarkEnd w:id="265"/>
      <w:bookmarkEnd w:id="266"/>
      <w:bookmarkEnd w:id="267"/>
    </w:p>
    <w:p w14:paraId="2E339A8D">
      <w:pPr>
        <w:pStyle w:val="65"/>
        <w:spacing w:before="120" w:after="120"/>
        <w:rPr>
          <w:color w:val="000000"/>
        </w:rPr>
      </w:pPr>
      <w:r>
        <w:rPr>
          <w:rFonts w:hint="eastAsia"/>
          <w:color w:val="000000"/>
        </w:rPr>
        <w:t>灭菌方式</w:t>
      </w:r>
    </w:p>
    <w:p w14:paraId="0CBCD2D7">
      <w:pPr>
        <w:pStyle w:val="56"/>
        <w:ind w:firstLine="420"/>
        <w:rPr>
          <w:color w:val="000000"/>
        </w:rPr>
      </w:pPr>
      <w:r>
        <w:rPr>
          <w:color w:val="000000"/>
        </w:rPr>
        <w:t>成品灭菌方式的选择应根据产品特性和包装形式确定，宜采用巴氏灭菌或超高温瞬时灭菌等适宜方法</w:t>
      </w:r>
      <w:r>
        <w:rPr>
          <w:rFonts w:hint="eastAsia"/>
          <w:color w:val="000000"/>
        </w:rPr>
        <w:t>。</w:t>
      </w:r>
    </w:p>
    <w:p w14:paraId="42F13DC0">
      <w:pPr>
        <w:pStyle w:val="65"/>
        <w:spacing w:before="120" w:after="120"/>
        <w:rPr>
          <w:color w:val="000000"/>
        </w:rPr>
      </w:pPr>
      <w:r>
        <w:rPr>
          <w:rFonts w:hint="eastAsia"/>
          <w:color w:val="000000"/>
        </w:rPr>
        <w:t>灌装要求</w:t>
      </w:r>
    </w:p>
    <w:p w14:paraId="3BDAB8B4">
      <w:pPr>
        <w:pStyle w:val="56"/>
        <w:ind w:firstLine="420"/>
        <w:rPr>
          <w:color w:val="000000"/>
        </w:rPr>
      </w:pPr>
      <w:r>
        <w:rPr>
          <w:color w:val="000000"/>
        </w:rPr>
        <w:t>灌装应在洁净区内完成，灌装温度宜根据膏体流动性确定，确保灌装顺畅。灌装后应迅速密封，防止二次污染。独立条装产品应确保密封完整性</w:t>
      </w:r>
      <w:r>
        <w:rPr>
          <w:rFonts w:hint="eastAsia"/>
          <w:color w:val="000000"/>
        </w:rPr>
        <w:t>。</w:t>
      </w:r>
    </w:p>
    <w:p w14:paraId="50ECB5F2">
      <w:pPr>
        <w:pStyle w:val="105"/>
        <w:spacing w:before="120" w:after="120"/>
        <w:rPr>
          <w:color w:val="000000"/>
        </w:rPr>
      </w:pPr>
      <w:bookmarkStart w:id="268" w:name="_Toc237349625"/>
      <w:bookmarkStart w:id="269" w:name="_Toc237513538"/>
      <w:bookmarkStart w:id="270" w:name="_Toc237513489"/>
      <w:bookmarkStart w:id="271" w:name="_Toc242438051"/>
      <w:bookmarkStart w:id="272" w:name="_Toc237351975"/>
      <w:r>
        <w:rPr>
          <w:rFonts w:hint="eastAsia"/>
          <w:color w:val="000000"/>
        </w:rPr>
        <w:t>工艺验证</w:t>
      </w:r>
      <w:bookmarkEnd w:id="268"/>
      <w:bookmarkEnd w:id="269"/>
      <w:bookmarkEnd w:id="270"/>
      <w:bookmarkEnd w:id="271"/>
      <w:bookmarkEnd w:id="272"/>
    </w:p>
    <w:p w14:paraId="240CD59D">
      <w:pPr>
        <w:pStyle w:val="65"/>
        <w:spacing w:before="120" w:after="120"/>
        <w:rPr>
          <w:color w:val="000000"/>
        </w:rPr>
      </w:pPr>
      <w:r>
        <w:rPr>
          <w:rFonts w:hint="eastAsia"/>
          <w:color w:val="000000"/>
        </w:rPr>
        <w:t>验证批次</w:t>
      </w:r>
    </w:p>
    <w:p w14:paraId="1B6BB391">
      <w:pPr>
        <w:pStyle w:val="56"/>
        <w:ind w:firstLine="420"/>
        <w:rPr>
          <w:rFonts w:hint="eastAsia" w:ascii="宋体" w:hAnsi="宋体"/>
          <w:color w:val="000000"/>
        </w:rPr>
      </w:pPr>
      <w:r>
        <w:rPr>
          <w:rFonts w:hint="eastAsia" w:ascii="宋体" w:hAnsi="宋体"/>
          <w:color w:val="000000"/>
        </w:rPr>
        <w:t>工艺参数确定后，应通过不少于3批连续生产进行工艺验证，验证工艺的稳定性和重现性。</w:t>
      </w:r>
    </w:p>
    <w:p w14:paraId="0DD478C0">
      <w:pPr>
        <w:pStyle w:val="65"/>
        <w:spacing w:before="120" w:after="120"/>
        <w:rPr>
          <w:color w:val="000000"/>
        </w:rPr>
      </w:pPr>
      <w:r>
        <w:rPr>
          <w:rFonts w:hint="eastAsia"/>
          <w:color w:val="000000"/>
        </w:rPr>
        <w:t>验证内容</w:t>
      </w:r>
    </w:p>
    <w:p w14:paraId="2B2924A2">
      <w:pPr>
        <w:pStyle w:val="56"/>
        <w:ind w:firstLine="420"/>
        <w:rPr>
          <w:color w:val="000000"/>
        </w:rPr>
      </w:pPr>
      <w:r>
        <w:rPr>
          <w:rFonts w:hint="eastAsia"/>
          <w:color w:val="000000"/>
        </w:rPr>
        <w:t>工艺验证应包括以下内容：</w:t>
      </w:r>
    </w:p>
    <w:p w14:paraId="646F2E3F">
      <w:pPr>
        <w:pStyle w:val="132"/>
        <w:rPr>
          <w:color w:val="000000"/>
        </w:rPr>
      </w:pPr>
      <w:r>
        <w:rPr>
          <w:rFonts w:hint="eastAsia"/>
          <w:color w:val="000000"/>
        </w:rPr>
        <w:t>各关键工艺参数的实际运行值与设定值的偏差分析；</w:t>
      </w:r>
    </w:p>
    <w:p w14:paraId="184E0719">
      <w:pPr>
        <w:pStyle w:val="132"/>
        <w:rPr>
          <w:color w:val="000000"/>
        </w:rPr>
      </w:pPr>
      <w:r>
        <w:rPr>
          <w:rFonts w:hint="eastAsia"/>
          <w:color w:val="000000"/>
        </w:rPr>
        <w:t>各批次中间体和成品的质量指标检测结果及一致性评价；</w:t>
      </w:r>
    </w:p>
    <w:p w14:paraId="04730641">
      <w:pPr>
        <w:pStyle w:val="132"/>
        <w:rPr>
          <w:color w:val="000000"/>
        </w:rPr>
      </w:pPr>
      <w:r>
        <w:rPr>
          <w:rFonts w:hint="eastAsia"/>
          <w:color w:val="000000"/>
        </w:rPr>
        <w:t>出膏率的批次间波动分析；</w:t>
      </w:r>
    </w:p>
    <w:p w14:paraId="4BC3999E">
      <w:pPr>
        <w:pStyle w:val="132"/>
        <w:rPr>
          <w:color w:val="000000"/>
        </w:rPr>
      </w:pPr>
      <w:r>
        <w:rPr>
          <w:rFonts w:hint="eastAsia"/>
          <w:color w:val="000000"/>
        </w:rPr>
        <w:t>收率分析。</w:t>
      </w:r>
    </w:p>
    <w:p w14:paraId="29E93078">
      <w:pPr>
        <w:pStyle w:val="65"/>
        <w:spacing w:before="120" w:after="120"/>
        <w:rPr>
          <w:color w:val="000000"/>
        </w:rPr>
      </w:pPr>
      <w:r>
        <w:rPr>
          <w:rFonts w:hint="eastAsia"/>
          <w:color w:val="000000"/>
        </w:rPr>
        <w:t>验证报告</w:t>
      </w:r>
    </w:p>
    <w:p w14:paraId="71F53EE9">
      <w:pPr>
        <w:pStyle w:val="56"/>
        <w:ind w:firstLine="420"/>
        <w:rPr>
          <w:color w:val="000000"/>
        </w:rPr>
      </w:pPr>
      <w:r>
        <w:rPr>
          <w:rFonts w:hint="eastAsia"/>
          <w:color w:val="000000"/>
        </w:rPr>
        <w:t>工艺验证完成后应形成验证报告，内容包括验证方案、原始记录、检测数据、偏差处理、验证结论等，经质量负责人审核批准后归档保存。</w:t>
      </w:r>
    </w:p>
    <w:bookmarkEnd w:id="142"/>
    <w:bookmarkEnd w:id="237"/>
    <w:p w14:paraId="687B703F">
      <w:pPr>
        <w:pStyle w:val="104"/>
        <w:spacing w:before="240" w:after="240"/>
        <w:rPr>
          <w:color w:val="000000"/>
        </w:rPr>
      </w:pPr>
      <w:bookmarkStart w:id="273" w:name="_Toc237513490"/>
      <w:bookmarkStart w:id="274" w:name="_Toc234420369"/>
      <w:bookmarkStart w:id="275" w:name="_Toc237513539"/>
      <w:bookmarkStart w:id="276" w:name="_Toc242438052"/>
      <w:bookmarkStart w:id="277" w:name="_Toc237254852"/>
      <w:bookmarkStart w:id="278" w:name="_Toc237351976"/>
      <w:bookmarkStart w:id="279" w:name="_Toc237349626"/>
      <w:bookmarkStart w:id="280" w:name="OLE_LINK7"/>
      <w:r>
        <w:rPr>
          <w:rFonts w:hint="eastAsia"/>
          <w:color w:val="000000"/>
        </w:rPr>
        <w:t>标签标识</w:t>
      </w:r>
      <w:bookmarkEnd w:id="273"/>
      <w:bookmarkEnd w:id="274"/>
      <w:bookmarkEnd w:id="275"/>
      <w:bookmarkEnd w:id="276"/>
      <w:bookmarkEnd w:id="277"/>
      <w:bookmarkEnd w:id="278"/>
      <w:bookmarkEnd w:id="279"/>
    </w:p>
    <w:p w14:paraId="628E079D">
      <w:pPr>
        <w:pStyle w:val="105"/>
        <w:spacing w:before="120" w:after="120"/>
        <w:rPr>
          <w:color w:val="000000"/>
        </w:rPr>
      </w:pPr>
      <w:bookmarkStart w:id="281" w:name="_Toc237513540"/>
      <w:bookmarkStart w:id="282" w:name="_Toc237349627"/>
      <w:bookmarkStart w:id="283" w:name="_Toc237351977"/>
      <w:bookmarkStart w:id="284" w:name="_Toc237254853"/>
      <w:bookmarkStart w:id="285" w:name="_Toc234420370"/>
      <w:bookmarkStart w:id="286" w:name="_Toc242438053"/>
      <w:bookmarkStart w:id="287" w:name="_Toc237513491"/>
      <w:r>
        <w:rPr>
          <w:rFonts w:hint="eastAsia"/>
          <w:color w:val="000000"/>
        </w:rPr>
        <w:t>基本要求</w:t>
      </w:r>
      <w:bookmarkEnd w:id="281"/>
      <w:bookmarkEnd w:id="282"/>
      <w:bookmarkEnd w:id="283"/>
      <w:bookmarkEnd w:id="284"/>
      <w:bookmarkEnd w:id="285"/>
      <w:bookmarkEnd w:id="286"/>
      <w:bookmarkEnd w:id="287"/>
    </w:p>
    <w:p w14:paraId="7DC6ECFF">
      <w:pPr>
        <w:pStyle w:val="56"/>
        <w:ind w:firstLine="420"/>
        <w:rPr>
          <w:rFonts w:hint="eastAsia" w:ascii="宋体" w:hAnsi="宋体"/>
          <w:color w:val="000000"/>
        </w:rPr>
      </w:pPr>
      <w:r>
        <w:rPr>
          <w:rFonts w:hint="eastAsia" w:ascii="宋体" w:hAnsi="宋体"/>
          <w:color w:val="000000"/>
        </w:rPr>
        <w:t>食药物质膏方产品的标签标识应符合GB 7718、GB 28050及《食品标识监督管理办法》的规定。</w:t>
      </w:r>
    </w:p>
    <w:p w14:paraId="537EE01B">
      <w:pPr>
        <w:pStyle w:val="105"/>
        <w:spacing w:before="120" w:after="120"/>
        <w:rPr>
          <w:color w:val="000000"/>
        </w:rPr>
      </w:pPr>
      <w:bookmarkStart w:id="288" w:name="_Toc237351978"/>
      <w:bookmarkStart w:id="289" w:name="_Toc237254854"/>
      <w:bookmarkStart w:id="290" w:name="_Toc237513541"/>
      <w:bookmarkStart w:id="291" w:name="_Toc234420371"/>
      <w:bookmarkStart w:id="292" w:name="_Toc237513492"/>
      <w:bookmarkStart w:id="293" w:name="_Toc237349628"/>
      <w:bookmarkStart w:id="294" w:name="_Toc242438054"/>
      <w:r>
        <w:rPr>
          <w:rFonts w:hint="eastAsia"/>
          <w:color w:val="000000"/>
        </w:rPr>
        <w:t>产品名称</w:t>
      </w:r>
      <w:bookmarkEnd w:id="288"/>
      <w:bookmarkEnd w:id="289"/>
      <w:bookmarkEnd w:id="290"/>
      <w:bookmarkEnd w:id="291"/>
      <w:bookmarkEnd w:id="292"/>
      <w:bookmarkEnd w:id="293"/>
      <w:bookmarkEnd w:id="294"/>
    </w:p>
    <w:p w14:paraId="4568542F">
      <w:pPr>
        <w:pStyle w:val="56"/>
        <w:ind w:firstLine="420"/>
        <w:rPr>
          <w:color w:val="000000"/>
        </w:rPr>
      </w:pPr>
      <w:r>
        <w:rPr>
          <w:rFonts w:hint="eastAsia"/>
          <w:color w:val="000000"/>
        </w:rPr>
        <w:t>产品名称应反映产品的真实属性。可包含适配体质类型信息（如“××体质食药物质膏方产品”），但不应暗示或宣称具有疾病预防、治疗功能。</w:t>
      </w:r>
    </w:p>
    <w:p w14:paraId="4E7269E3">
      <w:pPr>
        <w:pStyle w:val="105"/>
        <w:spacing w:before="120" w:after="120"/>
        <w:rPr>
          <w:color w:val="000000"/>
        </w:rPr>
      </w:pPr>
      <w:bookmarkStart w:id="295" w:name="_Toc237513493"/>
      <w:bookmarkStart w:id="296" w:name="_Toc237351979"/>
      <w:bookmarkStart w:id="297" w:name="_Toc237349629"/>
      <w:bookmarkStart w:id="298" w:name="_Toc237254855"/>
      <w:bookmarkStart w:id="299" w:name="_Toc237513542"/>
      <w:bookmarkStart w:id="300" w:name="_Toc234420372"/>
      <w:bookmarkStart w:id="301" w:name="_Toc242438055"/>
      <w:r>
        <w:rPr>
          <w:rFonts w:hint="eastAsia"/>
          <w:color w:val="000000"/>
        </w:rPr>
        <w:t>配料表</w:t>
      </w:r>
      <w:bookmarkEnd w:id="295"/>
      <w:bookmarkEnd w:id="296"/>
      <w:bookmarkEnd w:id="297"/>
      <w:bookmarkEnd w:id="298"/>
      <w:bookmarkEnd w:id="299"/>
      <w:bookmarkEnd w:id="300"/>
      <w:bookmarkEnd w:id="301"/>
    </w:p>
    <w:p w14:paraId="16550900">
      <w:pPr>
        <w:pStyle w:val="56"/>
        <w:ind w:firstLine="420"/>
        <w:rPr>
          <w:color w:val="000000"/>
        </w:rPr>
      </w:pPr>
      <w:r>
        <w:rPr>
          <w:rFonts w:hint="eastAsia"/>
          <w:color w:val="000000"/>
        </w:rPr>
        <w:t>应按加入量递减顺序标示所有食药物质原料及食品添加剂。食药物质应使用国家公布的标准名称。</w:t>
      </w:r>
    </w:p>
    <w:p w14:paraId="57470F2E">
      <w:pPr>
        <w:pStyle w:val="105"/>
        <w:spacing w:before="120" w:after="120"/>
        <w:rPr>
          <w:color w:val="000000"/>
        </w:rPr>
      </w:pPr>
      <w:bookmarkStart w:id="302" w:name="_Toc237254856"/>
      <w:bookmarkStart w:id="303" w:name="_Toc237351980"/>
      <w:bookmarkStart w:id="304" w:name="_Toc242438056"/>
      <w:bookmarkStart w:id="305" w:name="_Toc237513543"/>
      <w:bookmarkStart w:id="306" w:name="_Toc237349630"/>
      <w:bookmarkStart w:id="307" w:name="_Toc234420373"/>
      <w:bookmarkStart w:id="308" w:name="_Toc237513494"/>
      <w:r>
        <w:rPr>
          <w:rFonts w:hint="eastAsia"/>
          <w:color w:val="000000"/>
        </w:rPr>
        <w:t>体质适配信息</w:t>
      </w:r>
      <w:bookmarkEnd w:id="302"/>
      <w:bookmarkEnd w:id="303"/>
      <w:bookmarkEnd w:id="304"/>
      <w:bookmarkEnd w:id="305"/>
      <w:bookmarkEnd w:id="306"/>
      <w:bookmarkEnd w:id="307"/>
      <w:bookmarkEnd w:id="308"/>
    </w:p>
    <w:p w14:paraId="5C1E2ACE">
      <w:pPr>
        <w:pStyle w:val="165"/>
        <w:rPr>
          <w:color w:val="000000"/>
        </w:rPr>
      </w:pPr>
      <w:r>
        <w:rPr>
          <w:rFonts w:hint="eastAsia"/>
          <w:color w:val="000000"/>
        </w:rPr>
        <w:t>应标注产品适配的中医体质类型，标注形式为“本品依据中医体质学理论，适配××体质人群日常食用”。</w:t>
      </w:r>
    </w:p>
    <w:p w14:paraId="0C5D0B8A">
      <w:pPr>
        <w:pStyle w:val="165"/>
        <w:rPr>
          <w:color w:val="000000"/>
        </w:rPr>
      </w:pPr>
      <w:r>
        <w:rPr>
          <w:rFonts w:hint="eastAsia"/>
          <w:color w:val="000000"/>
        </w:rPr>
        <w:t>不应使用“治疗”“改善”“调节”等医疗功效宣称用语。</w:t>
      </w:r>
    </w:p>
    <w:p w14:paraId="6890536B">
      <w:pPr>
        <w:pStyle w:val="105"/>
        <w:spacing w:before="120" w:after="120"/>
        <w:rPr>
          <w:color w:val="000000"/>
        </w:rPr>
      </w:pPr>
      <w:bookmarkStart w:id="309" w:name="_Toc237349631"/>
      <w:bookmarkStart w:id="310" w:name="_Toc234420374"/>
      <w:bookmarkStart w:id="311" w:name="_Toc237351981"/>
      <w:bookmarkStart w:id="312" w:name="_Toc237513544"/>
      <w:bookmarkStart w:id="313" w:name="_Toc242438057"/>
      <w:bookmarkStart w:id="314" w:name="_Toc237513495"/>
      <w:bookmarkStart w:id="315" w:name="_Toc237254857"/>
      <w:r>
        <w:rPr>
          <w:rFonts w:hint="eastAsia"/>
          <w:color w:val="000000"/>
        </w:rPr>
        <w:t>不适宜人群与食用禁忌</w:t>
      </w:r>
      <w:bookmarkEnd w:id="309"/>
      <w:bookmarkEnd w:id="310"/>
      <w:bookmarkEnd w:id="311"/>
      <w:bookmarkEnd w:id="312"/>
      <w:bookmarkEnd w:id="313"/>
      <w:bookmarkEnd w:id="314"/>
      <w:bookmarkEnd w:id="315"/>
    </w:p>
    <w:p w14:paraId="03DD291C">
      <w:pPr>
        <w:pStyle w:val="165"/>
        <w:rPr>
          <w:color w:val="000000"/>
        </w:rPr>
      </w:pPr>
      <w:r>
        <w:rPr>
          <w:rFonts w:hint="eastAsia"/>
          <w:color w:val="000000"/>
        </w:rPr>
        <w:t>应明确标注不适宜人群，包括但不限于：婴幼儿、孕期及哺乳期妇女，以及各体质类型对应的特定不适宜人群。</w:t>
      </w:r>
    </w:p>
    <w:p w14:paraId="567EC69A">
      <w:pPr>
        <w:pStyle w:val="165"/>
        <w:rPr>
          <w:color w:val="000000"/>
        </w:rPr>
      </w:pPr>
      <w:r>
        <w:rPr>
          <w:rFonts w:hint="eastAsia"/>
          <w:color w:val="000000"/>
        </w:rPr>
        <w:t>应标注食用方法、推荐食用量及食用周期。</w:t>
      </w:r>
    </w:p>
    <w:p w14:paraId="5895DAF5">
      <w:pPr>
        <w:pStyle w:val="165"/>
        <w:rPr>
          <w:color w:val="000000"/>
        </w:rPr>
      </w:pPr>
      <w:r>
        <w:rPr>
          <w:rFonts w:hint="eastAsia"/>
          <w:color w:val="000000"/>
        </w:rPr>
        <w:t>应标注“本品为普通食品，不能代替药物”的警示语。</w:t>
      </w:r>
    </w:p>
    <w:bookmarkEnd w:id="31"/>
    <w:bookmarkEnd w:id="280"/>
    <w:p w14:paraId="07FDE11E">
      <w:pPr>
        <w:pStyle w:val="56"/>
        <w:ind w:firstLine="0" w:firstLineChars="0"/>
        <w:jc w:val="center"/>
      </w:pPr>
    </w:p>
    <w:p w14:paraId="31B1F5E5">
      <w:pPr>
        <w:pStyle w:val="56"/>
        <w:ind w:firstLine="0" w:firstLineChars="0"/>
        <w:jc w:val="center"/>
        <w:sectPr>
          <w:headerReference r:id="rId19" w:type="default"/>
          <w:footerReference r:id="rId21" w:type="default"/>
          <w:headerReference r:id="rId20" w:type="even"/>
          <w:footerReference r:id="rId22" w:type="even"/>
          <w:pgSz w:w="11906" w:h="16838"/>
          <w:pgMar w:top="1928" w:right="1134" w:bottom="1134" w:left="1134" w:header="1418" w:footer="1134" w:gutter="284"/>
          <w:pgNumType w:start="1"/>
          <w:cols w:space="425" w:num="1"/>
          <w:formProt w:val="0"/>
          <w:docGrid w:linePitch="312" w:charSpace="0"/>
        </w:sectPr>
      </w:pPr>
    </w:p>
    <w:bookmarkEnd w:id="29"/>
    <w:p w14:paraId="13331C4C">
      <w:pPr>
        <w:pStyle w:val="198"/>
        <w:rPr>
          <w:rFonts w:hint="eastAsia"/>
        </w:rPr>
      </w:pPr>
      <w:bookmarkStart w:id="316" w:name="BookMark5"/>
    </w:p>
    <w:p w14:paraId="2AD15BBD">
      <w:pPr>
        <w:pStyle w:val="199"/>
      </w:pPr>
    </w:p>
    <w:p w14:paraId="3CB92A1E">
      <w:pPr>
        <w:pStyle w:val="76"/>
        <w:spacing w:after="120"/>
      </w:pPr>
      <w:r>
        <w:br w:type="textWrapping"/>
      </w:r>
      <w:bookmarkStart w:id="317" w:name="_Toc234420375"/>
      <w:bookmarkStart w:id="318" w:name="_Toc237513545"/>
      <w:bookmarkStart w:id="319" w:name="_Toc242438058"/>
      <w:bookmarkStart w:id="320" w:name="_Toc237351982"/>
      <w:bookmarkStart w:id="321" w:name="_Toc237513496"/>
      <w:bookmarkStart w:id="322" w:name="_Toc237349632"/>
      <w:bookmarkStart w:id="323" w:name="_Toc237254858"/>
      <w:r>
        <w:rPr>
          <w:rFonts w:hint="eastAsia"/>
        </w:rPr>
        <w:t>（资料性）</w:t>
      </w:r>
      <w:r>
        <w:br w:type="textWrapping"/>
      </w:r>
      <w:r>
        <w:rPr>
          <w:rFonts w:hint="eastAsia"/>
        </w:rPr>
        <w:t>九种中医体质食药物质配伍参考表</w:t>
      </w:r>
      <w:bookmarkEnd w:id="317"/>
      <w:bookmarkEnd w:id="318"/>
      <w:bookmarkEnd w:id="319"/>
      <w:bookmarkEnd w:id="320"/>
      <w:bookmarkEnd w:id="321"/>
      <w:bookmarkEnd w:id="322"/>
      <w:bookmarkEnd w:id="323"/>
    </w:p>
    <w:p w14:paraId="26918D2D">
      <w:pPr>
        <w:pStyle w:val="56"/>
        <w:ind w:firstLine="420"/>
      </w:pPr>
      <w:r>
        <w:rPr>
          <w:rFonts w:hint="eastAsia"/>
        </w:rPr>
        <w:t>九种中医体质食药物质配伍参考表可参见表A.1。</w:t>
      </w:r>
    </w:p>
    <w:p w14:paraId="38E1CDBE">
      <w:pPr>
        <w:pStyle w:val="77"/>
        <w:spacing w:before="120" w:after="120"/>
      </w:pPr>
      <w:r>
        <w:rPr>
          <w:rFonts w:hint="eastAsia"/>
        </w:rPr>
        <w:t>九种中医体质食药物质配伍参考表</w:t>
      </w:r>
    </w:p>
    <w:tbl>
      <w:tblPr>
        <w:tblStyle w:val="27"/>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0" w:type="dxa"/>
          <w:bottom w:w="0" w:type="dxa"/>
          <w:right w:w="100" w:type="dxa"/>
        </w:tblCellMar>
      </w:tblPr>
      <w:tblGrid>
        <w:gridCol w:w="983"/>
        <w:gridCol w:w="1417"/>
        <w:gridCol w:w="1598"/>
        <w:gridCol w:w="1334"/>
        <w:gridCol w:w="1334"/>
        <w:gridCol w:w="1334"/>
        <w:gridCol w:w="1334"/>
      </w:tblGrid>
      <w:tr w14:paraId="572143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c>
          <w:tcPr>
            <w:tcW w:w="983" w:type="dxa"/>
            <w:tcBorders>
              <w:top w:val="single" w:color="auto" w:sz="8" w:space="0"/>
              <w:bottom w:val="single" w:color="auto" w:sz="8" w:space="0"/>
            </w:tcBorders>
            <w:vAlign w:val="center"/>
          </w:tcPr>
          <w:p w14:paraId="499EB60F">
            <w:pPr>
              <w:pStyle w:val="56"/>
              <w:ind w:firstLine="0" w:firstLineChars="0"/>
              <w:rPr>
                <w:rFonts w:hint="eastAsia" w:ascii="宋体" w:hAnsi="宋体"/>
                <w:sz w:val="18"/>
              </w:rPr>
            </w:pPr>
            <w:r>
              <w:rPr>
                <w:rFonts w:hint="eastAsia" w:ascii="宋体" w:hAnsi="宋体"/>
                <w:sz w:val="18"/>
              </w:rPr>
              <w:t>膏方名称</w:t>
            </w:r>
          </w:p>
        </w:tc>
        <w:tc>
          <w:tcPr>
            <w:tcW w:w="1417" w:type="dxa"/>
            <w:tcBorders>
              <w:top w:val="single" w:color="auto" w:sz="8" w:space="0"/>
              <w:bottom w:val="single" w:color="auto" w:sz="8" w:space="0"/>
            </w:tcBorders>
            <w:vAlign w:val="center"/>
          </w:tcPr>
          <w:p w14:paraId="68BB3497">
            <w:pPr>
              <w:pStyle w:val="56"/>
              <w:ind w:firstLine="0" w:firstLineChars="0"/>
              <w:rPr>
                <w:rFonts w:hint="eastAsia" w:ascii="宋体" w:hAnsi="宋体"/>
                <w:sz w:val="18"/>
              </w:rPr>
            </w:pPr>
            <w:r>
              <w:rPr>
                <w:rFonts w:ascii="宋体" w:hAnsi="宋体"/>
                <w:sz w:val="18"/>
              </w:rPr>
              <w:t>平补调和</w:t>
            </w:r>
            <w:r>
              <w:rPr>
                <w:rFonts w:hint="eastAsia" w:ascii="宋体" w:hAnsi="宋体"/>
                <w:sz w:val="18"/>
              </w:rPr>
              <w:t>义</w:t>
            </w:r>
          </w:p>
        </w:tc>
        <w:tc>
          <w:tcPr>
            <w:tcW w:w="1598" w:type="dxa"/>
            <w:tcBorders>
              <w:top w:val="single" w:color="auto" w:sz="8" w:space="0"/>
              <w:bottom w:val="single" w:color="auto" w:sz="8" w:space="0"/>
            </w:tcBorders>
            <w:vAlign w:val="center"/>
          </w:tcPr>
          <w:p w14:paraId="70DD6835">
            <w:pPr>
              <w:pStyle w:val="56"/>
              <w:ind w:firstLine="0" w:firstLineChars="0"/>
              <w:rPr>
                <w:rFonts w:hint="eastAsia" w:ascii="宋体" w:hAnsi="宋体"/>
                <w:sz w:val="18"/>
              </w:rPr>
            </w:pPr>
            <w:r>
              <w:rPr>
                <w:rFonts w:hint="eastAsia" w:ascii="宋体" w:hAnsi="宋体"/>
                <w:sz w:val="18"/>
              </w:rPr>
              <w:t>推荐适配食药物质</w:t>
            </w:r>
          </w:p>
        </w:tc>
        <w:tc>
          <w:tcPr>
            <w:tcW w:w="1334" w:type="dxa"/>
            <w:tcBorders>
              <w:top w:val="single" w:color="auto" w:sz="8" w:space="0"/>
              <w:bottom w:val="single" w:color="auto" w:sz="8" w:space="0"/>
            </w:tcBorders>
            <w:vAlign w:val="center"/>
          </w:tcPr>
          <w:p w14:paraId="78F3B3E9">
            <w:pPr>
              <w:pStyle w:val="56"/>
              <w:ind w:firstLine="0" w:firstLineChars="0"/>
              <w:rPr>
                <w:rFonts w:hint="eastAsia" w:ascii="宋体" w:hAnsi="宋体"/>
                <w:sz w:val="18"/>
              </w:rPr>
            </w:pPr>
            <w:r>
              <w:rPr>
                <w:rFonts w:hint="eastAsia" w:ascii="宋体" w:hAnsi="宋体"/>
                <w:sz w:val="18"/>
              </w:rPr>
              <w:t>慎用 / 少用食药物质</w:t>
            </w:r>
          </w:p>
        </w:tc>
        <w:tc>
          <w:tcPr>
            <w:tcW w:w="1334" w:type="dxa"/>
            <w:tcBorders>
              <w:top w:val="single" w:color="auto" w:sz="8" w:space="0"/>
              <w:bottom w:val="single" w:color="auto" w:sz="8" w:space="0"/>
            </w:tcBorders>
            <w:vAlign w:val="center"/>
          </w:tcPr>
          <w:p w14:paraId="3849D8D2">
            <w:pPr>
              <w:pStyle w:val="56"/>
              <w:ind w:firstLine="0" w:firstLineChars="0"/>
              <w:rPr>
                <w:rFonts w:hint="eastAsia" w:ascii="宋体" w:hAnsi="宋体"/>
                <w:sz w:val="18"/>
              </w:rPr>
            </w:pPr>
            <w:r>
              <w:rPr>
                <w:rFonts w:hint="eastAsia" w:ascii="宋体" w:hAnsi="宋体"/>
                <w:sz w:val="18"/>
              </w:rPr>
              <w:t>投料配比参考</w:t>
            </w:r>
          </w:p>
        </w:tc>
        <w:tc>
          <w:tcPr>
            <w:tcW w:w="1334" w:type="dxa"/>
            <w:tcBorders>
              <w:top w:val="single" w:color="auto" w:sz="8" w:space="0"/>
              <w:bottom w:val="single" w:color="auto" w:sz="8" w:space="0"/>
            </w:tcBorders>
            <w:vAlign w:val="center"/>
          </w:tcPr>
          <w:p w14:paraId="040FCEC7">
            <w:pPr>
              <w:pStyle w:val="56"/>
              <w:ind w:firstLine="0" w:firstLineChars="0"/>
              <w:rPr>
                <w:rFonts w:hint="eastAsia" w:ascii="宋体" w:hAnsi="宋体"/>
                <w:sz w:val="18"/>
              </w:rPr>
            </w:pPr>
            <w:r>
              <w:rPr>
                <w:rFonts w:hint="eastAsia" w:ascii="宋体" w:hAnsi="宋体"/>
                <w:sz w:val="18"/>
              </w:rPr>
              <w:t>简易食药物质配方示例</w:t>
            </w:r>
          </w:p>
        </w:tc>
        <w:tc>
          <w:tcPr>
            <w:tcW w:w="1334" w:type="dxa"/>
            <w:tcBorders>
              <w:top w:val="single" w:color="auto" w:sz="8" w:space="0"/>
              <w:bottom w:val="single" w:color="auto" w:sz="8" w:space="0"/>
            </w:tcBorders>
            <w:vAlign w:val="center"/>
          </w:tcPr>
          <w:p w14:paraId="6D7C5DA4">
            <w:pPr>
              <w:pStyle w:val="56"/>
              <w:ind w:firstLine="0" w:firstLineChars="0"/>
              <w:rPr>
                <w:rFonts w:hint="eastAsia" w:ascii="宋体" w:hAnsi="宋体"/>
                <w:sz w:val="18"/>
              </w:rPr>
            </w:pPr>
            <w:r>
              <w:rPr>
                <w:rFonts w:hint="eastAsia" w:ascii="宋体" w:hAnsi="宋体"/>
                <w:sz w:val="18"/>
              </w:rPr>
              <w:t>参考提示人群</w:t>
            </w:r>
          </w:p>
        </w:tc>
      </w:tr>
      <w:tr w14:paraId="6811C0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c>
          <w:tcPr>
            <w:tcW w:w="983" w:type="dxa"/>
            <w:tcBorders>
              <w:top w:val="single" w:color="auto" w:sz="8" w:space="0"/>
            </w:tcBorders>
            <w:vAlign w:val="center"/>
          </w:tcPr>
          <w:p w14:paraId="321462E4">
            <w:pPr>
              <w:pStyle w:val="56"/>
              <w:ind w:firstLine="0" w:firstLineChars="0"/>
              <w:rPr>
                <w:rFonts w:hint="eastAsia" w:ascii="宋体" w:hAnsi="宋体"/>
                <w:sz w:val="18"/>
              </w:rPr>
            </w:pPr>
            <w:r>
              <w:rPr>
                <w:rFonts w:hint="eastAsia" w:ascii="宋体" w:hAnsi="宋体"/>
                <w:sz w:val="18"/>
              </w:rPr>
              <w:t>平和质</w:t>
            </w:r>
          </w:p>
        </w:tc>
        <w:tc>
          <w:tcPr>
            <w:tcW w:w="1417" w:type="dxa"/>
            <w:tcBorders>
              <w:top w:val="single" w:color="auto" w:sz="8" w:space="0"/>
            </w:tcBorders>
            <w:vAlign w:val="center"/>
          </w:tcPr>
          <w:p w14:paraId="5322A363">
            <w:pPr>
              <w:pStyle w:val="56"/>
              <w:ind w:firstLine="0" w:firstLineChars="0"/>
              <w:rPr>
                <w:rFonts w:hint="eastAsia" w:ascii="宋体" w:hAnsi="宋体"/>
                <w:sz w:val="18"/>
              </w:rPr>
            </w:pPr>
            <w:r>
              <w:rPr>
                <w:rFonts w:ascii="宋体" w:hAnsi="宋体"/>
                <w:sz w:val="18"/>
              </w:rPr>
              <w:t>平补调和</w:t>
            </w:r>
          </w:p>
        </w:tc>
        <w:tc>
          <w:tcPr>
            <w:tcW w:w="1598" w:type="dxa"/>
            <w:tcBorders>
              <w:top w:val="single" w:color="auto" w:sz="8" w:space="0"/>
            </w:tcBorders>
            <w:vAlign w:val="center"/>
          </w:tcPr>
          <w:p w14:paraId="72E2EFA5">
            <w:pPr>
              <w:pStyle w:val="56"/>
              <w:ind w:firstLine="0" w:firstLineChars="0"/>
              <w:rPr>
                <w:rFonts w:hint="eastAsia" w:ascii="宋体" w:hAnsi="宋体"/>
                <w:sz w:val="18"/>
              </w:rPr>
            </w:pPr>
            <w:r>
              <w:rPr>
                <w:rFonts w:hint="eastAsia" w:ascii="宋体" w:hAnsi="宋体"/>
                <w:sz w:val="18"/>
              </w:rPr>
              <w:t>清淡温润类食药物质</w:t>
            </w:r>
          </w:p>
        </w:tc>
        <w:tc>
          <w:tcPr>
            <w:tcW w:w="1334" w:type="dxa"/>
            <w:tcBorders>
              <w:top w:val="single" w:color="auto" w:sz="8" w:space="0"/>
            </w:tcBorders>
            <w:vAlign w:val="center"/>
          </w:tcPr>
          <w:p w14:paraId="07106F40">
            <w:pPr>
              <w:pStyle w:val="56"/>
              <w:ind w:firstLine="0" w:firstLineChars="0"/>
              <w:rPr>
                <w:rFonts w:hint="eastAsia" w:ascii="宋体" w:hAnsi="宋体"/>
                <w:sz w:val="18"/>
              </w:rPr>
            </w:pPr>
            <w:r>
              <w:rPr>
                <w:rFonts w:hint="eastAsia" w:ascii="宋体" w:hAnsi="宋体"/>
                <w:sz w:val="18"/>
              </w:rPr>
              <w:t>大寒大热、峻补峻泻食药物质</w:t>
            </w:r>
          </w:p>
        </w:tc>
        <w:tc>
          <w:tcPr>
            <w:tcW w:w="1334" w:type="dxa"/>
            <w:tcBorders>
              <w:top w:val="single" w:color="auto" w:sz="8" w:space="0"/>
            </w:tcBorders>
            <w:vAlign w:val="center"/>
          </w:tcPr>
          <w:p w14:paraId="1C88A9B7">
            <w:pPr>
              <w:pStyle w:val="56"/>
              <w:ind w:firstLine="0" w:firstLineChars="0"/>
              <w:rPr>
                <w:rFonts w:hint="eastAsia" w:ascii="宋体" w:hAnsi="宋体"/>
                <w:sz w:val="18"/>
              </w:rPr>
            </w:pPr>
            <w:r>
              <w:rPr>
                <w:rFonts w:hint="eastAsia" w:ascii="宋体" w:hAnsi="宋体"/>
                <w:sz w:val="18"/>
              </w:rPr>
              <w:t>单一食药物质不超 20%</w:t>
            </w:r>
          </w:p>
        </w:tc>
        <w:tc>
          <w:tcPr>
            <w:tcW w:w="1334" w:type="dxa"/>
            <w:tcBorders>
              <w:top w:val="single" w:color="auto" w:sz="8" w:space="0"/>
            </w:tcBorders>
            <w:vAlign w:val="center"/>
          </w:tcPr>
          <w:p w14:paraId="41E3A58D">
            <w:pPr>
              <w:pStyle w:val="56"/>
              <w:ind w:firstLine="0" w:firstLineChars="0"/>
              <w:rPr>
                <w:rFonts w:hint="eastAsia" w:ascii="宋体" w:hAnsi="宋体"/>
                <w:sz w:val="18"/>
              </w:rPr>
            </w:pPr>
            <w:r>
              <w:rPr>
                <w:rFonts w:hint="eastAsia" w:ascii="宋体" w:hAnsi="宋体"/>
                <w:sz w:val="18"/>
              </w:rPr>
              <w:t>山药、莲子、枸杞、大枣</w:t>
            </w:r>
          </w:p>
        </w:tc>
        <w:tc>
          <w:tcPr>
            <w:tcW w:w="1334" w:type="dxa"/>
            <w:tcBorders>
              <w:top w:val="single" w:color="auto" w:sz="8" w:space="0"/>
            </w:tcBorders>
            <w:vAlign w:val="center"/>
          </w:tcPr>
          <w:p w14:paraId="5552E46B">
            <w:pPr>
              <w:pStyle w:val="56"/>
              <w:ind w:firstLine="0" w:firstLineChars="0"/>
              <w:rPr>
                <w:rFonts w:hint="eastAsia" w:ascii="宋体" w:hAnsi="宋体"/>
                <w:sz w:val="18"/>
              </w:rPr>
            </w:pPr>
            <w:r>
              <w:rPr>
                <w:rFonts w:hint="eastAsia" w:ascii="宋体" w:hAnsi="宋体"/>
                <w:sz w:val="18"/>
              </w:rPr>
              <w:t>无特殊禁忌，婴幼儿建议减量食用</w:t>
            </w:r>
          </w:p>
        </w:tc>
      </w:tr>
      <w:tr w14:paraId="0AE1A0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c>
          <w:tcPr>
            <w:tcW w:w="983" w:type="dxa"/>
            <w:vAlign w:val="center"/>
          </w:tcPr>
          <w:p w14:paraId="0C198498">
            <w:pPr>
              <w:pStyle w:val="56"/>
              <w:ind w:firstLine="0" w:firstLineChars="0"/>
              <w:rPr>
                <w:rFonts w:hint="eastAsia" w:ascii="宋体" w:hAnsi="宋体"/>
                <w:sz w:val="18"/>
              </w:rPr>
            </w:pPr>
            <w:r>
              <w:rPr>
                <w:rFonts w:hint="eastAsia" w:ascii="宋体" w:hAnsi="宋体"/>
                <w:sz w:val="18"/>
              </w:rPr>
              <w:t>气虚质</w:t>
            </w:r>
          </w:p>
        </w:tc>
        <w:tc>
          <w:tcPr>
            <w:tcW w:w="1417" w:type="dxa"/>
            <w:vAlign w:val="center"/>
          </w:tcPr>
          <w:p w14:paraId="4A00633B">
            <w:pPr>
              <w:pStyle w:val="56"/>
              <w:ind w:firstLine="0" w:firstLineChars="0"/>
              <w:rPr>
                <w:rFonts w:hint="eastAsia" w:ascii="宋体" w:hAnsi="宋体"/>
                <w:sz w:val="18"/>
              </w:rPr>
            </w:pPr>
            <w:r>
              <w:rPr>
                <w:rFonts w:hint="eastAsia" w:ascii="宋体" w:hAnsi="宋体"/>
                <w:sz w:val="18"/>
              </w:rPr>
              <w:t>益气健脾</w:t>
            </w:r>
          </w:p>
        </w:tc>
        <w:tc>
          <w:tcPr>
            <w:tcW w:w="1598" w:type="dxa"/>
            <w:vAlign w:val="center"/>
          </w:tcPr>
          <w:p w14:paraId="0BEBA820">
            <w:pPr>
              <w:pStyle w:val="56"/>
              <w:ind w:firstLine="0" w:firstLineChars="0"/>
              <w:rPr>
                <w:rFonts w:hint="eastAsia" w:ascii="宋体" w:hAnsi="宋体"/>
                <w:sz w:val="18"/>
              </w:rPr>
            </w:pPr>
            <w:r>
              <w:rPr>
                <w:rFonts w:hint="eastAsia" w:ascii="宋体" w:hAnsi="宋体"/>
                <w:sz w:val="18"/>
              </w:rPr>
              <w:t>甘平补益类食药物质</w:t>
            </w:r>
          </w:p>
        </w:tc>
        <w:tc>
          <w:tcPr>
            <w:tcW w:w="1334" w:type="dxa"/>
            <w:vAlign w:val="center"/>
          </w:tcPr>
          <w:p w14:paraId="6A9D975C">
            <w:pPr>
              <w:pStyle w:val="56"/>
              <w:ind w:firstLine="0" w:firstLineChars="0"/>
              <w:rPr>
                <w:rFonts w:hint="eastAsia" w:ascii="宋体" w:hAnsi="宋体"/>
                <w:sz w:val="18"/>
              </w:rPr>
            </w:pPr>
            <w:r>
              <w:rPr>
                <w:rFonts w:hint="eastAsia" w:ascii="宋体" w:hAnsi="宋体"/>
                <w:sz w:val="18"/>
              </w:rPr>
              <w:t>寒凉耗气、高脂滋腻食药物质</w:t>
            </w:r>
          </w:p>
        </w:tc>
        <w:tc>
          <w:tcPr>
            <w:tcW w:w="1334" w:type="dxa"/>
            <w:vAlign w:val="center"/>
          </w:tcPr>
          <w:p w14:paraId="3AC4860E">
            <w:pPr>
              <w:pStyle w:val="56"/>
              <w:ind w:firstLine="0" w:firstLineChars="0"/>
              <w:rPr>
                <w:rFonts w:hint="eastAsia" w:ascii="宋体" w:hAnsi="宋体"/>
                <w:sz w:val="18"/>
              </w:rPr>
            </w:pPr>
            <w:r>
              <w:rPr>
                <w:rFonts w:hint="eastAsia" w:ascii="宋体" w:hAnsi="宋体"/>
                <w:sz w:val="18"/>
              </w:rPr>
              <w:t>滋腻类食药物质≤40%</w:t>
            </w:r>
          </w:p>
        </w:tc>
        <w:tc>
          <w:tcPr>
            <w:tcW w:w="1334" w:type="dxa"/>
            <w:vAlign w:val="center"/>
          </w:tcPr>
          <w:p w14:paraId="20579490">
            <w:pPr>
              <w:pStyle w:val="56"/>
              <w:ind w:firstLine="0" w:firstLineChars="0"/>
              <w:rPr>
                <w:rFonts w:hint="eastAsia" w:ascii="宋体" w:hAnsi="宋体"/>
                <w:sz w:val="18"/>
              </w:rPr>
            </w:pPr>
            <w:r>
              <w:rPr>
                <w:rFonts w:hint="eastAsia" w:ascii="宋体" w:hAnsi="宋体"/>
                <w:sz w:val="18"/>
              </w:rPr>
              <w:t>山药、茯苓、大枣、莲子、陈皮</w:t>
            </w:r>
          </w:p>
        </w:tc>
        <w:tc>
          <w:tcPr>
            <w:tcW w:w="1334" w:type="dxa"/>
            <w:vAlign w:val="center"/>
          </w:tcPr>
          <w:p w14:paraId="5AEB2B1B">
            <w:pPr>
              <w:pStyle w:val="56"/>
              <w:ind w:firstLine="0" w:firstLineChars="0"/>
              <w:rPr>
                <w:rFonts w:hint="eastAsia" w:ascii="宋体" w:hAnsi="宋体"/>
                <w:sz w:val="18"/>
              </w:rPr>
            </w:pPr>
            <w:r>
              <w:rPr>
                <w:rFonts w:hint="eastAsia" w:ascii="宋体" w:hAnsi="宋体"/>
                <w:sz w:val="18"/>
              </w:rPr>
              <w:t>感冒发热、湿热体质人群少食</w:t>
            </w:r>
          </w:p>
        </w:tc>
      </w:tr>
      <w:tr w14:paraId="01F4E5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c>
          <w:tcPr>
            <w:tcW w:w="983" w:type="dxa"/>
            <w:vAlign w:val="center"/>
          </w:tcPr>
          <w:p w14:paraId="0CC3D6C7">
            <w:pPr>
              <w:pStyle w:val="56"/>
              <w:ind w:firstLine="0" w:firstLineChars="0"/>
              <w:rPr>
                <w:rFonts w:hint="eastAsia" w:ascii="宋体" w:hAnsi="宋体"/>
                <w:sz w:val="18"/>
              </w:rPr>
            </w:pPr>
            <w:r>
              <w:rPr>
                <w:rFonts w:hint="eastAsia" w:ascii="宋体" w:hAnsi="宋体"/>
                <w:sz w:val="18"/>
              </w:rPr>
              <w:t>阳虚质</w:t>
            </w:r>
          </w:p>
        </w:tc>
        <w:tc>
          <w:tcPr>
            <w:tcW w:w="1417" w:type="dxa"/>
            <w:vAlign w:val="center"/>
          </w:tcPr>
          <w:p w14:paraId="50133B4D">
            <w:pPr>
              <w:pStyle w:val="56"/>
              <w:ind w:firstLine="0" w:firstLineChars="0"/>
              <w:rPr>
                <w:rFonts w:hint="eastAsia" w:ascii="宋体" w:hAnsi="宋体"/>
                <w:sz w:val="18"/>
              </w:rPr>
            </w:pPr>
            <w:r>
              <w:rPr>
                <w:rFonts w:hint="eastAsia" w:ascii="宋体" w:hAnsi="宋体"/>
                <w:sz w:val="18"/>
              </w:rPr>
              <w:t>温阳固本</w:t>
            </w:r>
          </w:p>
        </w:tc>
        <w:tc>
          <w:tcPr>
            <w:tcW w:w="1598" w:type="dxa"/>
            <w:vAlign w:val="center"/>
          </w:tcPr>
          <w:p w14:paraId="0CD6DCDB">
            <w:pPr>
              <w:pStyle w:val="56"/>
              <w:ind w:firstLine="0" w:firstLineChars="0"/>
              <w:rPr>
                <w:rFonts w:hint="eastAsia" w:ascii="宋体" w:hAnsi="宋体"/>
                <w:sz w:val="18"/>
              </w:rPr>
            </w:pPr>
            <w:r>
              <w:rPr>
                <w:rFonts w:hint="eastAsia" w:ascii="宋体" w:hAnsi="宋体"/>
                <w:sz w:val="18"/>
              </w:rPr>
              <w:t>温和甘温类食药物质</w:t>
            </w:r>
          </w:p>
        </w:tc>
        <w:tc>
          <w:tcPr>
            <w:tcW w:w="1334" w:type="dxa"/>
            <w:vAlign w:val="center"/>
          </w:tcPr>
          <w:p w14:paraId="29E375E8">
            <w:pPr>
              <w:pStyle w:val="56"/>
              <w:ind w:firstLine="0" w:firstLineChars="0"/>
              <w:rPr>
                <w:rFonts w:hint="eastAsia" w:ascii="宋体" w:hAnsi="宋体"/>
                <w:sz w:val="18"/>
              </w:rPr>
            </w:pPr>
            <w:r>
              <w:rPr>
                <w:rFonts w:hint="eastAsia" w:ascii="宋体" w:hAnsi="宋体"/>
                <w:sz w:val="18"/>
              </w:rPr>
              <w:t>生冷寒凉类食药物质</w:t>
            </w:r>
          </w:p>
        </w:tc>
        <w:tc>
          <w:tcPr>
            <w:tcW w:w="1334" w:type="dxa"/>
            <w:vAlign w:val="center"/>
          </w:tcPr>
          <w:p w14:paraId="162F0F8A">
            <w:pPr>
              <w:pStyle w:val="56"/>
              <w:ind w:firstLine="0" w:firstLineChars="0"/>
              <w:rPr>
                <w:rFonts w:hint="eastAsia" w:ascii="宋体" w:hAnsi="宋体"/>
                <w:sz w:val="18"/>
              </w:rPr>
            </w:pPr>
            <w:r>
              <w:rPr>
                <w:rFonts w:hint="eastAsia" w:ascii="宋体" w:hAnsi="宋体"/>
                <w:sz w:val="18"/>
              </w:rPr>
              <w:t>温热类食药物质≤5%</w:t>
            </w:r>
          </w:p>
        </w:tc>
        <w:tc>
          <w:tcPr>
            <w:tcW w:w="1334" w:type="dxa"/>
            <w:vAlign w:val="center"/>
          </w:tcPr>
          <w:p w14:paraId="2673D4D6">
            <w:pPr>
              <w:pStyle w:val="56"/>
              <w:ind w:firstLine="0" w:firstLineChars="0"/>
              <w:rPr>
                <w:rFonts w:hint="eastAsia" w:ascii="宋体" w:hAnsi="宋体"/>
                <w:sz w:val="18"/>
              </w:rPr>
            </w:pPr>
            <w:r>
              <w:rPr>
                <w:rFonts w:hint="eastAsia" w:ascii="宋体" w:hAnsi="宋体"/>
                <w:sz w:val="18"/>
              </w:rPr>
              <w:t>桂圆、生姜、红枣、核桃仁</w:t>
            </w:r>
          </w:p>
        </w:tc>
        <w:tc>
          <w:tcPr>
            <w:tcW w:w="1334" w:type="dxa"/>
            <w:vAlign w:val="center"/>
          </w:tcPr>
          <w:p w14:paraId="44B8D5F5">
            <w:pPr>
              <w:pStyle w:val="56"/>
              <w:ind w:firstLine="0" w:firstLineChars="0"/>
              <w:rPr>
                <w:rFonts w:hint="eastAsia" w:ascii="宋体" w:hAnsi="宋体"/>
                <w:sz w:val="18"/>
              </w:rPr>
            </w:pPr>
            <w:r>
              <w:rPr>
                <w:rFonts w:hint="eastAsia" w:ascii="宋体" w:hAnsi="宋体"/>
                <w:sz w:val="18"/>
              </w:rPr>
              <w:t>阴虚火旺、易上火人群慎用</w:t>
            </w:r>
          </w:p>
        </w:tc>
      </w:tr>
      <w:tr w14:paraId="211E2A5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c>
          <w:tcPr>
            <w:tcW w:w="983" w:type="dxa"/>
            <w:vAlign w:val="center"/>
          </w:tcPr>
          <w:p w14:paraId="2B033342">
            <w:pPr>
              <w:pStyle w:val="56"/>
              <w:ind w:firstLine="0" w:firstLineChars="0"/>
              <w:rPr>
                <w:rFonts w:hint="eastAsia" w:ascii="宋体" w:hAnsi="宋体"/>
                <w:sz w:val="18"/>
              </w:rPr>
            </w:pPr>
            <w:r>
              <w:rPr>
                <w:rFonts w:hint="eastAsia" w:ascii="宋体" w:hAnsi="宋体"/>
                <w:sz w:val="18"/>
              </w:rPr>
              <w:t>阴虚质</w:t>
            </w:r>
          </w:p>
        </w:tc>
        <w:tc>
          <w:tcPr>
            <w:tcW w:w="1417" w:type="dxa"/>
            <w:vAlign w:val="center"/>
          </w:tcPr>
          <w:p w14:paraId="34D22C2B">
            <w:pPr>
              <w:pStyle w:val="56"/>
              <w:ind w:firstLine="0" w:firstLineChars="0"/>
              <w:rPr>
                <w:rFonts w:hint="eastAsia" w:ascii="宋体" w:hAnsi="宋体"/>
                <w:sz w:val="18"/>
              </w:rPr>
            </w:pPr>
            <w:r>
              <w:rPr>
                <w:rFonts w:hint="eastAsia" w:ascii="宋体" w:hAnsi="宋体"/>
                <w:sz w:val="18"/>
              </w:rPr>
              <w:t>养阴润燥</w:t>
            </w:r>
          </w:p>
        </w:tc>
        <w:tc>
          <w:tcPr>
            <w:tcW w:w="1598" w:type="dxa"/>
            <w:vAlign w:val="center"/>
          </w:tcPr>
          <w:p w14:paraId="7DF53925">
            <w:pPr>
              <w:pStyle w:val="56"/>
              <w:ind w:firstLine="0" w:firstLineChars="0"/>
              <w:rPr>
                <w:rFonts w:hint="eastAsia" w:ascii="宋体" w:hAnsi="宋体"/>
                <w:sz w:val="18"/>
              </w:rPr>
            </w:pPr>
            <w:r>
              <w:rPr>
                <w:rFonts w:hint="eastAsia" w:ascii="宋体" w:hAnsi="宋体"/>
                <w:sz w:val="18"/>
              </w:rPr>
              <w:t>甘凉濡润类食药物质</w:t>
            </w:r>
          </w:p>
        </w:tc>
        <w:tc>
          <w:tcPr>
            <w:tcW w:w="1334" w:type="dxa"/>
            <w:vAlign w:val="center"/>
          </w:tcPr>
          <w:p w14:paraId="439E443E">
            <w:pPr>
              <w:pStyle w:val="56"/>
              <w:ind w:firstLine="0" w:firstLineChars="0"/>
              <w:rPr>
                <w:rFonts w:hint="eastAsia" w:ascii="宋体" w:hAnsi="宋体"/>
                <w:sz w:val="18"/>
              </w:rPr>
            </w:pPr>
            <w:r>
              <w:rPr>
                <w:rFonts w:hint="eastAsia" w:ascii="宋体" w:hAnsi="宋体"/>
                <w:sz w:val="18"/>
              </w:rPr>
              <w:t>辛辣燥热、温燥动火食药物质</w:t>
            </w:r>
          </w:p>
        </w:tc>
        <w:tc>
          <w:tcPr>
            <w:tcW w:w="1334" w:type="dxa"/>
            <w:vAlign w:val="center"/>
          </w:tcPr>
          <w:p w14:paraId="29ACC57B">
            <w:pPr>
              <w:pStyle w:val="56"/>
              <w:ind w:firstLine="0" w:firstLineChars="0"/>
              <w:rPr>
                <w:rFonts w:hint="eastAsia" w:ascii="宋体" w:hAnsi="宋体"/>
                <w:sz w:val="18"/>
              </w:rPr>
            </w:pPr>
            <w:r>
              <w:rPr>
                <w:rFonts w:hint="eastAsia" w:ascii="宋体" w:hAnsi="宋体"/>
                <w:sz w:val="18"/>
              </w:rPr>
              <w:t>尽量不添加温热类食药物质</w:t>
            </w:r>
          </w:p>
        </w:tc>
        <w:tc>
          <w:tcPr>
            <w:tcW w:w="1334" w:type="dxa"/>
            <w:vAlign w:val="center"/>
          </w:tcPr>
          <w:p w14:paraId="6420DA0C">
            <w:pPr>
              <w:pStyle w:val="56"/>
              <w:ind w:firstLine="0" w:firstLineChars="0"/>
              <w:rPr>
                <w:rFonts w:hint="eastAsia" w:ascii="宋体" w:hAnsi="宋体"/>
                <w:sz w:val="18"/>
              </w:rPr>
            </w:pPr>
            <w:r>
              <w:rPr>
                <w:rFonts w:hint="eastAsia" w:ascii="宋体" w:hAnsi="宋体"/>
                <w:sz w:val="18"/>
              </w:rPr>
              <w:t>桑葚、玉竹、百合、麦冬</w:t>
            </w:r>
          </w:p>
        </w:tc>
        <w:tc>
          <w:tcPr>
            <w:tcW w:w="1334" w:type="dxa"/>
            <w:vAlign w:val="center"/>
          </w:tcPr>
          <w:p w14:paraId="5B59DA72">
            <w:pPr>
              <w:pStyle w:val="56"/>
              <w:ind w:firstLine="0" w:firstLineChars="0"/>
              <w:rPr>
                <w:rFonts w:hint="eastAsia" w:ascii="宋体" w:hAnsi="宋体"/>
                <w:sz w:val="18"/>
              </w:rPr>
            </w:pPr>
            <w:r>
              <w:rPr>
                <w:rFonts w:hint="eastAsia" w:ascii="宋体" w:hAnsi="宋体"/>
                <w:sz w:val="18"/>
              </w:rPr>
              <w:t>脾胃虚寒、大便稀溏人群少食</w:t>
            </w:r>
          </w:p>
        </w:tc>
      </w:tr>
      <w:tr w14:paraId="2093E39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c>
          <w:tcPr>
            <w:tcW w:w="983" w:type="dxa"/>
            <w:vAlign w:val="center"/>
          </w:tcPr>
          <w:p w14:paraId="1D4A5CA4">
            <w:pPr>
              <w:pStyle w:val="56"/>
              <w:ind w:firstLine="0" w:firstLineChars="0"/>
              <w:rPr>
                <w:rFonts w:hint="eastAsia" w:ascii="宋体" w:hAnsi="宋体"/>
                <w:sz w:val="18"/>
              </w:rPr>
            </w:pPr>
            <w:r>
              <w:rPr>
                <w:rFonts w:hint="eastAsia" w:ascii="宋体" w:hAnsi="宋体"/>
                <w:sz w:val="18"/>
              </w:rPr>
              <w:t>痰湿质</w:t>
            </w:r>
          </w:p>
        </w:tc>
        <w:tc>
          <w:tcPr>
            <w:tcW w:w="1417" w:type="dxa"/>
            <w:vAlign w:val="center"/>
          </w:tcPr>
          <w:p w14:paraId="48D0B2AE">
            <w:pPr>
              <w:pStyle w:val="56"/>
              <w:ind w:firstLine="0" w:firstLineChars="0"/>
              <w:rPr>
                <w:rFonts w:hint="eastAsia" w:ascii="宋体" w:hAnsi="宋体"/>
                <w:sz w:val="18"/>
              </w:rPr>
            </w:pPr>
            <w:r>
              <w:rPr>
                <w:rFonts w:hint="eastAsia" w:ascii="宋体" w:hAnsi="宋体"/>
                <w:sz w:val="18"/>
              </w:rPr>
              <w:t>健脾化痰</w:t>
            </w:r>
          </w:p>
        </w:tc>
        <w:tc>
          <w:tcPr>
            <w:tcW w:w="1598" w:type="dxa"/>
            <w:vAlign w:val="center"/>
          </w:tcPr>
          <w:p w14:paraId="09639268">
            <w:pPr>
              <w:pStyle w:val="56"/>
              <w:ind w:firstLine="0" w:firstLineChars="0"/>
              <w:rPr>
                <w:rFonts w:hint="eastAsia" w:ascii="宋体" w:hAnsi="宋体"/>
                <w:sz w:val="18"/>
              </w:rPr>
            </w:pPr>
            <w:r>
              <w:rPr>
                <w:rFonts w:hint="eastAsia" w:ascii="宋体" w:hAnsi="宋体"/>
                <w:sz w:val="18"/>
              </w:rPr>
              <w:t>清淡理气类食药物质</w:t>
            </w:r>
          </w:p>
        </w:tc>
        <w:tc>
          <w:tcPr>
            <w:tcW w:w="1334" w:type="dxa"/>
            <w:vAlign w:val="center"/>
          </w:tcPr>
          <w:p w14:paraId="4BF4676A">
            <w:pPr>
              <w:pStyle w:val="56"/>
              <w:ind w:firstLine="0" w:firstLineChars="0"/>
              <w:rPr>
                <w:rFonts w:hint="eastAsia" w:ascii="宋体" w:hAnsi="宋体"/>
                <w:sz w:val="18"/>
              </w:rPr>
            </w:pPr>
            <w:r>
              <w:rPr>
                <w:rFonts w:hint="eastAsia" w:ascii="宋体" w:hAnsi="宋体"/>
                <w:sz w:val="18"/>
              </w:rPr>
              <w:t>厚重高糖滋腻食药物质</w:t>
            </w:r>
          </w:p>
        </w:tc>
        <w:tc>
          <w:tcPr>
            <w:tcW w:w="1334" w:type="dxa"/>
            <w:vAlign w:val="center"/>
          </w:tcPr>
          <w:p w14:paraId="7A3019DB">
            <w:pPr>
              <w:pStyle w:val="56"/>
              <w:ind w:firstLine="0" w:firstLineChars="0"/>
              <w:rPr>
                <w:rFonts w:hint="eastAsia" w:ascii="宋体" w:hAnsi="宋体"/>
                <w:sz w:val="18"/>
              </w:rPr>
            </w:pPr>
            <w:r>
              <w:rPr>
                <w:rFonts w:hint="eastAsia" w:ascii="宋体" w:hAnsi="宋体"/>
                <w:sz w:val="18"/>
              </w:rPr>
              <w:t>总糖≤45%</w:t>
            </w:r>
          </w:p>
        </w:tc>
        <w:tc>
          <w:tcPr>
            <w:tcW w:w="1334" w:type="dxa"/>
            <w:vAlign w:val="center"/>
          </w:tcPr>
          <w:p w14:paraId="225CEA49">
            <w:pPr>
              <w:pStyle w:val="56"/>
              <w:ind w:firstLine="0" w:firstLineChars="0"/>
              <w:rPr>
                <w:rFonts w:hint="eastAsia" w:ascii="宋体" w:hAnsi="宋体"/>
                <w:sz w:val="18"/>
              </w:rPr>
            </w:pPr>
            <w:r>
              <w:rPr>
                <w:rFonts w:hint="eastAsia" w:ascii="宋体" w:hAnsi="宋体"/>
                <w:sz w:val="18"/>
              </w:rPr>
              <w:t>茯苓、陈皮、炒薏米、山楂</w:t>
            </w:r>
          </w:p>
        </w:tc>
        <w:tc>
          <w:tcPr>
            <w:tcW w:w="1334" w:type="dxa"/>
            <w:vAlign w:val="center"/>
          </w:tcPr>
          <w:p w14:paraId="6194B295">
            <w:pPr>
              <w:pStyle w:val="56"/>
              <w:ind w:firstLine="0" w:firstLineChars="0"/>
              <w:rPr>
                <w:rFonts w:hint="eastAsia" w:ascii="宋体" w:hAnsi="宋体"/>
                <w:sz w:val="18"/>
              </w:rPr>
            </w:pPr>
            <w:r>
              <w:rPr>
                <w:rFonts w:hint="eastAsia" w:ascii="宋体" w:hAnsi="宋体"/>
                <w:sz w:val="18"/>
              </w:rPr>
              <w:t>糖尿病人群谨慎食用</w:t>
            </w:r>
          </w:p>
        </w:tc>
      </w:tr>
      <w:tr w14:paraId="74FC63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c>
          <w:tcPr>
            <w:tcW w:w="983" w:type="dxa"/>
            <w:vAlign w:val="center"/>
          </w:tcPr>
          <w:p w14:paraId="648EA2B8">
            <w:pPr>
              <w:pStyle w:val="56"/>
              <w:ind w:firstLine="0" w:firstLineChars="0"/>
              <w:rPr>
                <w:rFonts w:hint="eastAsia" w:ascii="宋体" w:hAnsi="宋体"/>
                <w:sz w:val="18"/>
              </w:rPr>
            </w:pPr>
            <w:r>
              <w:rPr>
                <w:rFonts w:hint="eastAsia" w:ascii="宋体" w:hAnsi="宋体"/>
                <w:sz w:val="18"/>
              </w:rPr>
              <w:t>湿热质</w:t>
            </w:r>
          </w:p>
        </w:tc>
        <w:tc>
          <w:tcPr>
            <w:tcW w:w="1417" w:type="dxa"/>
            <w:vAlign w:val="center"/>
          </w:tcPr>
          <w:p w14:paraId="4F0553A5">
            <w:pPr>
              <w:pStyle w:val="56"/>
              <w:ind w:firstLine="0" w:firstLineChars="0"/>
              <w:rPr>
                <w:rFonts w:hint="eastAsia" w:ascii="宋体" w:hAnsi="宋体"/>
                <w:sz w:val="18"/>
              </w:rPr>
            </w:pPr>
            <w:r>
              <w:rPr>
                <w:rFonts w:hint="eastAsia" w:ascii="宋体" w:hAnsi="宋体"/>
                <w:sz w:val="18"/>
              </w:rPr>
              <w:t>清热利湿</w:t>
            </w:r>
          </w:p>
        </w:tc>
        <w:tc>
          <w:tcPr>
            <w:tcW w:w="1598" w:type="dxa"/>
            <w:vAlign w:val="center"/>
          </w:tcPr>
          <w:p w14:paraId="1A66C2E0">
            <w:pPr>
              <w:pStyle w:val="56"/>
              <w:ind w:firstLine="0" w:firstLineChars="0"/>
              <w:rPr>
                <w:rFonts w:hint="eastAsia" w:ascii="宋体" w:hAnsi="宋体"/>
                <w:sz w:val="18"/>
              </w:rPr>
            </w:pPr>
            <w:r>
              <w:rPr>
                <w:rFonts w:hint="eastAsia" w:ascii="宋体" w:hAnsi="宋体"/>
                <w:sz w:val="18"/>
              </w:rPr>
              <w:t>轻清淡渗类食药物质</w:t>
            </w:r>
          </w:p>
        </w:tc>
        <w:tc>
          <w:tcPr>
            <w:tcW w:w="1334" w:type="dxa"/>
            <w:vAlign w:val="center"/>
          </w:tcPr>
          <w:p w14:paraId="734ECE5C">
            <w:pPr>
              <w:pStyle w:val="56"/>
              <w:ind w:firstLine="0" w:firstLineChars="0"/>
              <w:rPr>
                <w:rFonts w:hint="eastAsia" w:ascii="宋体" w:hAnsi="宋体"/>
                <w:sz w:val="18"/>
              </w:rPr>
            </w:pPr>
            <w:r>
              <w:rPr>
                <w:rFonts w:hint="eastAsia" w:ascii="宋体" w:hAnsi="宋体"/>
                <w:sz w:val="18"/>
              </w:rPr>
              <w:t>温热补益、甜腻食药物质</w:t>
            </w:r>
          </w:p>
        </w:tc>
        <w:tc>
          <w:tcPr>
            <w:tcW w:w="1334" w:type="dxa"/>
            <w:vAlign w:val="center"/>
          </w:tcPr>
          <w:p w14:paraId="314F8819">
            <w:pPr>
              <w:pStyle w:val="56"/>
              <w:ind w:firstLine="0" w:firstLineChars="0"/>
              <w:rPr>
                <w:rFonts w:hint="eastAsia" w:ascii="宋体" w:hAnsi="宋体"/>
                <w:sz w:val="18"/>
              </w:rPr>
            </w:pPr>
            <w:r>
              <w:rPr>
                <w:rFonts w:hint="eastAsia" w:ascii="宋体" w:hAnsi="宋体"/>
                <w:sz w:val="18"/>
              </w:rPr>
              <w:t>总糖≤45%</w:t>
            </w:r>
          </w:p>
        </w:tc>
        <w:tc>
          <w:tcPr>
            <w:tcW w:w="1334" w:type="dxa"/>
            <w:vAlign w:val="center"/>
          </w:tcPr>
          <w:p w14:paraId="5324F77B">
            <w:pPr>
              <w:pStyle w:val="56"/>
              <w:ind w:firstLine="0" w:firstLineChars="0"/>
              <w:rPr>
                <w:rFonts w:hint="eastAsia" w:ascii="宋体" w:hAnsi="宋体"/>
                <w:sz w:val="18"/>
              </w:rPr>
            </w:pPr>
            <w:r>
              <w:rPr>
                <w:rFonts w:hint="eastAsia" w:ascii="宋体" w:hAnsi="宋体"/>
                <w:sz w:val="18"/>
              </w:rPr>
              <w:t>赤小豆、冬瓜籽、菊花、荷叶</w:t>
            </w:r>
          </w:p>
        </w:tc>
        <w:tc>
          <w:tcPr>
            <w:tcW w:w="1334" w:type="dxa"/>
            <w:vAlign w:val="center"/>
          </w:tcPr>
          <w:p w14:paraId="4C36FFB3">
            <w:pPr>
              <w:pStyle w:val="56"/>
              <w:ind w:firstLine="0" w:firstLineChars="0"/>
              <w:rPr>
                <w:rFonts w:hint="eastAsia" w:ascii="宋体" w:hAnsi="宋体"/>
                <w:sz w:val="18"/>
              </w:rPr>
            </w:pPr>
            <w:r>
              <w:rPr>
                <w:rFonts w:hint="eastAsia" w:ascii="宋体" w:hAnsi="宋体"/>
                <w:sz w:val="18"/>
              </w:rPr>
              <w:t>脾胃虚寒人群少食</w:t>
            </w:r>
          </w:p>
        </w:tc>
      </w:tr>
      <w:tr w14:paraId="0500B1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c>
          <w:tcPr>
            <w:tcW w:w="983" w:type="dxa"/>
            <w:vAlign w:val="center"/>
          </w:tcPr>
          <w:p w14:paraId="119326AA">
            <w:pPr>
              <w:pStyle w:val="56"/>
              <w:ind w:firstLine="0" w:firstLineChars="0"/>
              <w:rPr>
                <w:rFonts w:hint="eastAsia" w:ascii="宋体" w:hAnsi="宋体"/>
                <w:sz w:val="18"/>
              </w:rPr>
            </w:pPr>
            <w:r>
              <w:rPr>
                <w:rFonts w:hint="eastAsia" w:ascii="宋体" w:hAnsi="宋体"/>
                <w:sz w:val="18"/>
              </w:rPr>
              <w:t>血瘀质</w:t>
            </w:r>
          </w:p>
        </w:tc>
        <w:tc>
          <w:tcPr>
            <w:tcW w:w="1417" w:type="dxa"/>
            <w:vAlign w:val="center"/>
          </w:tcPr>
          <w:p w14:paraId="553F0306">
            <w:pPr>
              <w:pStyle w:val="56"/>
              <w:ind w:firstLine="0" w:firstLineChars="0"/>
              <w:rPr>
                <w:rFonts w:hint="eastAsia" w:ascii="宋体" w:hAnsi="宋体"/>
                <w:sz w:val="18"/>
              </w:rPr>
            </w:pPr>
            <w:r>
              <w:rPr>
                <w:rFonts w:hint="eastAsia" w:ascii="宋体" w:hAnsi="宋体"/>
                <w:sz w:val="18"/>
              </w:rPr>
              <w:t>行气和血</w:t>
            </w:r>
          </w:p>
        </w:tc>
        <w:tc>
          <w:tcPr>
            <w:tcW w:w="1598" w:type="dxa"/>
            <w:vAlign w:val="center"/>
          </w:tcPr>
          <w:p w14:paraId="6D63F104">
            <w:pPr>
              <w:pStyle w:val="56"/>
              <w:ind w:firstLine="0" w:firstLineChars="0"/>
              <w:rPr>
                <w:rFonts w:hint="eastAsia" w:ascii="宋体" w:hAnsi="宋体"/>
                <w:sz w:val="18"/>
              </w:rPr>
            </w:pPr>
            <w:r>
              <w:rPr>
                <w:rFonts w:hint="eastAsia" w:ascii="宋体" w:hAnsi="宋体"/>
                <w:sz w:val="18"/>
              </w:rPr>
              <w:t>平和活血类食药物质</w:t>
            </w:r>
          </w:p>
        </w:tc>
        <w:tc>
          <w:tcPr>
            <w:tcW w:w="1334" w:type="dxa"/>
            <w:vAlign w:val="center"/>
          </w:tcPr>
          <w:p w14:paraId="2E221F9D">
            <w:pPr>
              <w:pStyle w:val="56"/>
              <w:ind w:firstLine="0" w:firstLineChars="0"/>
              <w:rPr>
                <w:rFonts w:hint="eastAsia" w:ascii="宋体" w:hAnsi="宋体"/>
                <w:sz w:val="18"/>
              </w:rPr>
            </w:pPr>
            <w:r>
              <w:rPr>
                <w:rFonts w:hint="eastAsia" w:ascii="宋体" w:hAnsi="宋体"/>
                <w:sz w:val="18"/>
              </w:rPr>
              <w:t>烈性破血食药物质</w:t>
            </w:r>
          </w:p>
        </w:tc>
        <w:tc>
          <w:tcPr>
            <w:tcW w:w="1334" w:type="dxa"/>
            <w:vAlign w:val="center"/>
          </w:tcPr>
          <w:p w14:paraId="6E2398EF">
            <w:pPr>
              <w:pStyle w:val="56"/>
              <w:ind w:firstLine="0" w:firstLineChars="0"/>
              <w:rPr>
                <w:rFonts w:hint="eastAsia" w:ascii="宋体" w:hAnsi="宋体"/>
                <w:sz w:val="18"/>
              </w:rPr>
            </w:pPr>
            <w:r>
              <w:rPr>
                <w:rFonts w:hint="eastAsia" w:ascii="宋体" w:hAnsi="宋体"/>
                <w:sz w:val="18"/>
              </w:rPr>
              <w:t>活血类食药物质≤20%</w:t>
            </w:r>
          </w:p>
        </w:tc>
        <w:tc>
          <w:tcPr>
            <w:tcW w:w="1334" w:type="dxa"/>
            <w:vAlign w:val="center"/>
          </w:tcPr>
          <w:p w14:paraId="66AEECED">
            <w:pPr>
              <w:pStyle w:val="56"/>
              <w:ind w:firstLine="0" w:firstLineChars="0"/>
              <w:rPr>
                <w:rFonts w:hint="eastAsia" w:ascii="宋体" w:hAnsi="宋体"/>
                <w:sz w:val="18"/>
              </w:rPr>
            </w:pPr>
            <w:r>
              <w:rPr>
                <w:rFonts w:hint="eastAsia" w:ascii="宋体" w:hAnsi="宋体"/>
                <w:sz w:val="18"/>
              </w:rPr>
              <w:t>山楂、玫瑰花</w:t>
            </w:r>
          </w:p>
        </w:tc>
        <w:tc>
          <w:tcPr>
            <w:tcW w:w="1334" w:type="dxa"/>
            <w:vAlign w:val="center"/>
          </w:tcPr>
          <w:p w14:paraId="5FC433B6">
            <w:pPr>
              <w:pStyle w:val="56"/>
              <w:ind w:firstLine="0" w:firstLineChars="0"/>
              <w:rPr>
                <w:rFonts w:hint="eastAsia" w:ascii="宋体" w:hAnsi="宋体"/>
                <w:sz w:val="18"/>
              </w:rPr>
            </w:pPr>
            <w:r>
              <w:rPr>
                <w:rFonts w:hint="eastAsia" w:ascii="宋体" w:hAnsi="宋体"/>
                <w:sz w:val="18"/>
              </w:rPr>
              <w:t>孕妇、经期女性、凝血障碍人群慎用</w:t>
            </w:r>
          </w:p>
        </w:tc>
      </w:tr>
      <w:tr w14:paraId="1793F9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c>
          <w:tcPr>
            <w:tcW w:w="983" w:type="dxa"/>
            <w:vAlign w:val="center"/>
          </w:tcPr>
          <w:p w14:paraId="06A164B4">
            <w:pPr>
              <w:pStyle w:val="56"/>
              <w:ind w:firstLine="0" w:firstLineChars="0"/>
              <w:rPr>
                <w:rFonts w:hint="eastAsia" w:ascii="宋体" w:hAnsi="宋体"/>
                <w:sz w:val="18"/>
              </w:rPr>
            </w:pPr>
            <w:r>
              <w:rPr>
                <w:rFonts w:hint="eastAsia" w:ascii="宋体" w:hAnsi="宋体"/>
                <w:sz w:val="18"/>
              </w:rPr>
              <w:t>气郁质</w:t>
            </w:r>
          </w:p>
        </w:tc>
        <w:tc>
          <w:tcPr>
            <w:tcW w:w="1417" w:type="dxa"/>
            <w:vAlign w:val="center"/>
          </w:tcPr>
          <w:p w14:paraId="78A10309">
            <w:pPr>
              <w:pStyle w:val="56"/>
              <w:ind w:firstLine="0" w:firstLineChars="0"/>
              <w:rPr>
                <w:rFonts w:hint="eastAsia" w:ascii="宋体" w:hAnsi="宋体"/>
                <w:sz w:val="18"/>
              </w:rPr>
            </w:pPr>
            <w:r>
              <w:rPr>
                <w:rFonts w:hint="eastAsia" w:ascii="宋体" w:hAnsi="宋体"/>
                <w:sz w:val="18"/>
              </w:rPr>
              <w:t>疏肝解郁</w:t>
            </w:r>
          </w:p>
        </w:tc>
        <w:tc>
          <w:tcPr>
            <w:tcW w:w="1598" w:type="dxa"/>
            <w:vAlign w:val="center"/>
          </w:tcPr>
          <w:p w14:paraId="53FE7292">
            <w:pPr>
              <w:pStyle w:val="56"/>
              <w:ind w:firstLine="0" w:firstLineChars="0"/>
              <w:rPr>
                <w:rFonts w:hint="eastAsia" w:ascii="宋体" w:hAnsi="宋体"/>
                <w:sz w:val="18"/>
              </w:rPr>
            </w:pPr>
            <w:r>
              <w:rPr>
                <w:rFonts w:hint="eastAsia" w:ascii="宋体" w:hAnsi="宋体"/>
                <w:sz w:val="18"/>
              </w:rPr>
              <w:t>芳香行气类食药物质</w:t>
            </w:r>
          </w:p>
        </w:tc>
        <w:tc>
          <w:tcPr>
            <w:tcW w:w="1334" w:type="dxa"/>
            <w:vAlign w:val="center"/>
          </w:tcPr>
          <w:p w14:paraId="637E2015">
            <w:pPr>
              <w:pStyle w:val="56"/>
              <w:ind w:firstLine="0" w:firstLineChars="0"/>
              <w:rPr>
                <w:rFonts w:hint="eastAsia" w:ascii="宋体" w:hAnsi="宋体"/>
                <w:sz w:val="18"/>
              </w:rPr>
            </w:pPr>
            <w:r>
              <w:rPr>
                <w:rFonts w:hint="eastAsia" w:ascii="宋体" w:hAnsi="宋体"/>
                <w:sz w:val="18"/>
              </w:rPr>
              <w:t>厚重黏腻阻气食药物质</w:t>
            </w:r>
          </w:p>
        </w:tc>
        <w:tc>
          <w:tcPr>
            <w:tcW w:w="1334" w:type="dxa"/>
            <w:vAlign w:val="center"/>
          </w:tcPr>
          <w:p w14:paraId="78A1A5AF">
            <w:pPr>
              <w:pStyle w:val="56"/>
              <w:ind w:firstLine="0" w:firstLineChars="0"/>
              <w:rPr>
                <w:rFonts w:hint="eastAsia" w:ascii="宋体" w:hAnsi="宋体"/>
                <w:sz w:val="18"/>
              </w:rPr>
            </w:pPr>
            <w:r>
              <w:rPr>
                <w:rFonts w:hint="eastAsia" w:ascii="宋体" w:hAnsi="宋体"/>
                <w:sz w:val="18"/>
              </w:rPr>
              <w:t>黏腻类食药物质≤30%</w:t>
            </w:r>
          </w:p>
        </w:tc>
        <w:tc>
          <w:tcPr>
            <w:tcW w:w="1334" w:type="dxa"/>
            <w:vAlign w:val="center"/>
          </w:tcPr>
          <w:p w14:paraId="6C5E2587">
            <w:pPr>
              <w:pStyle w:val="56"/>
              <w:ind w:firstLine="0" w:firstLineChars="0"/>
              <w:rPr>
                <w:rFonts w:hint="eastAsia" w:ascii="宋体" w:hAnsi="宋体"/>
                <w:sz w:val="18"/>
              </w:rPr>
            </w:pPr>
            <w:r>
              <w:rPr>
                <w:rFonts w:hint="eastAsia" w:ascii="宋体" w:hAnsi="宋体"/>
                <w:sz w:val="18"/>
              </w:rPr>
              <w:t>玫瑰、陈皮、薄荷、佛手</w:t>
            </w:r>
          </w:p>
        </w:tc>
        <w:tc>
          <w:tcPr>
            <w:tcW w:w="1334" w:type="dxa"/>
            <w:vAlign w:val="center"/>
          </w:tcPr>
          <w:p w14:paraId="72D2AF17">
            <w:pPr>
              <w:pStyle w:val="56"/>
              <w:ind w:firstLine="0" w:firstLineChars="0"/>
              <w:rPr>
                <w:rFonts w:hint="eastAsia" w:ascii="宋体" w:hAnsi="宋体"/>
                <w:sz w:val="18"/>
              </w:rPr>
            </w:pPr>
            <w:r>
              <w:rPr>
                <w:rFonts w:hint="eastAsia" w:ascii="宋体" w:hAnsi="宋体"/>
                <w:sz w:val="18"/>
              </w:rPr>
              <w:t>重度气虚人群慎用</w:t>
            </w:r>
          </w:p>
        </w:tc>
      </w:tr>
      <w:tr w14:paraId="1CC7F2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c>
          <w:tcPr>
            <w:tcW w:w="983" w:type="dxa"/>
            <w:vAlign w:val="center"/>
          </w:tcPr>
          <w:p w14:paraId="22DFE522">
            <w:pPr>
              <w:pStyle w:val="56"/>
              <w:ind w:firstLine="0" w:firstLineChars="0"/>
              <w:rPr>
                <w:rFonts w:hint="eastAsia" w:ascii="宋体" w:hAnsi="宋体"/>
                <w:sz w:val="18"/>
              </w:rPr>
            </w:pPr>
            <w:r>
              <w:rPr>
                <w:rFonts w:hint="eastAsia" w:ascii="宋体" w:hAnsi="宋体"/>
                <w:sz w:val="18"/>
              </w:rPr>
              <w:t>特禀质</w:t>
            </w:r>
          </w:p>
        </w:tc>
        <w:tc>
          <w:tcPr>
            <w:tcW w:w="1417" w:type="dxa"/>
            <w:vAlign w:val="center"/>
          </w:tcPr>
          <w:p w14:paraId="0266024D">
            <w:pPr>
              <w:pStyle w:val="56"/>
              <w:ind w:firstLine="0" w:firstLineChars="0"/>
              <w:rPr>
                <w:rFonts w:hint="eastAsia" w:ascii="宋体" w:hAnsi="宋体"/>
                <w:sz w:val="18"/>
              </w:rPr>
            </w:pPr>
            <w:r>
              <w:rPr>
                <w:rFonts w:hint="eastAsia" w:ascii="宋体" w:hAnsi="宋体"/>
                <w:sz w:val="18"/>
              </w:rPr>
              <w:t>固表舒缓</w:t>
            </w:r>
          </w:p>
        </w:tc>
        <w:tc>
          <w:tcPr>
            <w:tcW w:w="1598" w:type="dxa"/>
            <w:vAlign w:val="center"/>
          </w:tcPr>
          <w:p w14:paraId="1E72F940">
            <w:pPr>
              <w:pStyle w:val="56"/>
              <w:ind w:firstLine="0" w:firstLineChars="0"/>
              <w:rPr>
                <w:rFonts w:hint="eastAsia" w:ascii="宋体" w:hAnsi="宋体"/>
                <w:sz w:val="18"/>
              </w:rPr>
            </w:pPr>
            <w:r>
              <w:rPr>
                <w:rFonts w:hint="eastAsia" w:ascii="宋体" w:hAnsi="宋体"/>
                <w:sz w:val="18"/>
              </w:rPr>
              <w:t>平和精简类食药物质</w:t>
            </w:r>
          </w:p>
        </w:tc>
        <w:tc>
          <w:tcPr>
            <w:tcW w:w="1334" w:type="dxa"/>
            <w:vAlign w:val="center"/>
          </w:tcPr>
          <w:p w14:paraId="3BD0C559">
            <w:pPr>
              <w:pStyle w:val="56"/>
              <w:ind w:firstLine="0" w:firstLineChars="0"/>
              <w:rPr>
                <w:rFonts w:hint="eastAsia" w:ascii="宋体" w:hAnsi="宋体"/>
                <w:sz w:val="18"/>
              </w:rPr>
            </w:pPr>
            <w:r>
              <w:rPr>
                <w:rFonts w:hint="eastAsia" w:ascii="宋体" w:hAnsi="宋体"/>
                <w:sz w:val="18"/>
              </w:rPr>
              <w:t>花粉、异种蛋白等高致敏食药物质</w:t>
            </w:r>
          </w:p>
        </w:tc>
        <w:tc>
          <w:tcPr>
            <w:tcW w:w="1334" w:type="dxa"/>
            <w:vAlign w:val="center"/>
          </w:tcPr>
          <w:p w14:paraId="532FC18B">
            <w:pPr>
              <w:pStyle w:val="56"/>
              <w:ind w:firstLine="0" w:firstLineChars="0"/>
              <w:rPr>
                <w:rFonts w:hint="eastAsia" w:ascii="宋体" w:hAnsi="宋体"/>
                <w:sz w:val="18"/>
              </w:rPr>
            </w:pPr>
            <w:r>
              <w:rPr>
                <w:rFonts w:hint="eastAsia" w:ascii="宋体" w:hAnsi="宋体"/>
                <w:sz w:val="18"/>
              </w:rPr>
              <w:t>配方食药物质控制在 8 种以内</w:t>
            </w:r>
          </w:p>
        </w:tc>
        <w:tc>
          <w:tcPr>
            <w:tcW w:w="1334" w:type="dxa"/>
            <w:vAlign w:val="center"/>
          </w:tcPr>
          <w:p w14:paraId="6A20E602">
            <w:pPr>
              <w:pStyle w:val="56"/>
              <w:ind w:firstLine="0" w:firstLineChars="0"/>
              <w:rPr>
                <w:rFonts w:hint="eastAsia" w:ascii="宋体" w:hAnsi="宋体"/>
                <w:sz w:val="18"/>
              </w:rPr>
            </w:pPr>
            <w:r>
              <w:rPr>
                <w:rFonts w:hint="eastAsia" w:ascii="宋体" w:hAnsi="宋体"/>
                <w:sz w:val="18"/>
              </w:rPr>
              <w:t>黄芪、山药、茯苓、甘草</w:t>
            </w:r>
          </w:p>
        </w:tc>
        <w:tc>
          <w:tcPr>
            <w:tcW w:w="1334" w:type="dxa"/>
            <w:vAlign w:val="center"/>
          </w:tcPr>
          <w:p w14:paraId="0B24C5E1">
            <w:pPr>
              <w:pStyle w:val="56"/>
              <w:ind w:firstLine="0" w:firstLineChars="0"/>
              <w:rPr>
                <w:rFonts w:hint="eastAsia" w:ascii="宋体" w:hAnsi="宋体"/>
                <w:sz w:val="18"/>
              </w:rPr>
            </w:pPr>
            <w:r>
              <w:rPr>
                <w:rFonts w:hint="eastAsia" w:ascii="宋体" w:hAnsi="宋体"/>
                <w:sz w:val="18"/>
              </w:rPr>
              <w:t>重度过敏人群谨慎食用</w:t>
            </w:r>
          </w:p>
        </w:tc>
      </w:tr>
      <w:tr w14:paraId="002CDE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c>
          <w:tcPr>
            <w:tcW w:w="9334" w:type="dxa"/>
            <w:gridSpan w:val="7"/>
            <w:tcBorders>
              <w:bottom w:val="single" w:color="auto" w:sz="8" w:space="0"/>
            </w:tcBorders>
            <w:vAlign w:val="center"/>
          </w:tcPr>
          <w:p w14:paraId="3DADEC77">
            <w:pPr>
              <w:pStyle w:val="180"/>
            </w:pPr>
            <w:r>
              <w:rPr>
                <w:rFonts w:hint="eastAsia"/>
              </w:rPr>
              <w:t>本附录为资料性参考，实际产品开发应基于原料检测数据、工艺验证结果和稳定性试验数据确定最终配方。</w:t>
            </w:r>
          </w:p>
          <w:p w14:paraId="54556945">
            <w:pPr>
              <w:pStyle w:val="180"/>
            </w:pPr>
            <w:r>
              <w:rPr>
                <w:rFonts w:hint="eastAsia"/>
              </w:rPr>
              <w:t>配方中含有人参的，应符合国家关于人参作为食药物质的使用范围和限量规定。</w:t>
            </w:r>
          </w:p>
          <w:p w14:paraId="6BB46650">
            <w:pPr>
              <w:pStyle w:val="180"/>
            </w:pPr>
            <w:r>
              <w:rPr>
                <w:rFonts w:hint="eastAsia"/>
              </w:rPr>
              <w:t>涉及地黄、麦冬、天冬、化橘红等2024年新增食药物质的配方，应关注国家公告中的使用要求。</w:t>
            </w:r>
          </w:p>
          <w:p w14:paraId="02C5FAA3">
            <w:pPr>
              <w:pStyle w:val="180"/>
            </w:pPr>
            <w:r>
              <w:rPr>
                <w:rFonts w:hint="eastAsia"/>
              </w:rPr>
              <w:t>儿童、孕期及哺乳期妇女、特殊疾病人群专用膏方，应在配方设计阶段单独评估全部原料的食用禁忌。</w:t>
            </w:r>
          </w:p>
        </w:tc>
      </w:tr>
    </w:tbl>
    <w:p w14:paraId="5453A569">
      <w:pPr>
        <w:pStyle w:val="56"/>
        <w:ind w:firstLine="0" w:firstLineChars="0"/>
      </w:pPr>
    </w:p>
    <w:p w14:paraId="27FD87CE">
      <w:pPr>
        <w:pStyle w:val="56"/>
        <w:ind w:firstLine="0" w:firstLineChars="0"/>
      </w:pPr>
    </w:p>
    <w:p w14:paraId="444FAB2C">
      <w:pPr>
        <w:pStyle w:val="56"/>
        <w:ind w:firstLine="0" w:firstLineChars="0"/>
      </w:pPr>
    </w:p>
    <w:p w14:paraId="3F669FCF">
      <w:pPr>
        <w:widowControl/>
        <w:adjustRightInd/>
        <w:spacing w:line="240" w:lineRule="auto"/>
        <w:jc w:val="left"/>
        <w:rPr>
          <w:rFonts w:ascii="Times New Roman" w:hAnsi="Times New Roman"/>
          <w:kern w:val="0"/>
          <w:szCs w:val="20"/>
        </w:rPr>
      </w:pPr>
      <w:r>
        <w:br w:type="page"/>
      </w:r>
    </w:p>
    <w:p w14:paraId="5F0DA675">
      <w:pPr>
        <w:pStyle w:val="76"/>
        <w:spacing w:after="120"/>
      </w:pPr>
      <w:r>
        <w:br w:type="textWrapping"/>
      </w:r>
      <w:bookmarkStart w:id="324" w:name="_Toc237513497"/>
      <w:bookmarkStart w:id="325" w:name="_Toc237513546"/>
      <w:bookmarkStart w:id="326" w:name="_Toc237254859"/>
      <w:bookmarkStart w:id="327" w:name="_Toc237351983"/>
      <w:bookmarkStart w:id="328" w:name="_Toc234420376"/>
      <w:bookmarkStart w:id="329" w:name="_Toc237349633"/>
      <w:bookmarkStart w:id="330" w:name="_Toc242438059"/>
      <w:r>
        <w:rPr>
          <w:rFonts w:hint="eastAsia"/>
        </w:rPr>
        <w:t>（资料性）</w:t>
      </w:r>
      <w:r>
        <w:br w:type="textWrapping"/>
      </w:r>
      <w:r>
        <w:rPr>
          <w:rFonts w:hint="eastAsia"/>
        </w:rPr>
        <w:t>食药物质膏方产品配方风险评估记录表</w:t>
      </w:r>
      <w:bookmarkEnd w:id="324"/>
      <w:bookmarkEnd w:id="325"/>
      <w:bookmarkEnd w:id="326"/>
      <w:bookmarkEnd w:id="327"/>
      <w:bookmarkEnd w:id="328"/>
      <w:bookmarkEnd w:id="329"/>
      <w:bookmarkEnd w:id="330"/>
    </w:p>
    <w:p w14:paraId="29B7C3AD">
      <w:pPr>
        <w:pStyle w:val="56"/>
        <w:ind w:firstLine="420"/>
      </w:pPr>
    </w:p>
    <w:p w14:paraId="09DA9047">
      <w:pPr>
        <w:pStyle w:val="78"/>
        <w:spacing w:before="120" w:after="120"/>
      </w:pPr>
      <w:bookmarkStart w:id="331" w:name="_Toc242438060"/>
      <w:bookmarkStart w:id="332" w:name="_Toc234420377"/>
      <w:bookmarkStart w:id="333" w:name="_Toc237513547"/>
      <w:bookmarkStart w:id="334" w:name="_Toc237349634"/>
      <w:bookmarkStart w:id="335" w:name="_Toc237351984"/>
      <w:bookmarkStart w:id="336" w:name="_Toc237254860"/>
      <w:bookmarkStart w:id="337" w:name="_Toc237513498"/>
      <w:r>
        <w:rPr>
          <w:rFonts w:hint="eastAsia"/>
        </w:rPr>
        <w:t>基础信息</w:t>
      </w:r>
      <w:bookmarkEnd w:id="331"/>
      <w:bookmarkEnd w:id="332"/>
      <w:bookmarkEnd w:id="333"/>
      <w:bookmarkEnd w:id="334"/>
      <w:bookmarkEnd w:id="335"/>
      <w:bookmarkEnd w:id="336"/>
      <w:bookmarkEnd w:id="337"/>
    </w:p>
    <w:p w14:paraId="20DDB1C3">
      <w:pPr>
        <w:pStyle w:val="56"/>
        <w:ind w:firstLine="420"/>
      </w:pPr>
      <w:r>
        <w:rPr>
          <w:rFonts w:hint="eastAsia"/>
        </w:rPr>
        <w:t>产品名称、适配体质、全部食药物质原料清单、开发批次。</w:t>
      </w:r>
    </w:p>
    <w:p w14:paraId="73F941A1">
      <w:pPr>
        <w:pStyle w:val="78"/>
        <w:spacing w:before="120" w:after="120"/>
      </w:pPr>
      <w:bookmarkStart w:id="338" w:name="_Toc234420378"/>
      <w:bookmarkStart w:id="339" w:name="_Toc237254861"/>
      <w:bookmarkStart w:id="340" w:name="_Toc242438061"/>
      <w:bookmarkStart w:id="341" w:name="_Toc237349635"/>
      <w:bookmarkStart w:id="342" w:name="_Toc237513499"/>
      <w:bookmarkStart w:id="343" w:name="_Toc237513548"/>
      <w:bookmarkStart w:id="344" w:name="_Toc237351985"/>
      <w:r>
        <w:rPr>
          <w:rFonts w:hint="eastAsia"/>
        </w:rPr>
        <w:t>风险评估维度</w:t>
      </w:r>
      <w:bookmarkEnd w:id="338"/>
      <w:bookmarkEnd w:id="339"/>
      <w:bookmarkEnd w:id="340"/>
      <w:bookmarkEnd w:id="341"/>
      <w:bookmarkEnd w:id="342"/>
      <w:bookmarkEnd w:id="343"/>
      <w:bookmarkEnd w:id="344"/>
    </w:p>
    <w:p w14:paraId="3C57BBBE">
      <w:pPr>
        <w:pStyle w:val="56"/>
        <w:ind w:firstLine="420"/>
      </w:pPr>
      <w:r>
        <w:rPr>
          <w:rFonts w:hint="eastAsia"/>
        </w:rPr>
        <w:t>加工稳定性风险、人群耐受风险、长期食用体质风险、致敏风险。</w:t>
      </w:r>
    </w:p>
    <w:p w14:paraId="0CCA446A">
      <w:pPr>
        <w:pStyle w:val="78"/>
        <w:spacing w:before="120" w:after="120"/>
      </w:pPr>
      <w:bookmarkStart w:id="345" w:name="_Toc237351986"/>
      <w:bookmarkStart w:id="346" w:name="_Toc237254862"/>
      <w:bookmarkStart w:id="347" w:name="_Toc237349636"/>
      <w:bookmarkStart w:id="348" w:name="_Toc237513549"/>
      <w:bookmarkStart w:id="349" w:name="_Toc234420379"/>
      <w:bookmarkStart w:id="350" w:name="_Toc242438062"/>
      <w:bookmarkStart w:id="351" w:name="_Toc237513500"/>
      <w:r>
        <w:rPr>
          <w:rFonts w:hint="eastAsia"/>
        </w:rPr>
        <w:t>风险分级</w:t>
      </w:r>
      <w:bookmarkEnd w:id="345"/>
      <w:bookmarkEnd w:id="346"/>
      <w:bookmarkEnd w:id="347"/>
      <w:bookmarkEnd w:id="348"/>
      <w:bookmarkEnd w:id="349"/>
      <w:bookmarkEnd w:id="350"/>
      <w:bookmarkEnd w:id="351"/>
    </w:p>
    <w:p w14:paraId="46AF488F">
      <w:pPr>
        <w:pStyle w:val="56"/>
        <w:ind w:firstLine="420"/>
        <w:rPr>
          <w:rFonts w:ascii="黑体" w:eastAsia="黑体"/>
          <w:kern w:val="21"/>
        </w:rPr>
      </w:pPr>
      <w:r>
        <w:t>分为低、中、高三个等级。各维度的分级判定标准由研发机构根据产品特点自行确定。</w:t>
      </w:r>
    </w:p>
    <w:p w14:paraId="4D7F7CAD">
      <w:pPr>
        <w:pStyle w:val="78"/>
        <w:spacing w:before="120" w:after="120"/>
      </w:pPr>
      <w:bookmarkStart w:id="352" w:name="_Toc237349637"/>
      <w:bookmarkStart w:id="353" w:name="_Toc237513550"/>
      <w:bookmarkStart w:id="354" w:name="_Toc234420380"/>
      <w:bookmarkStart w:id="355" w:name="_Toc237254863"/>
      <w:bookmarkStart w:id="356" w:name="_Toc242438063"/>
      <w:bookmarkStart w:id="357" w:name="_Toc237351987"/>
      <w:bookmarkStart w:id="358" w:name="_Toc237513501"/>
      <w:r>
        <w:rPr>
          <w:rFonts w:hint="eastAsia"/>
        </w:rPr>
        <w:t>记录内容</w:t>
      </w:r>
      <w:bookmarkEnd w:id="352"/>
      <w:bookmarkEnd w:id="353"/>
      <w:bookmarkEnd w:id="354"/>
      <w:bookmarkEnd w:id="355"/>
      <w:bookmarkEnd w:id="356"/>
      <w:bookmarkEnd w:id="357"/>
      <w:bookmarkEnd w:id="358"/>
    </w:p>
    <w:p w14:paraId="2EDED3D0">
      <w:pPr>
        <w:pStyle w:val="56"/>
        <w:ind w:firstLine="420"/>
      </w:pPr>
      <w:r>
        <w:rPr>
          <w:rFonts w:hint="eastAsia"/>
        </w:rPr>
        <w:t>风险现象、产生原因、食药物质配方优化调整方案、复核结果、评估人、日期。</w:t>
      </w:r>
    </w:p>
    <w:bookmarkEnd w:id="316"/>
    <w:p w14:paraId="357099AC">
      <w:pPr>
        <w:pStyle w:val="56"/>
        <w:ind w:firstLine="0" w:firstLineChars="0"/>
        <w:jc w:val="center"/>
      </w:pPr>
      <w:bookmarkStart w:id="359" w:name="BookMark8"/>
      <w:r>
        <w:rPr>
          <w:rFonts w:hint="eastAsia"/>
        </w:rPr>
        <w:drawing>
          <wp:inline distT="0" distB="0" distL="0" distR="0">
            <wp:extent cx="1485900" cy="317500"/>
            <wp:effectExtent l="0" t="0" r="0" b="6350"/>
            <wp:docPr id="1390565684" name="图片 3"/>
            <wp:cNvGraphicFramePr/>
            <a:graphic xmlns:a="http://schemas.openxmlformats.org/drawingml/2006/main">
              <a:graphicData uri="http://schemas.openxmlformats.org/drawingml/2006/picture">
                <pic:pic xmlns:pic="http://schemas.openxmlformats.org/drawingml/2006/picture">
                  <pic:nvPicPr>
                    <pic:cNvPr id="1390565684" name="图片 3"/>
                    <pic:cNvPicPr/>
                  </pic:nvPicPr>
                  <pic:blipFill>
                    <a:blip r:embed="rId28">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359"/>
    </w:p>
    <w:sectPr>
      <w:headerReference r:id="rId23" w:type="default"/>
      <w:footerReference r:id="rId25" w:type="default"/>
      <w:headerReference r:id="rId24" w:type="even"/>
      <w:footerReference r:id="rId26" w:type="even"/>
      <w:pgSz w:w="11906" w:h="16838"/>
      <w:pgMar w:top="1928" w:right="1134" w:bottom="1134" w:left="1134" w:header="1418" w:footer="1134" w:gutter="284"/>
      <w:cols w:space="425" w:num="1"/>
      <w:formProt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969AF8">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B3D216">
    <w:pPr>
      <w:pStyle w:val="17"/>
    </w:pPr>
    <w:r>
      <w:fldChar w:fldCharType="begin"/>
    </w:r>
    <w:r>
      <w:instrText xml:space="preserve">PAGE   \* MERGEFORMAT</w:instrText>
    </w:r>
    <w:r>
      <w:fldChar w:fldCharType="separate"/>
    </w:r>
    <w:r>
      <w:rPr>
        <w:lang w:val="zh-CN"/>
      </w:rPr>
      <w:t>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2C62D0">
    <w:pPr>
      <w:pStyle w:val="17"/>
      <w:ind w:right="720"/>
      <w:jc w:val="both"/>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7D2D28">
    <w:pPr>
      <w:pStyle w:val="52"/>
    </w:pPr>
    <w:r>
      <w:fldChar w:fldCharType="begin"/>
    </w:r>
    <w:r>
      <w:instrText xml:space="preserve">PAGE   \* MERGEFORMAT</w:instrText>
    </w:r>
    <w:r>
      <w:fldChar w:fldCharType="separate"/>
    </w:r>
    <w:r>
      <w:rPr>
        <w:lang w:val="zh-CN"/>
      </w:rPr>
      <w:t>1</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EF2931">
    <w:pPr>
      <w:pStyle w:val="51"/>
    </w:pPr>
    <w:r>
      <w:fldChar w:fldCharType="begin"/>
    </w:r>
    <w:r>
      <w:instrText xml:space="preserve"> PAGE   \* MERGEFORMAT \* MERGEFORMAT </w:instrText>
    </w:r>
    <w:r>
      <w:fldChar w:fldCharType="separate"/>
    </w:r>
    <w:r>
      <w:t>II</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0395D7">
    <w:pPr>
      <w:pStyle w:val="52"/>
    </w:pPr>
    <w:r>
      <w:fldChar w:fldCharType="begin"/>
    </w:r>
    <w:r>
      <w:instrText xml:space="preserve">PAGE   \* MERGEFORMAT</w:instrText>
    </w:r>
    <w:r>
      <w:fldChar w:fldCharType="separate"/>
    </w:r>
    <w:r>
      <w:rPr>
        <w:lang w:val="zh-CN"/>
      </w:rPr>
      <w:t>1</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34F5FB">
    <w:pPr>
      <w:pStyle w:val="51"/>
    </w:pPr>
    <w:r>
      <w:fldChar w:fldCharType="begin"/>
    </w:r>
    <w:r>
      <w:instrText xml:space="preserve"> PAGE   \* MERGEFORMAT \* MERGEFORMAT </w:instrText>
    </w:r>
    <w:r>
      <w:fldChar w:fldCharType="separate"/>
    </w:r>
    <w:r>
      <w:t>III</w:t>
    </w:r>
    <w: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0825DA">
    <w:pPr>
      <w:pStyle w:val="52"/>
    </w:pPr>
    <w:r>
      <w:fldChar w:fldCharType="begin"/>
    </w:r>
    <w:r>
      <w:instrText xml:space="preserve">PAGE   \* MERGEFORMAT</w:instrText>
    </w:r>
    <w:r>
      <w:fldChar w:fldCharType="separate"/>
    </w:r>
    <w:r>
      <w:rPr>
        <w:lang w:val="zh-CN"/>
      </w:rPr>
      <w:t>1</w:t>
    </w:r>
    <w: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BF4691">
    <w:pPr>
      <w:pStyle w:val="51"/>
    </w:pPr>
    <w:r>
      <w:fldChar w:fldCharType="begin"/>
    </w:r>
    <w:r>
      <w:instrText xml:space="preserve"> PAGE   \* MERGEFORMAT \* MERGEFORMAT </w:instrText>
    </w:r>
    <w:r>
      <w:fldChar w:fldCharType="separate"/>
    </w:r>
    <w:r>
      <w:t>6</w:t>
    </w:r>
    <w: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E0FD6F">
    <w:pPr>
      <w:pStyle w:val="52"/>
    </w:pPr>
    <w:r>
      <w:fldChar w:fldCharType="begin"/>
    </w:r>
    <w:r>
      <w:instrText xml:space="preserve">PAGE   \* MERGEFORMAT</w:instrText>
    </w:r>
    <w:r>
      <w:fldChar w:fldCharType="separate"/>
    </w:r>
    <w:r>
      <w:rPr>
        <w:lang w:val="zh-CN"/>
      </w:rPr>
      <w:t>1</w:t>
    </w:r>
    <w: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EAB39">
    <w:pPr>
      <w:pStyle w:val="51"/>
    </w:pPr>
    <w:r>
      <w:fldChar w:fldCharType="begin"/>
    </w:r>
    <w:r>
      <w:instrText xml:space="preserve"> PAGE   \* MERGEFORMAT \* MERGEFORMAT </w:instrText>
    </w:r>
    <w:r>
      <w:fldChar w:fldCharType="separate"/>
    </w:r>
    <w:r>
      <w:t>8</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7B3766">
    <w:pPr>
      <w:pStyle w:val="18"/>
      <w:wordWrap w:val="0"/>
      <w:jc w:val="right"/>
      <w:rPr>
        <w:rFonts w:hint="eastAsia"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B3BA22">
    <w:pPr>
      <w:pStyle w:val="1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7EE3D0">
    <w:pPr>
      <w:pStyle w:val="18"/>
      <w:jc w:val="both"/>
      <w:rPr>
        <w:sz w:val="2"/>
        <w:szCs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8351D5">
    <w:pPr>
      <w:pStyle w:val="61"/>
      <w:rPr>
        <w:rFonts w:hint="eastAsia"/>
      </w:rPr>
    </w:pPr>
    <w:r>
      <w:fldChar w:fldCharType="begin"/>
    </w:r>
    <w:r>
      <w:instrText xml:space="preserve"> STYLEREF  标准文件_文件编号  \* MERGEFORMAT </w:instrText>
    </w:r>
    <w:r>
      <w:fldChar w:fldCharType="separate"/>
    </w:r>
    <w:r>
      <w:t>T/XXX XXXX—XXXX</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582AC4">
    <w:pPr>
      <w:pStyle w:val="62"/>
      <w:rPr>
        <w:rFonts w:hint="eastAsia"/>
      </w:rPr>
    </w:pPr>
    <w:r>
      <w:rPr>
        <w:rFonts w:hint="eastAsia"/>
      </w:rPr>
      <w:fldChar w:fldCharType="begin"/>
    </w:r>
    <w:r>
      <w:rPr>
        <w:rFonts w:hint="eastAsia"/>
      </w:rPr>
      <w:instrText xml:space="preserve"> STYLEREF  标准文件_文件编号 \* MERGEFORMAT </w:instrText>
    </w:r>
    <w:r>
      <w:rPr>
        <w:rFonts w:hint="eastAsia"/>
      </w:rPr>
      <w:fldChar w:fldCharType="separate"/>
    </w:r>
    <w:r>
      <w:rPr>
        <w:rFonts w:hint="eastAsia"/>
      </w:rPr>
      <w:t>T/XXX XXXX—XXXX</w:t>
    </w:r>
    <w:r>
      <w:rPr>
        <w:rFonts w:hint="eastAsia"/>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B77D5A">
    <w:pPr>
      <w:pStyle w:val="61"/>
      <w:rPr>
        <w:rFonts w:hint="eastAsia"/>
      </w:rPr>
    </w:pPr>
    <w:r>
      <w:fldChar w:fldCharType="begin"/>
    </w:r>
    <w:r>
      <w:instrText xml:space="preserve"> STYLEREF  标准文件_文件编号  \* MERGEFORMAT </w:instrText>
    </w:r>
    <w:r>
      <w:fldChar w:fldCharType="separate"/>
    </w:r>
    <w:r>
      <w:t>T/XXX XXXX—XXXX</w:t>
    </w:r>
    <w: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AAFCE3">
    <w:pPr>
      <w:pStyle w:val="62"/>
      <w:rPr>
        <w:rFonts w:hint="eastAsia"/>
      </w:rPr>
    </w:pPr>
    <w:r>
      <w:rPr>
        <w:rFonts w:hint="eastAsia"/>
      </w:rPr>
      <w:fldChar w:fldCharType="begin"/>
    </w:r>
    <w:r>
      <w:rPr>
        <w:rFonts w:hint="eastAsia"/>
      </w:rPr>
      <w:instrText xml:space="preserve"> STYLEREF  标准文件_文件编号 \* MERGEFORMAT </w:instrText>
    </w:r>
    <w:r>
      <w:rPr>
        <w:rFonts w:hint="eastAsia"/>
      </w:rPr>
      <w:fldChar w:fldCharType="separate"/>
    </w:r>
    <w:r>
      <w:rPr>
        <w:rFonts w:hint="eastAsia"/>
      </w:rPr>
      <w:t>T/XXX XXXX—XXXX</w:t>
    </w:r>
    <w:r>
      <w:rPr>
        <w:rFonts w:hint="eastAsia"/>
      </w:rPr>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40FEC5">
    <w:pPr>
      <w:pStyle w:val="61"/>
      <w:rPr>
        <w:rFonts w:hint="eastAsia"/>
      </w:rPr>
    </w:pPr>
    <w:r>
      <w:fldChar w:fldCharType="begin"/>
    </w:r>
    <w:r>
      <w:instrText xml:space="preserve"> STYLEREF  标准文件_文件编号  \* MERGEFORMAT </w:instrText>
    </w:r>
    <w:r>
      <w:fldChar w:fldCharType="separate"/>
    </w:r>
    <w:r>
      <w:t>T/XXX XXXX—XXXX</w:t>
    </w:r>
    <w:r>
      <w:fldChar w:fldCharType="end"/>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DED6E4">
    <w:pPr>
      <w:pStyle w:val="62"/>
      <w:rPr>
        <w:rFonts w:hint="eastAsia"/>
      </w:rPr>
    </w:pPr>
    <w:r>
      <w:rPr>
        <w:rFonts w:hint="eastAsia"/>
      </w:rPr>
      <w:fldChar w:fldCharType="begin"/>
    </w:r>
    <w:r>
      <w:rPr>
        <w:rFonts w:hint="eastAsia"/>
      </w:rPr>
      <w:instrText xml:space="preserve"> STYLEREF  标准文件_文件编号 \* MERGEFORMAT </w:instrText>
    </w:r>
    <w:r>
      <w:rPr>
        <w:rFonts w:hint="eastAsia"/>
      </w:rPr>
      <w:fldChar w:fldCharType="separate"/>
    </w:r>
    <w:r>
      <w:rPr>
        <w:rFonts w:hint="eastAsia"/>
      </w:rPr>
      <w:t>T/XXX XXXX—XXXX</w:t>
    </w:r>
    <w:r>
      <w:rPr>
        <w:rFonts w:hint="eastAsia"/>
      </w:rPr>
      <w:fldChar w:fldCharType="end"/>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33C9DC">
    <w:pPr>
      <w:pStyle w:val="61"/>
      <w:rPr>
        <w:rFonts w:hint="eastAsia"/>
      </w:rPr>
    </w:pPr>
    <w:r>
      <w:fldChar w:fldCharType="begin"/>
    </w:r>
    <w:r>
      <w:instrText xml:space="preserve"> STYLEREF  标准文件_文件编号  \* MERGEFORMAT </w:instrText>
    </w:r>
    <w:r>
      <w:fldChar w:fldCharType="separate"/>
    </w:r>
    <w:r>
      <w:t>T/XXX XXXX—XXXX</w:t>
    </w:r>
    <w:r>
      <w:fldChar w:fldCharType="end"/>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4AA6DE">
    <w:pPr>
      <w:pStyle w:val="62"/>
      <w:rPr>
        <w:rFonts w:hint="eastAsia"/>
      </w:rPr>
    </w:pPr>
    <w:r>
      <w:rPr>
        <w:rFonts w:hint="eastAsia"/>
      </w:rPr>
      <w:fldChar w:fldCharType="begin"/>
    </w:r>
    <w:r>
      <w:rPr>
        <w:rFonts w:hint="eastAsia"/>
      </w:rPr>
      <w:instrText xml:space="preserve"> STYLEREF  标准文件_文件编号 \* MERGEFORMAT </w:instrText>
    </w:r>
    <w:r>
      <w:rPr>
        <w:rFonts w:hint="eastAsia"/>
      </w:rPr>
      <w:fldChar w:fldCharType="separate"/>
    </w:r>
    <w:r>
      <w:rPr>
        <w:rFonts w:hint="eastAsia"/>
      </w:rPr>
      <w:t>T/XXX XXXX—XXXX</w:t>
    </w:r>
    <w:r>
      <w:rPr>
        <w:rFonts w:hint="eastAsia"/>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37933"/>
    <w:multiLevelType w:val="multilevel"/>
    <w:tmpl w:val="02837933"/>
    <w:lvl w:ilvl="0" w:tentative="0">
      <w:start w:val="1"/>
      <w:numFmt w:val="decimal"/>
      <w:pStyle w:val="64"/>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59"/>
      <w:suff w:val="nothing"/>
      <w:lvlText w:val="%1%2.%3　"/>
      <w:lvlJc w:val="left"/>
      <w:pPr>
        <w:ind w:left="0" w:firstLine="0"/>
      </w:pPr>
    </w:lvl>
    <w:lvl w:ilvl="3" w:tentative="0">
      <w:start w:val="1"/>
      <w:numFmt w:val="decimal"/>
      <w:pStyle w:val="118"/>
      <w:suff w:val="nothing"/>
      <w:lvlText w:val="%1%2.%3.%4　"/>
      <w:lvlJc w:val="left"/>
      <w:pPr>
        <w:ind w:left="0" w:firstLine="0"/>
      </w:pPr>
    </w:lvl>
    <w:lvl w:ilvl="4" w:tentative="0">
      <w:start w:val="1"/>
      <w:numFmt w:val="decimal"/>
      <w:pStyle w:val="153"/>
      <w:suff w:val="nothing"/>
      <w:lvlText w:val="%1%2.%3.%4.%5　"/>
      <w:lvlJc w:val="left"/>
      <w:pPr>
        <w:ind w:left="0" w:firstLine="0"/>
      </w:pPr>
    </w:lvl>
    <w:lvl w:ilvl="5" w:tentative="0">
      <w:start w:val="1"/>
      <w:numFmt w:val="decimal"/>
      <w:pStyle w:val="155"/>
      <w:suff w:val="nothing"/>
      <w:lvlText w:val="%1%2.%3.%4.%5.%6　"/>
      <w:lvlJc w:val="left"/>
      <w:pPr>
        <w:ind w:left="0" w:firstLine="0"/>
      </w:pPr>
    </w:lvl>
    <w:lvl w:ilvl="6" w:tentative="0">
      <w:start w:val="1"/>
      <w:numFmt w:val="decimal"/>
      <w:pStyle w:val="158"/>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79102AD"/>
    <w:multiLevelType w:val="multilevel"/>
    <w:tmpl w:val="079102AD"/>
    <w:lvl w:ilvl="0" w:tentative="0">
      <w:start w:val="1"/>
      <w:numFmt w:val="decimal"/>
      <w:pStyle w:val="180"/>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tentative="0">
      <w:start w:val="1"/>
      <w:numFmt w:val="none"/>
      <w:pStyle w:val="89"/>
      <w:lvlText w:val="%1"/>
      <w:lvlJc w:val="left"/>
      <w:pPr>
        <w:ind w:left="425" w:hanging="425"/>
      </w:pPr>
      <w:rPr>
        <w:rFonts w:hint="eastAsia"/>
      </w:rPr>
    </w:lvl>
    <w:lvl w:ilvl="1" w:tentative="0">
      <w:start w:val="1"/>
      <w:numFmt w:val="decimal"/>
      <w:pStyle w:val="200"/>
      <w:suff w:val="nothing"/>
      <w:lvlText w:val="%10.%2 "/>
      <w:lvlJc w:val="left"/>
      <w:pPr>
        <w:ind w:left="0" w:firstLine="0"/>
      </w:pPr>
      <w:rPr>
        <w:rFonts w:hint="eastAsia" w:ascii="黑体" w:eastAsia="黑体" w:hAnsiTheme="minorHAnsi"/>
        <w:b w:val="0"/>
        <w:i w:val="0"/>
        <w:sz w:val="21"/>
      </w:rPr>
    </w:lvl>
    <w:lvl w:ilvl="2" w:tentative="0">
      <w:start w:val="1"/>
      <w:numFmt w:val="decimal"/>
      <w:pStyle w:val="201"/>
      <w:suff w:val="nothing"/>
      <w:lvlText w:val="%10.%2.%3 "/>
      <w:lvlJc w:val="left"/>
      <w:pPr>
        <w:ind w:left="0" w:firstLine="0"/>
      </w:pPr>
      <w:rPr>
        <w:rFonts w:hint="eastAsia" w:ascii="黑体" w:eastAsia="黑体" w:hAnsiTheme="minorHAnsi"/>
        <w:b w:val="0"/>
        <w:i w:val="0"/>
        <w:sz w:val="21"/>
      </w:rPr>
    </w:lvl>
    <w:lvl w:ilvl="3" w:tentative="0">
      <w:start w:val="1"/>
      <w:numFmt w:val="decimal"/>
      <w:pStyle w:val="202"/>
      <w:suff w:val="nothing"/>
      <w:lvlText w:val="%10.%2.%3.%4 "/>
      <w:lvlJc w:val="left"/>
      <w:pPr>
        <w:ind w:left="0" w:firstLine="0"/>
      </w:pPr>
      <w:rPr>
        <w:rFonts w:hint="eastAsia" w:ascii="黑体" w:eastAsia="黑体" w:hAnsiTheme="minorHAnsi"/>
        <w:b w:val="0"/>
        <w:i w:val="0"/>
        <w:sz w:val="21"/>
      </w:rPr>
    </w:lvl>
    <w:lvl w:ilvl="4" w:tentative="0">
      <w:start w:val="1"/>
      <w:numFmt w:val="decimal"/>
      <w:pStyle w:val="203"/>
      <w:suff w:val="nothing"/>
      <w:lvlText w:val="%10.%2.%3.%4.%5 "/>
      <w:lvlJc w:val="left"/>
      <w:pPr>
        <w:ind w:left="0" w:firstLine="0"/>
      </w:pPr>
      <w:rPr>
        <w:rFonts w:hint="eastAsia" w:ascii="黑体" w:eastAsia="黑体" w:hAnsiTheme="minorHAnsi"/>
        <w:b w:val="0"/>
        <w:i w:val="0"/>
        <w:sz w:val="21"/>
      </w:rPr>
    </w:lvl>
    <w:lvl w:ilvl="5" w:tentative="0">
      <w:start w:val="1"/>
      <w:numFmt w:val="decimal"/>
      <w:pStyle w:val="204"/>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AE367E9"/>
    <w:multiLevelType w:val="multilevel"/>
    <w:tmpl w:val="0AE367E9"/>
    <w:lvl w:ilvl="0" w:tentative="0">
      <w:start w:val="1"/>
      <w:numFmt w:val="none"/>
      <w:pStyle w:val="181"/>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tentative="0">
      <w:start w:val="1"/>
      <w:numFmt w:val="decimal"/>
      <w:pStyle w:val="67"/>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D051F45"/>
    <w:multiLevelType w:val="multilevel"/>
    <w:tmpl w:val="0D051F45"/>
    <w:lvl w:ilvl="0" w:tentative="0">
      <w:start w:val="1"/>
      <w:numFmt w:val="lowerRoman"/>
      <w:pStyle w:val="169"/>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7">
    <w:nsid w:val="1AD20F90"/>
    <w:multiLevelType w:val="multilevel"/>
    <w:tmpl w:val="1AD20F90"/>
    <w:lvl w:ilvl="0" w:tentative="0">
      <w:start w:val="1"/>
      <w:numFmt w:val="none"/>
      <w:pStyle w:val="110"/>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AF15012"/>
    <w:multiLevelType w:val="multilevel"/>
    <w:tmpl w:val="1AF15012"/>
    <w:lvl w:ilvl="0" w:tentative="0">
      <w:start w:val="1"/>
      <w:numFmt w:val="upperLetter"/>
      <w:pStyle w:val="85"/>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1EAA1992"/>
    <w:multiLevelType w:val="multilevel"/>
    <w:tmpl w:val="1EAA1992"/>
    <w:lvl w:ilvl="0" w:tentative="0">
      <w:start w:val="1"/>
      <w:numFmt w:val="none"/>
      <w:pStyle w:val="92"/>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0">
    <w:nsid w:val="2C5917C3"/>
    <w:multiLevelType w:val="multilevel"/>
    <w:tmpl w:val="2C5917C3"/>
    <w:lvl w:ilvl="0" w:tentative="0">
      <w:start w:val="1"/>
      <w:numFmt w:val="none"/>
      <w:pStyle w:val="132"/>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87"/>
      <w:lvlText w:val=""/>
      <w:lvlJc w:val="left"/>
      <w:pPr>
        <w:ind w:left="851" w:hanging="431"/>
      </w:pPr>
      <w:rPr>
        <w:rFonts w:hint="default" w:ascii="Symbol" w:hAnsi="Symbol"/>
        <w:sz w:val="21"/>
      </w:rPr>
    </w:lvl>
    <w:lvl w:ilvl="2" w:tentative="0">
      <w:start w:val="1"/>
      <w:numFmt w:val="bullet"/>
      <w:pStyle w:val="172"/>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1">
    <w:nsid w:val="32F04FB2"/>
    <w:multiLevelType w:val="multilevel"/>
    <w:tmpl w:val="32F04FB2"/>
    <w:lvl w:ilvl="0" w:tentative="0">
      <w:start w:val="1"/>
      <w:numFmt w:val="lowerLetter"/>
      <w:pStyle w:val="101"/>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2">
    <w:nsid w:val="44C50F90"/>
    <w:multiLevelType w:val="multilevel"/>
    <w:tmpl w:val="44C50F90"/>
    <w:lvl w:ilvl="0" w:tentative="0">
      <w:start w:val="1"/>
      <w:numFmt w:val="lowerLetter"/>
      <w:pStyle w:val="174"/>
      <w:lvlText w:val="%1)"/>
      <w:lvlJc w:val="left"/>
      <w:pPr>
        <w:tabs>
          <w:tab w:val="left" w:pos="851"/>
        </w:tabs>
        <w:ind w:left="851" w:hanging="426"/>
      </w:pPr>
      <w:rPr>
        <w:rFonts w:hint="eastAsia" w:ascii="宋体" w:hAnsi="Times New Roman" w:eastAsia="宋体"/>
        <w:sz w:val="21"/>
      </w:rPr>
    </w:lvl>
    <w:lvl w:ilvl="1" w:tentative="0">
      <w:start w:val="1"/>
      <w:numFmt w:val="decimal"/>
      <w:pStyle w:val="109"/>
      <w:lvlText w:val="%2)"/>
      <w:lvlJc w:val="left"/>
      <w:pPr>
        <w:tabs>
          <w:tab w:val="left" w:pos="1276"/>
        </w:tabs>
        <w:ind w:left="1276" w:hanging="425"/>
      </w:pPr>
      <w:rPr>
        <w:rFonts w:hint="eastAsia" w:ascii="宋体" w:hAnsi="Times New Roman" w:eastAsia="宋体"/>
        <w:sz w:val="21"/>
      </w:rPr>
    </w:lvl>
    <w:lvl w:ilvl="2" w:tentative="0">
      <w:start w:val="1"/>
      <w:numFmt w:val="decimal"/>
      <w:pStyle w:val="117"/>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3">
    <w:nsid w:val="48802D1C"/>
    <w:multiLevelType w:val="multilevel"/>
    <w:tmpl w:val="48802D1C"/>
    <w:lvl w:ilvl="0" w:tentative="0">
      <w:start w:val="1"/>
      <w:numFmt w:val="upperLetter"/>
      <w:pStyle w:val="198"/>
      <w:lvlText w:val="%1"/>
      <w:lvlJc w:val="left"/>
      <w:pPr>
        <w:ind w:left="420" w:hanging="420"/>
      </w:pPr>
      <w:rPr>
        <w:rFonts w:hint="eastAsia"/>
      </w:rPr>
    </w:lvl>
    <w:lvl w:ilvl="1" w:tentative="0">
      <w:start w:val="1"/>
      <w:numFmt w:val="decimal"/>
      <w:pStyle w:val="83"/>
      <w:suff w:val="space"/>
      <w:lvlText w:val="图%1.%2 "/>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4">
    <w:nsid w:val="4B733A5F"/>
    <w:multiLevelType w:val="multilevel"/>
    <w:tmpl w:val="4B733A5F"/>
    <w:lvl w:ilvl="0" w:tentative="0">
      <w:start w:val="1"/>
      <w:numFmt w:val="decimal"/>
      <w:pStyle w:val="183"/>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5">
    <w:nsid w:val="4E5D0534"/>
    <w:multiLevelType w:val="multilevel"/>
    <w:tmpl w:val="4E5D0534"/>
    <w:lvl w:ilvl="0" w:tentative="0">
      <w:start w:val="1"/>
      <w:numFmt w:val="decimal"/>
      <w:pStyle w:val="116"/>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6">
    <w:nsid w:val="54632751"/>
    <w:multiLevelType w:val="multilevel"/>
    <w:tmpl w:val="54632751"/>
    <w:lvl w:ilvl="0" w:tentative="0">
      <w:start w:val="1"/>
      <w:numFmt w:val="none"/>
      <w:pStyle w:val="93"/>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7">
    <w:nsid w:val="557C2AF5"/>
    <w:multiLevelType w:val="multilevel"/>
    <w:tmpl w:val="557C2AF5"/>
    <w:lvl w:ilvl="0" w:tentative="0">
      <w:start w:val="1"/>
      <w:numFmt w:val="decimal"/>
      <w:pStyle w:val="114"/>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8">
    <w:nsid w:val="5603797C"/>
    <w:multiLevelType w:val="multilevel"/>
    <w:tmpl w:val="5603797C"/>
    <w:lvl w:ilvl="0" w:tentative="0">
      <w:start w:val="1"/>
      <w:numFmt w:val="upperLetter"/>
      <w:pStyle w:val="199"/>
      <w:suff w:val="space"/>
      <w:lvlText w:val="%1"/>
      <w:lvlJc w:val="left"/>
      <w:pPr>
        <w:ind w:left="425" w:hanging="425"/>
      </w:pPr>
      <w:rPr>
        <w:rFonts w:hint="eastAsia"/>
      </w:rPr>
    </w:lvl>
    <w:lvl w:ilvl="1" w:tentative="0">
      <w:start w:val="1"/>
      <w:numFmt w:val="decimal"/>
      <w:pStyle w:val="77"/>
      <w:suff w:val="space"/>
      <w:lvlText w:val="表%1.%2 "/>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9">
    <w:nsid w:val="564D2089"/>
    <w:multiLevelType w:val="multilevel"/>
    <w:tmpl w:val="564D2089"/>
    <w:lvl w:ilvl="0" w:tentative="0">
      <w:start w:val="1"/>
      <w:numFmt w:val="none"/>
      <w:pStyle w:val="111"/>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644622F9"/>
    <w:multiLevelType w:val="multilevel"/>
    <w:tmpl w:val="644622F9"/>
    <w:lvl w:ilvl="0" w:tentative="0">
      <w:start w:val="1"/>
      <w:numFmt w:val="upperRoman"/>
      <w:pStyle w:val="168"/>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1">
    <w:nsid w:val="646260FA"/>
    <w:multiLevelType w:val="multilevel"/>
    <w:tmpl w:val="646260FA"/>
    <w:lvl w:ilvl="0" w:tentative="0">
      <w:start w:val="1"/>
      <w:numFmt w:val="decimal"/>
      <w:pStyle w:val="112"/>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2">
    <w:nsid w:val="654A26C9"/>
    <w:multiLevelType w:val="multilevel"/>
    <w:tmpl w:val="654A26C9"/>
    <w:lvl w:ilvl="0" w:tentative="0">
      <w:start w:val="1"/>
      <w:numFmt w:val="none"/>
      <w:pStyle w:val="189"/>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3">
    <w:nsid w:val="657D3FBC"/>
    <w:multiLevelType w:val="multilevel"/>
    <w:tmpl w:val="657D3FBC"/>
    <w:lvl w:ilvl="0" w:tentative="0">
      <w:start w:val="1"/>
      <w:numFmt w:val="upperLetter"/>
      <w:pStyle w:val="76"/>
      <w:suff w:val="nothing"/>
      <w:lvlText w:val="附录%1"/>
      <w:lvlJc w:val="left"/>
      <w:pPr>
        <w:ind w:left="0" w:firstLine="0"/>
      </w:pPr>
      <w:rPr>
        <w:rFonts w:hint="eastAsia"/>
        <w:spacing w:val="100"/>
      </w:rPr>
    </w:lvl>
    <w:lvl w:ilvl="1" w:tentative="0">
      <w:start w:val="1"/>
      <w:numFmt w:val="decimal"/>
      <w:pStyle w:val="78"/>
      <w:suff w:val="nothing"/>
      <w:lvlText w:val="%1.%2　"/>
      <w:lvlJc w:val="left"/>
      <w:pPr>
        <w:ind w:left="0" w:firstLine="0"/>
      </w:pPr>
      <w:rPr>
        <w:rFonts w:hint="eastAsia" w:ascii="黑体" w:eastAsia="黑体"/>
        <w:b w:val="0"/>
        <w:i w:val="0"/>
        <w:sz w:val="21"/>
      </w:rPr>
    </w:lvl>
    <w:lvl w:ilvl="2" w:tentative="0">
      <w:start w:val="1"/>
      <w:numFmt w:val="decimal"/>
      <w:pStyle w:val="79"/>
      <w:suff w:val="nothing"/>
      <w:lvlText w:val="%1.%2.%3　"/>
      <w:lvlJc w:val="left"/>
      <w:pPr>
        <w:ind w:left="0" w:firstLine="0"/>
      </w:pPr>
      <w:rPr>
        <w:rFonts w:hint="eastAsia" w:ascii="黑体" w:eastAsia="黑体"/>
        <w:b w:val="0"/>
        <w:i w:val="0"/>
        <w:sz w:val="21"/>
      </w:rPr>
    </w:lvl>
    <w:lvl w:ilvl="3" w:tentative="0">
      <w:start w:val="1"/>
      <w:numFmt w:val="decimal"/>
      <w:pStyle w:val="81"/>
      <w:suff w:val="nothing"/>
      <w:lvlText w:val="%1.%2.%3.%4　"/>
      <w:lvlJc w:val="left"/>
      <w:pPr>
        <w:ind w:left="0" w:firstLine="0"/>
      </w:pPr>
      <w:rPr>
        <w:rFonts w:hint="eastAsia" w:ascii="黑体" w:eastAsia="黑体"/>
        <w:b w:val="0"/>
        <w:i w:val="0"/>
        <w:sz w:val="21"/>
      </w:rPr>
    </w:lvl>
    <w:lvl w:ilvl="4" w:tentative="0">
      <w:start w:val="1"/>
      <w:numFmt w:val="decimal"/>
      <w:pStyle w:val="82"/>
      <w:suff w:val="nothing"/>
      <w:lvlText w:val="%1.%2.%3.%4.%5　"/>
      <w:lvlJc w:val="left"/>
      <w:pPr>
        <w:ind w:left="0" w:firstLine="0"/>
      </w:pPr>
      <w:rPr>
        <w:rFonts w:hint="eastAsia" w:ascii="黑体" w:eastAsia="黑体"/>
        <w:b w:val="0"/>
        <w:i w:val="0"/>
        <w:sz w:val="21"/>
      </w:rPr>
    </w:lvl>
    <w:lvl w:ilvl="5" w:tentative="0">
      <w:start w:val="1"/>
      <w:numFmt w:val="decimal"/>
      <w:pStyle w:val="84"/>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4">
    <w:nsid w:val="69506ABF"/>
    <w:multiLevelType w:val="multilevel"/>
    <w:tmpl w:val="69506ABF"/>
    <w:lvl w:ilvl="0" w:tentative="0">
      <w:start w:val="1"/>
      <w:numFmt w:val="bullet"/>
      <w:pStyle w:val="188"/>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5">
    <w:nsid w:val="6CA41985"/>
    <w:multiLevelType w:val="multilevel"/>
    <w:tmpl w:val="6CA41985"/>
    <w:lvl w:ilvl="0" w:tentative="0">
      <w:start w:val="1"/>
      <w:numFmt w:val="decimal"/>
      <w:pStyle w:val="97"/>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6CE42AC1"/>
    <w:multiLevelType w:val="multilevel"/>
    <w:tmpl w:val="6CE42AC1"/>
    <w:lvl w:ilvl="0" w:tentative="0">
      <w:start w:val="1"/>
      <w:numFmt w:val="lowerLetter"/>
      <w:pStyle w:val="173"/>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6CEA2025"/>
    <w:multiLevelType w:val="multilevel"/>
    <w:tmpl w:val="6CEA2025"/>
    <w:lvl w:ilvl="0" w:tentative="0">
      <w:start w:val="1"/>
      <w:numFmt w:val="none"/>
      <w:pStyle w:val="152"/>
      <w:suff w:val="nothing"/>
      <w:lvlText w:val="%1"/>
      <w:lvlJc w:val="left"/>
      <w:pPr>
        <w:ind w:left="0" w:firstLine="0"/>
      </w:pPr>
      <w:rPr>
        <w:rFonts w:hint="eastAsia"/>
      </w:rPr>
    </w:lvl>
    <w:lvl w:ilvl="1" w:tentative="0">
      <w:start w:val="1"/>
      <w:numFmt w:val="decimal"/>
      <w:pStyle w:val="104"/>
      <w:suff w:val="nothing"/>
      <w:lvlText w:val="%1%2　"/>
      <w:lvlJc w:val="left"/>
      <w:pPr>
        <w:ind w:left="0" w:firstLine="0"/>
      </w:pPr>
      <w:rPr>
        <w:rFonts w:hint="eastAsia" w:ascii="黑体" w:eastAsia="黑体"/>
        <w:b w:val="0"/>
        <w:i w:val="0"/>
        <w:sz w:val="21"/>
      </w:rPr>
    </w:lvl>
    <w:lvl w:ilvl="2" w:tentative="0">
      <w:start w:val="1"/>
      <w:numFmt w:val="decimal"/>
      <w:pStyle w:val="105"/>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prst="orthographicFront">
          <w14:lightRig w14:rig="threePt" w14:dir="t">
            <w14:rot w14:lat="0" w14:lon="0" w14:rev="0"/>
          </w14:lightRig>
        </w14:scene3d>
        <w14:ligatures w14:val="none"/>
        <w14:numForm w14:val="default"/>
        <w14:numSpacing w14:val="default"/>
      </w:rPr>
    </w:lvl>
    <w:lvl w:ilvl="3" w:tentative="0">
      <w:start w:val="1"/>
      <w:numFmt w:val="decimal"/>
      <w:pStyle w:val="65"/>
      <w:suff w:val="nothing"/>
      <w:lvlText w:val="%1%2.%3.%4　"/>
      <w:lvlJc w:val="left"/>
      <w:pPr>
        <w:ind w:left="0" w:firstLine="0"/>
      </w:pPr>
      <w:rPr>
        <w:rFonts w:hint="eastAsia" w:ascii="黑体" w:eastAsia="黑体"/>
        <w:b w:val="0"/>
        <w:i w:val="0"/>
        <w:sz w:val="21"/>
      </w:rPr>
    </w:lvl>
    <w:lvl w:ilvl="4" w:tentative="0">
      <w:start w:val="1"/>
      <w:numFmt w:val="decimal"/>
      <w:pStyle w:val="94"/>
      <w:suff w:val="nothing"/>
      <w:lvlText w:val="%1%2.%3.%4.%5　"/>
      <w:lvlJc w:val="left"/>
      <w:pPr>
        <w:ind w:left="0" w:firstLine="0"/>
      </w:pPr>
      <w:rPr>
        <w:rFonts w:hint="eastAsia" w:ascii="黑体" w:eastAsia="黑体"/>
        <w:b w:val="0"/>
        <w:i w:val="0"/>
        <w:sz w:val="21"/>
      </w:rPr>
    </w:lvl>
    <w:lvl w:ilvl="5" w:tentative="0">
      <w:start w:val="1"/>
      <w:numFmt w:val="decimal"/>
      <w:pStyle w:val="98"/>
      <w:suff w:val="nothing"/>
      <w:lvlText w:val="%1%2.%3.%4.%5.%6　"/>
      <w:lvlJc w:val="left"/>
      <w:pPr>
        <w:ind w:left="0" w:firstLine="0"/>
      </w:pPr>
      <w:rPr>
        <w:rFonts w:hint="eastAsia" w:ascii="黑体" w:eastAsia="黑体"/>
        <w:b w:val="0"/>
        <w:i w:val="0"/>
        <w:sz w:val="21"/>
      </w:rPr>
    </w:lvl>
    <w:lvl w:ilvl="6" w:tentative="0">
      <w:start w:val="1"/>
      <w:numFmt w:val="decimal"/>
      <w:pStyle w:val="103"/>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8">
    <w:nsid w:val="6DBF04F4"/>
    <w:multiLevelType w:val="multilevel"/>
    <w:tmpl w:val="6DBF04F4"/>
    <w:lvl w:ilvl="0" w:tentative="0">
      <w:start w:val="1"/>
      <w:numFmt w:val="none"/>
      <w:pStyle w:val="179"/>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29">
    <w:nsid w:val="6DF35F19"/>
    <w:multiLevelType w:val="multilevel"/>
    <w:tmpl w:val="6DF35F19"/>
    <w:lvl w:ilvl="0" w:tentative="0">
      <w:start w:val="1"/>
      <w:numFmt w:val="decimal"/>
      <w:pStyle w:val="115"/>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0">
    <w:nsid w:val="76933334"/>
    <w:multiLevelType w:val="multilevel"/>
    <w:tmpl w:val="76933334"/>
    <w:lvl w:ilvl="0" w:tentative="0">
      <w:start w:val="1"/>
      <w:numFmt w:val="none"/>
      <w:pStyle w:val="139"/>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27"/>
  </w:num>
  <w:num w:numId="3">
    <w:abstractNumId w:val="5"/>
  </w:num>
  <w:num w:numId="4">
    <w:abstractNumId w:val="23"/>
  </w:num>
  <w:num w:numId="5">
    <w:abstractNumId w:val="18"/>
  </w:num>
  <w:num w:numId="6">
    <w:abstractNumId w:val="13"/>
  </w:num>
  <w:num w:numId="7">
    <w:abstractNumId w:val="8"/>
  </w:num>
  <w:num w:numId="8">
    <w:abstractNumId w:val="3"/>
  </w:num>
  <w:num w:numId="9">
    <w:abstractNumId w:val="9"/>
  </w:num>
  <w:num w:numId="10">
    <w:abstractNumId w:val="16"/>
  </w:num>
  <w:num w:numId="11">
    <w:abstractNumId w:val="25"/>
  </w:num>
  <w:num w:numId="12">
    <w:abstractNumId w:val="11"/>
  </w:num>
  <w:num w:numId="13">
    <w:abstractNumId w:val="12"/>
  </w:num>
  <w:num w:numId="14">
    <w:abstractNumId w:val="7"/>
  </w:num>
  <w:num w:numId="15">
    <w:abstractNumId w:val="19"/>
  </w:num>
  <w:num w:numId="16">
    <w:abstractNumId w:val="21"/>
  </w:num>
  <w:num w:numId="17">
    <w:abstractNumId w:val="17"/>
  </w:num>
  <w:num w:numId="18">
    <w:abstractNumId w:val="29"/>
  </w:num>
  <w:num w:numId="19">
    <w:abstractNumId w:val="15"/>
  </w:num>
  <w:num w:numId="20">
    <w:abstractNumId w:val="1"/>
  </w:num>
  <w:num w:numId="21">
    <w:abstractNumId w:val="10"/>
  </w:num>
  <w:num w:numId="22">
    <w:abstractNumId w:val="30"/>
  </w:num>
  <w:num w:numId="23">
    <w:abstractNumId w:val="20"/>
  </w:num>
  <w:num w:numId="24">
    <w:abstractNumId w:val="6"/>
  </w:num>
  <w:num w:numId="25">
    <w:abstractNumId w:val="26"/>
  </w:num>
  <w:num w:numId="26">
    <w:abstractNumId w:val="28"/>
  </w:num>
  <w:num w:numId="27">
    <w:abstractNumId w:val="2"/>
  </w:num>
  <w:num w:numId="28">
    <w:abstractNumId w:val="4"/>
  </w:num>
  <w:num w:numId="29">
    <w:abstractNumId w:val="14"/>
  </w:num>
  <w:num w:numId="30">
    <w:abstractNumId w:val="24"/>
  </w:num>
  <w:num w:numId="3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attachedTemplate r:id="rId1"/>
  <w:documentProtection w:edit="forms" w:enforcement="1" w:cryptProviderType="rsaAES" w:cryptAlgorithmClass="hash" w:cryptAlgorithmType="typeAny" w:cryptAlgorithmSid="14" w:cryptSpinCount="100000" w:hash="YuMyvsYtvvRSZuiUoyOGFW8j/+wfbBUVIo4VXJ9ebf9ENlwYviggt9fQQ9aVvQWWJrBMT66R19yiwq81vrAu0Q==" w:salt="UIFItjeizlOtuZsPgE03cg=="/>
  <w:defaultTabStop w:val="420"/>
  <w:evenAndOddHeaders w:val="1"/>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27E7"/>
    <w:rsid w:val="0000040A"/>
    <w:rsid w:val="00000A94"/>
    <w:rsid w:val="00000F8A"/>
    <w:rsid w:val="00001972"/>
    <w:rsid w:val="00001D9A"/>
    <w:rsid w:val="00002D44"/>
    <w:rsid w:val="0000733B"/>
    <w:rsid w:val="00007B3A"/>
    <w:rsid w:val="000107E0"/>
    <w:rsid w:val="00011FDE"/>
    <w:rsid w:val="00012FFD"/>
    <w:rsid w:val="00014162"/>
    <w:rsid w:val="00014340"/>
    <w:rsid w:val="00016A9C"/>
    <w:rsid w:val="000209BA"/>
    <w:rsid w:val="00022184"/>
    <w:rsid w:val="00022762"/>
    <w:rsid w:val="000238E0"/>
    <w:rsid w:val="000249DB"/>
    <w:rsid w:val="0002595E"/>
    <w:rsid w:val="00025DC4"/>
    <w:rsid w:val="000303C3"/>
    <w:rsid w:val="000331D3"/>
    <w:rsid w:val="000346A5"/>
    <w:rsid w:val="000359C3"/>
    <w:rsid w:val="00035A7D"/>
    <w:rsid w:val="000365ED"/>
    <w:rsid w:val="0004249A"/>
    <w:rsid w:val="00043282"/>
    <w:rsid w:val="0004411B"/>
    <w:rsid w:val="00044286"/>
    <w:rsid w:val="0004665B"/>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1CFC"/>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4D9E"/>
    <w:rsid w:val="00096D63"/>
    <w:rsid w:val="000A0B60"/>
    <w:rsid w:val="000A0EB8"/>
    <w:rsid w:val="000A19FC"/>
    <w:rsid w:val="000A296B"/>
    <w:rsid w:val="000A561D"/>
    <w:rsid w:val="000A7311"/>
    <w:rsid w:val="000B060F"/>
    <w:rsid w:val="000B1592"/>
    <w:rsid w:val="000B1FF2"/>
    <w:rsid w:val="000B3CDA"/>
    <w:rsid w:val="000B64FE"/>
    <w:rsid w:val="000B6A0B"/>
    <w:rsid w:val="000C0F6C"/>
    <w:rsid w:val="000C11DB"/>
    <w:rsid w:val="000C1492"/>
    <w:rsid w:val="000C2FBD"/>
    <w:rsid w:val="000C4B41"/>
    <w:rsid w:val="000C57D6"/>
    <w:rsid w:val="000C5EE6"/>
    <w:rsid w:val="000C62D6"/>
    <w:rsid w:val="000C6362"/>
    <w:rsid w:val="000C6753"/>
    <w:rsid w:val="000C7666"/>
    <w:rsid w:val="000C779B"/>
    <w:rsid w:val="000D0A9C"/>
    <w:rsid w:val="000D1795"/>
    <w:rsid w:val="000D329A"/>
    <w:rsid w:val="000D4B9C"/>
    <w:rsid w:val="000D4EB6"/>
    <w:rsid w:val="000D753B"/>
    <w:rsid w:val="000E4C9E"/>
    <w:rsid w:val="000E6387"/>
    <w:rsid w:val="000E6FD7"/>
    <w:rsid w:val="000E7144"/>
    <w:rsid w:val="000F06E1"/>
    <w:rsid w:val="000F0E3C"/>
    <w:rsid w:val="000F19D5"/>
    <w:rsid w:val="000F4050"/>
    <w:rsid w:val="000F4AEA"/>
    <w:rsid w:val="000F585F"/>
    <w:rsid w:val="000F67E9"/>
    <w:rsid w:val="00100DF8"/>
    <w:rsid w:val="001032AD"/>
    <w:rsid w:val="00104926"/>
    <w:rsid w:val="00113B1E"/>
    <w:rsid w:val="0011479D"/>
    <w:rsid w:val="0011711C"/>
    <w:rsid w:val="00124E4F"/>
    <w:rsid w:val="001260B7"/>
    <w:rsid w:val="001265CB"/>
    <w:rsid w:val="001321C6"/>
    <w:rsid w:val="001325C4"/>
    <w:rsid w:val="00133010"/>
    <w:rsid w:val="001338EE"/>
    <w:rsid w:val="00133AAE"/>
    <w:rsid w:val="00135323"/>
    <w:rsid w:val="001356C4"/>
    <w:rsid w:val="00137565"/>
    <w:rsid w:val="00141114"/>
    <w:rsid w:val="00142969"/>
    <w:rsid w:val="001446C2"/>
    <w:rsid w:val="001457E7"/>
    <w:rsid w:val="00145D9D"/>
    <w:rsid w:val="00146388"/>
    <w:rsid w:val="0014642C"/>
    <w:rsid w:val="001529E5"/>
    <w:rsid w:val="00152FB3"/>
    <w:rsid w:val="00153C7E"/>
    <w:rsid w:val="00156B25"/>
    <w:rsid w:val="00156E1A"/>
    <w:rsid w:val="00157459"/>
    <w:rsid w:val="00157894"/>
    <w:rsid w:val="00157B55"/>
    <w:rsid w:val="001618F9"/>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2668"/>
    <w:rsid w:val="001852C9"/>
    <w:rsid w:val="00187A0B"/>
    <w:rsid w:val="00190087"/>
    <w:rsid w:val="001913C4"/>
    <w:rsid w:val="0019348F"/>
    <w:rsid w:val="00193A07"/>
    <w:rsid w:val="00194C95"/>
    <w:rsid w:val="00195C34"/>
    <w:rsid w:val="00196EF5"/>
    <w:rsid w:val="001A1A53"/>
    <w:rsid w:val="001A234A"/>
    <w:rsid w:val="001A4CF3"/>
    <w:rsid w:val="001A6696"/>
    <w:rsid w:val="001B06E8"/>
    <w:rsid w:val="001B71D0"/>
    <w:rsid w:val="001B71EE"/>
    <w:rsid w:val="001C04A8"/>
    <w:rsid w:val="001C2C03"/>
    <w:rsid w:val="001C42F7"/>
    <w:rsid w:val="001C49E5"/>
    <w:rsid w:val="001C680C"/>
    <w:rsid w:val="001C6AC3"/>
    <w:rsid w:val="001C7FEA"/>
    <w:rsid w:val="001D0499"/>
    <w:rsid w:val="001D0BBE"/>
    <w:rsid w:val="001D0ED4"/>
    <w:rsid w:val="001D0F06"/>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69B4"/>
    <w:rsid w:val="001F77C7"/>
    <w:rsid w:val="00200183"/>
    <w:rsid w:val="00200333"/>
    <w:rsid w:val="0020107D"/>
    <w:rsid w:val="00202AA4"/>
    <w:rsid w:val="002031F7"/>
    <w:rsid w:val="002040E6"/>
    <w:rsid w:val="0020527B"/>
    <w:rsid w:val="00205F2C"/>
    <w:rsid w:val="00210B15"/>
    <w:rsid w:val="002142EA"/>
    <w:rsid w:val="00215ADD"/>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582"/>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81BB8"/>
    <w:rsid w:val="00281E9E"/>
    <w:rsid w:val="00282405"/>
    <w:rsid w:val="00285170"/>
    <w:rsid w:val="00285361"/>
    <w:rsid w:val="00286590"/>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3F07"/>
    <w:rsid w:val="002C5278"/>
    <w:rsid w:val="002C7EBB"/>
    <w:rsid w:val="002D06C1"/>
    <w:rsid w:val="002D42B5"/>
    <w:rsid w:val="002D4F1A"/>
    <w:rsid w:val="002D6EC6"/>
    <w:rsid w:val="002D79AC"/>
    <w:rsid w:val="002E039D"/>
    <w:rsid w:val="002E3DC1"/>
    <w:rsid w:val="002E4D5A"/>
    <w:rsid w:val="002E6326"/>
    <w:rsid w:val="002E74BF"/>
    <w:rsid w:val="002F30E0"/>
    <w:rsid w:val="002F35E4"/>
    <w:rsid w:val="002F3730"/>
    <w:rsid w:val="002F38E1"/>
    <w:rsid w:val="002F7AF6"/>
    <w:rsid w:val="00300E63"/>
    <w:rsid w:val="00302F5F"/>
    <w:rsid w:val="0030441D"/>
    <w:rsid w:val="00306063"/>
    <w:rsid w:val="00313537"/>
    <w:rsid w:val="00313B85"/>
    <w:rsid w:val="00316B8D"/>
    <w:rsid w:val="00317988"/>
    <w:rsid w:val="003221B4"/>
    <w:rsid w:val="0032258D"/>
    <w:rsid w:val="00322E62"/>
    <w:rsid w:val="00324D13"/>
    <w:rsid w:val="00324EDD"/>
    <w:rsid w:val="00326B69"/>
    <w:rsid w:val="003331E4"/>
    <w:rsid w:val="00336C64"/>
    <w:rsid w:val="00337162"/>
    <w:rsid w:val="0034194F"/>
    <w:rsid w:val="00344605"/>
    <w:rsid w:val="003474AA"/>
    <w:rsid w:val="00350D1D"/>
    <w:rsid w:val="00350FE4"/>
    <w:rsid w:val="00352B67"/>
    <w:rsid w:val="00352C83"/>
    <w:rsid w:val="00352F1A"/>
    <w:rsid w:val="0036107C"/>
    <w:rsid w:val="003615D2"/>
    <w:rsid w:val="003622DC"/>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90B"/>
    <w:rsid w:val="00382DE7"/>
    <w:rsid w:val="00384FFC"/>
    <w:rsid w:val="003872FC"/>
    <w:rsid w:val="00387ADC"/>
    <w:rsid w:val="00390020"/>
    <w:rsid w:val="003903D6"/>
    <w:rsid w:val="00390EE6"/>
    <w:rsid w:val="0039118F"/>
    <w:rsid w:val="00392AD7"/>
    <w:rsid w:val="003938D9"/>
    <w:rsid w:val="00394376"/>
    <w:rsid w:val="003943FF"/>
    <w:rsid w:val="003974EB"/>
    <w:rsid w:val="00397CC5"/>
    <w:rsid w:val="003A11D1"/>
    <w:rsid w:val="003A1582"/>
    <w:rsid w:val="003A3D9C"/>
    <w:rsid w:val="003A4077"/>
    <w:rsid w:val="003A4AA7"/>
    <w:rsid w:val="003A7B2D"/>
    <w:rsid w:val="003B09AD"/>
    <w:rsid w:val="003B1F18"/>
    <w:rsid w:val="003B5BF0"/>
    <w:rsid w:val="003B60BF"/>
    <w:rsid w:val="003B6BE3"/>
    <w:rsid w:val="003C010C"/>
    <w:rsid w:val="003C0A6C"/>
    <w:rsid w:val="003C14F8"/>
    <w:rsid w:val="003C5A43"/>
    <w:rsid w:val="003D0519"/>
    <w:rsid w:val="003D0FF6"/>
    <w:rsid w:val="003D262C"/>
    <w:rsid w:val="003D28FF"/>
    <w:rsid w:val="003D6D61"/>
    <w:rsid w:val="003E019F"/>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869"/>
    <w:rsid w:val="00405884"/>
    <w:rsid w:val="00407D39"/>
    <w:rsid w:val="0041477A"/>
    <w:rsid w:val="004167A3"/>
    <w:rsid w:val="004227E7"/>
    <w:rsid w:val="00430D04"/>
    <w:rsid w:val="00432DAA"/>
    <w:rsid w:val="00434305"/>
    <w:rsid w:val="00435DF7"/>
    <w:rsid w:val="0043741A"/>
    <w:rsid w:val="0044083F"/>
    <w:rsid w:val="00441AE7"/>
    <w:rsid w:val="00444952"/>
    <w:rsid w:val="00445574"/>
    <w:rsid w:val="004467FB"/>
    <w:rsid w:val="00452D6B"/>
    <w:rsid w:val="00454484"/>
    <w:rsid w:val="0045517B"/>
    <w:rsid w:val="0046016A"/>
    <w:rsid w:val="00463B77"/>
    <w:rsid w:val="00463C7B"/>
    <w:rsid w:val="004644A6"/>
    <w:rsid w:val="004659BD"/>
    <w:rsid w:val="00470775"/>
    <w:rsid w:val="00471B92"/>
    <w:rsid w:val="004746B1"/>
    <w:rsid w:val="0047583F"/>
    <w:rsid w:val="00475DE8"/>
    <w:rsid w:val="00481C44"/>
    <w:rsid w:val="00482BC5"/>
    <w:rsid w:val="00484936"/>
    <w:rsid w:val="00485C89"/>
    <w:rsid w:val="00486BE3"/>
    <w:rsid w:val="004905E4"/>
    <w:rsid w:val="00490A21"/>
    <w:rsid w:val="00490A89"/>
    <w:rsid w:val="00490AB4"/>
    <w:rsid w:val="00492F02"/>
    <w:rsid w:val="004939AE"/>
    <w:rsid w:val="004A12DF"/>
    <w:rsid w:val="004A1BA8"/>
    <w:rsid w:val="004A2651"/>
    <w:rsid w:val="004A35F9"/>
    <w:rsid w:val="004A4B57"/>
    <w:rsid w:val="004A63FA"/>
    <w:rsid w:val="004A6A3D"/>
    <w:rsid w:val="004B0272"/>
    <w:rsid w:val="004B2701"/>
    <w:rsid w:val="004B2E1B"/>
    <w:rsid w:val="004B3AA8"/>
    <w:rsid w:val="004B3E93"/>
    <w:rsid w:val="004C1FBC"/>
    <w:rsid w:val="004C25A2"/>
    <w:rsid w:val="004C3F1D"/>
    <w:rsid w:val="004C458D"/>
    <w:rsid w:val="004C7556"/>
    <w:rsid w:val="004C7E8B"/>
    <w:rsid w:val="004C7E9D"/>
    <w:rsid w:val="004C7F67"/>
    <w:rsid w:val="004D076D"/>
    <w:rsid w:val="004D0EF1"/>
    <w:rsid w:val="004D2253"/>
    <w:rsid w:val="004D342B"/>
    <w:rsid w:val="004D4406"/>
    <w:rsid w:val="004D4A5D"/>
    <w:rsid w:val="004D7C42"/>
    <w:rsid w:val="004E0465"/>
    <w:rsid w:val="004E127B"/>
    <w:rsid w:val="004E1C0A"/>
    <w:rsid w:val="004E30C5"/>
    <w:rsid w:val="004E4AA5"/>
    <w:rsid w:val="004E4AEE"/>
    <w:rsid w:val="004E59E3"/>
    <w:rsid w:val="004E67C0"/>
    <w:rsid w:val="004F391A"/>
    <w:rsid w:val="004F3CFB"/>
    <w:rsid w:val="004F6456"/>
    <w:rsid w:val="004F696E"/>
    <w:rsid w:val="004F6C71"/>
    <w:rsid w:val="00501139"/>
    <w:rsid w:val="0050363E"/>
    <w:rsid w:val="00503681"/>
    <w:rsid w:val="005039BC"/>
    <w:rsid w:val="005043BB"/>
    <w:rsid w:val="00504A3D"/>
    <w:rsid w:val="00505767"/>
    <w:rsid w:val="005073F0"/>
    <w:rsid w:val="00510A7B"/>
    <w:rsid w:val="00512F6E"/>
    <w:rsid w:val="00513038"/>
    <w:rsid w:val="00514174"/>
    <w:rsid w:val="00516088"/>
    <w:rsid w:val="00516B0B"/>
    <w:rsid w:val="005220EC"/>
    <w:rsid w:val="00523ECF"/>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190D"/>
    <w:rsid w:val="00562308"/>
    <w:rsid w:val="0056487B"/>
    <w:rsid w:val="00564FB9"/>
    <w:rsid w:val="00572C6B"/>
    <w:rsid w:val="00573D9E"/>
    <w:rsid w:val="0057403C"/>
    <w:rsid w:val="005801E3"/>
    <w:rsid w:val="00581802"/>
    <w:rsid w:val="0058281E"/>
    <w:rsid w:val="005836A8"/>
    <w:rsid w:val="0058409C"/>
    <w:rsid w:val="00584262"/>
    <w:rsid w:val="00586630"/>
    <w:rsid w:val="00587ADD"/>
    <w:rsid w:val="00593A49"/>
    <w:rsid w:val="00596160"/>
    <w:rsid w:val="005966E2"/>
    <w:rsid w:val="00597007"/>
    <w:rsid w:val="005A0966"/>
    <w:rsid w:val="005A11B7"/>
    <w:rsid w:val="005A260B"/>
    <w:rsid w:val="005A37A0"/>
    <w:rsid w:val="005A4A1B"/>
    <w:rsid w:val="005A7830"/>
    <w:rsid w:val="005A7FCE"/>
    <w:rsid w:val="005B0F3F"/>
    <w:rsid w:val="005B191C"/>
    <w:rsid w:val="005B4903"/>
    <w:rsid w:val="005B51CE"/>
    <w:rsid w:val="005B5885"/>
    <w:rsid w:val="005B5CD7"/>
    <w:rsid w:val="005B6CF6"/>
    <w:rsid w:val="005B7422"/>
    <w:rsid w:val="005C29B8"/>
    <w:rsid w:val="005C5F21"/>
    <w:rsid w:val="005C7156"/>
    <w:rsid w:val="005D0C75"/>
    <w:rsid w:val="005D4171"/>
    <w:rsid w:val="005D5446"/>
    <w:rsid w:val="005D6A95"/>
    <w:rsid w:val="005D6B2C"/>
    <w:rsid w:val="005D6D60"/>
    <w:rsid w:val="005D6D9C"/>
    <w:rsid w:val="005E2335"/>
    <w:rsid w:val="005E34CA"/>
    <w:rsid w:val="005E3C18"/>
    <w:rsid w:val="005E4250"/>
    <w:rsid w:val="005E6812"/>
    <w:rsid w:val="005E7881"/>
    <w:rsid w:val="005E78E0"/>
    <w:rsid w:val="005F0D9C"/>
    <w:rsid w:val="005F284E"/>
    <w:rsid w:val="005F655A"/>
    <w:rsid w:val="006015CE"/>
    <w:rsid w:val="00604784"/>
    <w:rsid w:val="00606419"/>
    <w:rsid w:val="00607D29"/>
    <w:rsid w:val="00612952"/>
    <w:rsid w:val="00614CC1"/>
    <w:rsid w:val="00615A9D"/>
    <w:rsid w:val="00617387"/>
    <w:rsid w:val="006205D6"/>
    <w:rsid w:val="006252D8"/>
    <w:rsid w:val="006259BC"/>
    <w:rsid w:val="0062636B"/>
    <w:rsid w:val="00627774"/>
    <w:rsid w:val="00630572"/>
    <w:rsid w:val="00632182"/>
    <w:rsid w:val="00632AE0"/>
    <w:rsid w:val="00633C17"/>
    <w:rsid w:val="00634D9E"/>
    <w:rsid w:val="006351AA"/>
    <w:rsid w:val="00636E3E"/>
    <w:rsid w:val="006379F7"/>
    <w:rsid w:val="00637E4D"/>
    <w:rsid w:val="00640620"/>
    <w:rsid w:val="00641A1F"/>
    <w:rsid w:val="00645904"/>
    <w:rsid w:val="00651ACB"/>
    <w:rsid w:val="00651C47"/>
    <w:rsid w:val="00652004"/>
    <w:rsid w:val="00652AB2"/>
    <w:rsid w:val="00653FE6"/>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283"/>
    <w:rsid w:val="006852C5"/>
    <w:rsid w:val="00685AAB"/>
    <w:rsid w:val="00693962"/>
    <w:rsid w:val="006A07AA"/>
    <w:rsid w:val="006A20B4"/>
    <w:rsid w:val="006A25E5"/>
    <w:rsid w:val="006A2B46"/>
    <w:rsid w:val="006A336D"/>
    <w:rsid w:val="006A37B9"/>
    <w:rsid w:val="006A3D27"/>
    <w:rsid w:val="006A70EA"/>
    <w:rsid w:val="006B2672"/>
    <w:rsid w:val="006B31D7"/>
    <w:rsid w:val="006B54BF"/>
    <w:rsid w:val="006B5F44"/>
    <w:rsid w:val="006B5F90"/>
    <w:rsid w:val="006B62E4"/>
    <w:rsid w:val="006B7111"/>
    <w:rsid w:val="006C1BBA"/>
    <w:rsid w:val="006C2079"/>
    <w:rsid w:val="006C55BE"/>
    <w:rsid w:val="006C5A62"/>
    <w:rsid w:val="006C5D68"/>
    <w:rsid w:val="006C6976"/>
    <w:rsid w:val="006C6DD0"/>
    <w:rsid w:val="006D04EA"/>
    <w:rsid w:val="006D16C4"/>
    <w:rsid w:val="006D3E96"/>
    <w:rsid w:val="006D4515"/>
    <w:rsid w:val="006D4BB1"/>
    <w:rsid w:val="006D6593"/>
    <w:rsid w:val="006E28E0"/>
    <w:rsid w:val="006F03A8"/>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4E1B"/>
    <w:rsid w:val="00725949"/>
    <w:rsid w:val="00727FA2"/>
    <w:rsid w:val="007322D9"/>
    <w:rsid w:val="00732BC0"/>
    <w:rsid w:val="007363C9"/>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357F"/>
    <w:rsid w:val="00755402"/>
    <w:rsid w:val="00756B26"/>
    <w:rsid w:val="00756EDF"/>
    <w:rsid w:val="007600E3"/>
    <w:rsid w:val="00765C43"/>
    <w:rsid w:val="00765EFB"/>
    <w:rsid w:val="007671CA"/>
    <w:rsid w:val="00767C61"/>
    <w:rsid w:val="0077008A"/>
    <w:rsid w:val="00773C1F"/>
    <w:rsid w:val="00774DA4"/>
    <w:rsid w:val="00776599"/>
    <w:rsid w:val="00776916"/>
    <w:rsid w:val="0078114B"/>
    <w:rsid w:val="00781DD2"/>
    <w:rsid w:val="00783ECF"/>
    <w:rsid w:val="0078413A"/>
    <w:rsid w:val="007959E8"/>
    <w:rsid w:val="00795E9C"/>
    <w:rsid w:val="007A0521"/>
    <w:rsid w:val="007A2E12"/>
    <w:rsid w:val="007A3475"/>
    <w:rsid w:val="007A41C8"/>
    <w:rsid w:val="007A54CE"/>
    <w:rsid w:val="007A5D3A"/>
    <w:rsid w:val="007A6FD9"/>
    <w:rsid w:val="007A7FFA"/>
    <w:rsid w:val="007B04EB"/>
    <w:rsid w:val="007B0D4F"/>
    <w:rsid w:val="007B1875"/>
    <w:rsid w:val="007B24A0"/>
    <w:rsid w:val="007B2A3A"/>
    <w:rsid w:val="007B5A3D"/>
    <w:rsid w:val="007B5B95"/>
    <w:rsid w:val="007B6032"/>
    <w:rsid w:val="007B68EA"/>
    <w:rsid w:val="007B7453"/>
    <w:rsid w:val="007C2D89"/>
    <w:rsid w:val="007C345C"/>
    <w:rsid w:val="007C4593"/>
    <w:rsid w:val="007C5309"/>
    <w:rsid w:val="007C6069"/>
    <w:rsid w:val="007D06C4"/>
    <w:rsid w:val="007D1352"/>
    <w:rsid w:val="007D2508"/>
    <w:rsid w:val="007D346A"/>
    <w:rsid w:val="007D3EDA"/>
    <w:rsid w:val="007D6518"/>
    <w:rsid w:val="007D76BD"/>
    <w:rsid w:val="007E0BF1"/>
    <w:rsid w:val="007F0ED8"/>
    <w:rsid w:val="007F0F63"/>
    <w:rsid w:val="007F7401"/>
    <w:rsid w:val="007F75CE"/>
    <w:rsid w:val="008013A4"/>
    <w:rsid w:val="008027CE"/>
    <w:rsid w:val="00802F42"/>
    <w:rsid w:val="00804383"/>
    <w:rsid w:val="00804BB7"/>
    <w:rsid w:val="00804D41"/>
    <w:rsid w:val="0080605E"/>
    <w:rsid w:val="00810257"/>
    <w:rsid w:val="008104F5"/>
    <w:rsid w:val="00811072"/>
    <w:rsid w:val="00811369"/>
    <w:rsid w:val="008121E7"/>
    <w:rsid w:val="00813371"/>
    <w:rsid w:val="00815419"/>
    <w:rsid w:val="008163C8"/>
    <w:rsid w:val="008164A1"/>
    <w:rsid w:val="008168E1"/>
    <w:rsid w:val="00817325"/>
    <w:rsid w:val="008209E6"/>
    <w:rsid w:val="00821D19"/>
    <w:rsid w:val="00823303"/>
    <w:rsid w:val="008233B2"/>
    <w:rsid w:val="00823A9F"/>
    <w:rsid w:val="00823C85"/>
    <w:rsid w:val="00825138"/>
    <w:rsid w:val="008269DD"/>
    <w:rsid w:val="00830621"/>
    <w:rsid w:val="0083348C"/>
    <w:rsid w:val="00835287"/>
    <w:rsid w:val="008373D3"/>
    <w:rsid w:val="00840617"/>
    <w:rsid w:val="00840F84"/>
    <w:rsid w:val="00842A47"/>
    <w:rsid w:val="00843C13"/>
    <w:rsid w:val="00843DEF"/>
    <w:rsid w:val="008454F8"/>
    <w:rsid w:val="0085173A"/>
    <w:rsid w:val="008518D4"/>
    <w:rsid w:val="008603CE"/>
    <w:rsid w:val="008620FC"/>
    <w:rsid w:val="008627A5"/>
    <w:rsid w:val="00863E05"/>
    <w:rsid w:val="00864853"/>
    <w:rsid w:val="00865ACA"/>
    <w:rsid w:val="00865D28"/>
    <w:rsid w:val="00865F85"/>
    <w:rsid w:val="00867C10"/>
    <w:rsid w:val="00870439"/>
    <w:rsid w:val="00870DA1"/>
    <w:rsid w:val="008837EA"/>
    <w:rsid w:val="00883F93"/>
    <w:rsid w:val="00884DB3"/>
    <w:rsid w:val="00885A9D"/>
    <w:rsid w:val="008864F6"/>
    <w:rsid w:val="0089049D"/>
    <w:rsid w:val="0089211F"/>
    <w:rsid w:val="008928C9"/>
    <w:rsid w:val="008930CB"/>
    <w:rsid w:val="008938DC"/>
    <w:rsid w:val="00893FD1"/>
    <w:rsid w:val="00894836"/>
    <w:rsid w:val="00895172"/>
    <w:rsid w:val="00895680"/>
    <w:rsid w:val="00896DFF"/>
    <w:rsid w:val="0089762C"/>
    <w:rsid w:val="008A173B"/>
    <w:rsid w:val="008A1893"/>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95F"/>
    <w:rsid w:val="008E1B3E"/>
    <w:rsid w:val="008E2319"/>
    <w:rsid w:val="008E4BB6"/>
    <w:rsid w:val="008E5518"/>
    <w:rsid w:val="008E6A84"/>
    <w:rsid w:val="008F0CDC"/>
    <w:rsid w:val="008F17A3"/>
    <w:rsid w:val="008F1ED3"/>
    <w:rsid w:val="008F32DA"/>
    <w:rsid w:val="008F4C29"/>
    <w:rsid w:val="008F70BD"/>
    <w:rsid w:val="008F73E1"/>
    <w:rsid w:val="008F788F"/>
    <w:rsid w:val="008F7EA2"/>
    <w:rsid w:val="00902722"/>
    <w:rsid w:val="009027BC"/>
    <w:rsid w:val="00904643"/>
    <w:rsid w:val="009062E6"/>
    <w:rsid w:val="009067C3"/>
    <w:rsid w:val="00911BE5"/>
    <w:rsid w:val="00913CA9"/>
    <w:rsid w:val="009145AE"/>
    <w:rsid w:val="009146CE"/>
    <w:rsid w:val="00914CA7"/>
    <w:rsid w:val="00915C3E"/>
    <w:rsid w:val="009161A8"/>
    <w:rsid w:val="009245AE"/>
    <w:rsid w:val="009245F5"/>
    <w:rsid w:val="009249EC"/>
    <w:rsid w:val="009273B3"/>
    <w:rsid w:val="009305B5"/>
    <w:rsid w:val="009378DD"/>
    <w:rsid w:val="009429D5"/>
    <w:rsid w:val="00942BF1"/>
    <w:rsid w:val="00945180"/>
    <w:rsid w:val="00945428"/>
    <w:rsid w:val="0094607B"/>
    <w:rsid w:val="009505B1"/>
    <w:rsid w:val="00953604"/>
    <w:rsid w:val="0095496B"/>
    <w:rsid w:val="0095609D"/>
    <w:rsid w:val="00960F1E"/>
    <w:rsid w:val="009610DC"/>
    <w:rsid w:val="00961490"/>
    <w:rsid w:val="0096381A"/>
    <w:rsid w:val="00965E04"/>
    <w:rsid w:val="009674AD"/>
    <w:rsid w:val="00970CDC"/>
    <w:rsid w:val="00973D51"/>
    <w:rsid w:val="00975727"/>
    <w:rsid w:val="00977010"/>
    <w:rsid w:val="009772E0"/>
    <w:rsid w:val="00977D02"/>
    <w:rsid w:val="00977FF9"/>
    <w:rsid w:val="009809BB"/>
    <w:rsid w:val="009833C0"/>
    <w:rsid w:val="0098364B"/>
    <w:rsid w:val="009908A3"/>
    <w:rsid w:val="009911AF"/>
    <w:rsid w:val="00991875"/>
    <w:rsid w:val="00991F92"/>
    <w:rsid w:val="00992985"/>
    <w:rsid w:val="00993889"/>
    <w:rsid w:val="0099551B"/>
    <w:rsid w:val="00996BD2"/>
    <w:rsid w:val="00997BF1"/>
    <w:rsid w:val="009A089C"/>
    <w:rsid w:val="009A118E"/>
    <w:rsid w:val="009A21CD"/>
    <w:rsid w:val="009A278C"/>
    <w:rsid w:val="009A2BC2"/>
    <w:rsid w:val="009A42C1"/>
    <w:rsid w:val="009A5429"/>
    <w:rsid w:val="009A72AD"/>
    <w:rsid w:val="009B09E0"/>
    <w:rsid w:val="009B0BC5"/>
    <w:rsid w:val="009B1247"/>
    <w:rsid w:val="009B6029"/>
    <w:rsid w:val="009B6971"/>
    <w:rsid w:val="009C27F1"/>
    <w:rsid w:val="009C3152"/>
    <w:rsid w:val="009C3257"/>
    <w:rsid w:val="009C4CFA"/>
    <w:rsid w:val="009C5070"/>
    <w:rsid w:val="009D112C"/>
    <w:rsid w:val="009D1385"/>
    <w:rsid w:val="009D47FA"/>
    <w:rsid w:val="009D4C5B"/>
    <w:rsid w:val="009D50D2"/>
    <w:rsid w:val="009D6BCA"/>
    <w:rsid w:val="009E0F62"/>
    <w:rsid w:val="009E1669"/>
    <w:rsid w:val="009E4A58"/>
    <w:rsid w:val="009E5A2D"/>
    <w:rsid w:val="009E5AB2"/>
    <w:rsid w:val="009E6219"/>
    <w:rsid w:val="009F015F"/>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3C67"/>
    <w:rsid w:val="00A3597D"/>
    <w:rsid w:val="00A36DD1"/>
    <w:rsid w:val="00A4006C"/>
    <w:rsid w:val="00A40091"/>
    <w:rsid w:val="00A4030F"/>
    <w:rsid w:val="00A413BF"/>
    <w:rsid w:val="00A41C79"/>
    <w:rsid w:val="00A41CB5"/>
    <w:rsid w:val="00A429B4"/>
    <w:rsid w:val="00A42CDF"/>
    <w:rsid w:val="00A4452E"/>
    <w:rsid w:val="00A4472C"/>
    <w:rsid w:val="00A44E69"/>
    <w:rsid w:val="00A4661E"/>
    <w:rsid w:val="00A52A5D"/>
    <w:rsid w:val="00A54211"/>
    <w:rsid w:val="00A55BD6"/>
    <w:rsid w:val="00A55D50"/>
    <w:rsid w:val="00A57142"/>
    <w:rsid w:val="00A648CD"/>
    <w:rsid w:val="00A652DB"/>
    <w:rsid w:val="00A6537A"/>
    <w:rsid w:val="00A67866"/>
    <w:rsid w:val="00A70B07"/>
    <w:rsid w:val="00A723F8"/>
    <w:rsid w:val="00A77CCB"/>
    <w:rsid w:val="00A83D8D"/>
    <w:rsid w:val="00A8446B"/>
    <w:rsid w:val="00A8473F"/>
    <w:rsid w:val="00A862D6"/>
    <w:rsid w:val="00A8715E"/>
    <w:rsid w:val="00A9295B"/>
    <w:rsid w:val="00A93B09"/>
    <w:rsid w:val="00A952D7"/>
    <w:rsid w:val="00A963F7"/>
    <w:rsid w:val="00A96AD8"/>
    <w:rsid w:val="00AA052C"/>
    <w:rsid w:val="00AA1E45"/>
    <w:rsid w:val="00AA4286"/>
    <w:rsid w:val="00AA456B"/>
    <w:rsid w:val="00AA57F5"/>
    <w:rsid w:val="00AA672E"/>
    <w:rsid w:val="00AA6EC9"/>
    <w:rsid w:val="00AB55FE"/>
    <w:rsid w:val="00AB5C5E"/>
    <w:rsid w:val="00AB6309"/>
    <w:rsid w:val="00AB6C5F"/>
    <w:rsid w:val="00AB7129"/>
    <w:rsid w:val="00AC2704"/>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2A69"/>
    <w:rsid w:val="00AE37E5"/>
    <w:rsid w:val="00AE5EB4"/>
    <w:rsid w:val="00AE6C6F"/>
    <w:rsid w:val="00AF0C18"/>
    <w:rsid w:val="00AF47C5"/>
    <w:rsid w:val="00AF5398"/>
    <w:rsid w:val="00B049AF"/>
    <w:rsid w:val="00B07242"/>
    <w:rsid w:val="00B10534"/>
    <w:rsid w:val="00B113DB"/>
    <w:rsid w:val="00B11D8A"/>
    <w:rsid w:val="00B12981"/>
    <w:rsid w:val="00B147DD"/>
    <w:rsid w:val="00B156FD"/>
    <w:rsid w:val="00B20DAC"/>
    <w:rsid w:val="00B21F61"/>
    <w:rsid w:val="00B261F1"/>
    <w:rsid w:val="00B265BC"/>
    <w:rsid w:val="00B31FB1"/>
    <w:rsid w:val="00B33952"/>
    <w:rsid w:val="00B33C5E"/>
    <w:rsid w:val="00B342F4"/>
    <w:rsid w:val="00B34369"/>
    <w:rsid w:val="00B34DC2"/>
    <w:rsid w:val="00B351A0"/>
    <w:rsid w:val="00B378E5"/>
    <w:rsid w:val="00B4346D"/>
    <w:rsid w:val="00B440F4"/>
    <w:rsid w:val="00B447A5"/>
    <w:rsid w:val="00B4654C"/>
    <w:rsid w:val="00B47293"/>
    <w:rsid w:val="00B50E50"/>
    <w:rsid w:val="00B52120"/>
    <w:rsid w:val="00B54ABC"/>
    <w:rsid w:val="00B56FBE"/>
    <w:rsid w:val="00B60ACF"/>
    <w:rsid w:val="00B62B58"/>
    <w:rsid w:val="00B65149"/>
    <w:rsid w:val="00B66567"/>
    <w:rsid w:val="00B66F52"/>
    <w:rsid w:val="00B66FE5"/>
    <w:rsid w:val="00B72880"/>
    <w:rsid w:val="00B74941"/>
    <w:rsid w:val="00B758BF"/>
    <w:rsid w:val="00B76980"/>
    <w:rsid w:val="00B77EC8"/>
    <w:rsid w:val="00B827A6"/>
    <w:rsid w:val="00B831CE"/>
    <w:rsid w:val="00B86677"/>
    <w:rsid w:val="00B87131"/>
    <w:rsid w:val="00B920F8"/>
    <w:rsid w:val="00B939B1"/>
    <w:rsid w:val="00B96D40"/>
    <w:rsid w:val="00B97386"/>
    <w:rsid w:val="00BA263B"/>
    <w:rsid w:val="00BA42B2"/>
    <w:rsid w:val="00BA58D4"/>
    <w:rsid w:val="00BA5B9E"/>
    <w:rsid w:val="00BA7C9A"/>
    <w:rsid w:val="00BB5F8F"/>
    <w:rsid w:val="00BB657A"/>
    <w:rsid w:val="00BC1A4E"/>
    <w:rsid w:val="00BC5DC7"/>
    <w:rsid w:val="00BC6B8B"/>
    <w:rsid w:val="00BC73D8"/>
    <w:rsid w:val="00BD52D7"/>
    <w:rsid w:val="00BD5AD2"/>
    <w:rsid w:val="00BE22F3"/>
    <w:rsid w:val="00BE5B52"/>
    <w:rsid w:val="00BE7B8D"/>
    <w:rsid w:val="00BF004C"/>
    <w:rsid w:val="00BF0993"/>
    <w:rsid w:val="00BF10A9"/>
    <w:rsid w:val="00BF1703"/>
    <w:rsid w:val="00BF231C"/>
    <w:rsid w:val="00BF3511"/>
    <w:rsid w:val="00BF51E5"/>
    <w:rsid w:val="00BF74A6"/>
    <w:rsid w:val="00C013AD"/>
    <w:rsid w:val="00C04904"/>
    <w:rsid w:val="00C056B3"/>
    <w:rsid w:val="00C103E5"/>
    <w:rsid w:val="00C13319"/>
    <w:rsid w:val="00C1364A"/>
    <w:rsid w:val="00C13EE9"/>
    <w:rsid w:val="00C21540"/>
    <w:rsid w:val="00C21906"/>
    <w:rsid w:val="00C21BFA"/>
    <w:rsid w:val="00C227B9"/>
    <w:rsid w:val="00C24C8D"/>
    <w:rsid w:val="00C25FE2"/>
    <w:rsid w:val="00C26B53"/>
    <w:rsid w:val="00C279B2"/>
    <w:rsid w:val="00C33E50"/>
    <w:rsid w:val="00C34C20"/>
    <w:rsid w:val="00C35A3E"/>
    <w:rsid w:val="00C36F70"/>
    <w:rsid w:val="00C401CB"/>
    <w:rsid w:val="00C42130"/>
    <w:rsid w:val="00C423A4"/>
    <w:rsid w:val="00C423E3"/>
    <w:rsid w:val="00C44BF5"/>
    <w:rsid w:val="00C521D6"/>
    <w:rsid w:val="00C55232"/>
    <w:rsid w:val="00C553A4"/>
    <w:rsid w:val="00C55A06"/>
    <w:rsid w:val="00C55D03"/>
    <w:rsid w:val="00C601BC"/>
    <w:rsid w:val="00C6329F"/>
    <w:rsid w:val="00C63340"/>
    <w:rsid w:val="00C643F9"/>
    <w:rsid w:val="00C646A2"/>
    <w:rsid w:val="00C64E95"/>
    <w:rsid w:val="00C71372"/>
    <w:rsid w:val="00C72410"/>
    <w:rsid w:val="00C7287F"/>
    <w:rsid w:val="00C75C66"/>
    <w:rsid w:val="00C777C9"/>
    <w:rsid w:val="00C80CB8"/>
    <w:rsid w:val="00C819F8"/>
    <w:rsid w:val="00C8248C"/>
    <w:rsid w:val="00C84E33"/>
    <w:rsid w:val="00C86D6F"/>
    <w:rsid w:val="00C905FC"/>
    <w:rsid w:val="00C92D03"/>
    <w:rsid w:val="00C9319C"/>
    <w:rsid w:val="00C9435D"/>
    <w:rsid w:val="00C94DF2"/>
    <w:rsid w:val="00C96741"/>
    <w:rsid w:val="00C96DDE"/>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E0C4F"/>
    <w:rsid w:val="00CE30EA"/>
    <w:rsid w:val="00CF048A"/>
    <w:rsid w:val="00CF155A"/>
    <w:rsid w:val="00CF2947"/>
    <w:rsid w:val="00CF686F"/>
    <w:rsid w:val="00CF6E60"/>
    <w:rsid w:val="00CF7BCA"/>
    <w:rsid w:val="00D008FD"/>
    <w:rsid w:val="00D0321C"/>
    <w:rsid w:val="00D035EC"/>
    <w:rsid w:val="00D06AB1"/>
    <w:rsid w:val="00D06FC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3333"/>
    <w:rsid w:val="00D34A4E"/>
    <w:rsid w:val="00D352A2"/>
    <w:rsid w:val="00D4162B"/>
    <w:rsid w:val="00D4514F"/>
    <w:rsid w:val="00D451E2"/>
    <w:rsid w:val="00D45E89"/>
    <w:rsid w:val="00D45E8D"/>
    <w:rsid w:val="00D466AE"/>
    <w:rsid w:val="00D4734F"/>
    <w:rsid w:val="00D51BF3"/>
    <w:rsid w:val="00D66846"/>
    <w:rsid w:val="00D675FB"/>
    <w:rsid w:val="00D71F25"/>
    <w:rsid w:val="00D72A9C"/>
    <w:rsid w:val="00D77031"/>
    <w:rsid w:val="00D84941"/>
    <w:rsid w:val="00D84FA1"/>
    <w:rsid w:val="00D851F0"/>
    <w:rsid w:val="00D86DB7"/>
    <w:rsid w:val="00D87BF5"/>
    <w:rsid w:val="00D9049E"/>
    <w:rsid w:val="00D90721"/>
    <w:rsid w:val="00D926D0"/>
    <w:rsid w:val="00D93030"/>
    <w:rsid w:val="00D950E1"/>
    <w:rsid w:val="00D952A6"/>
    <w:rsid w:val="00D97F99"/>
    <w:rsid w:val="00DA1E08"/>
    <w:rsid w:val="00DA24F8"/>
    <w:rsid w:val="00DA28E8"/>
    <w:rsid w:val="00DA38D3"/>
    <w:rsid w:val="00DA3932"/>
    <w:rsid w:val="00DA3AFC"/>
    <w:rsid w:val="00DA64F8"/>
    <w:rsid w:val="00DA6C15"/>
    <w:rsid w:val="00DB0258"/>
    <w:rsid w:val="00DB286E"/>
    <w:rsid w:val="00DB38EE"/>
    <w:rsid w:val="00DB498B"/>
    <w:rsid w:val="00DB66CA"/>
    <w:rsid w:val="00DB6BCA"/>
    <w:rsid w:val="00DB6F54"/>
    <w:rsid w:val="00DB73F7"/>
    <w:rsid w:val="00DC0321"/>
    <w:rsid w:val="00DC3067"/>
    <w:rsid w:val="00DC370B"/>
    <w:rsid w:val="00DC5B90"/>
    <w:rsid w:val="00DD00FF"/>
    <w:rsid w:val="00DD0619"/>
    <w:rsid w:val="00DD07FB"/>
    <w:rsid w:val="00DD25C6"/>
    <w:rsid w:val="00DD4FE5"/>
    <w:rsid w:val="00DD54B0"/>
    <w:rsid w:val="00DD57EE"/>
    <w:rsid w:val="00DD6BCC"/>
    <w:rsid w:val="00DE0652"/>
    <w:rsid w:val="00DE0A4B"/>
    <w:rsid w:val="00DE2410"/>
    <w:rsid w:val="00DE2939"/>
    <w:rsid w:val="00DE6E81"/>
    <w:rsid w:val="00DE703F"/>
    <w:rsid w:val="00DE7595"/>
    <w:rsid w:val="00DF1961"/>
    <w:rsid w:val="00DF3BCA"/>
    <w:rsid w:val="00DF44DE"/>
    <w:rsid w:val="00E01138"/>
    <w:rsid w:val="00E02DFB"/>
    <w:rsid w:val="00E030F9"/>
    <w:rsid w:val="00E0311A"/>
    <w:rsid w:val="00E03138"/>
    <w:rsid w:val="00E06404"/>
    <w:rsid w:val="00E11A85"/>
    <w:rsid w:val="00E12495"/>
    <w:rsid w:val="00E15CCD"/>
    <w:rsid w:val="00E202EF"/>
    <w:rsid w:val="00E210B5"/>
    <w:rsid w:val="00E2552F"/>
    <w:rsid w:val="00E3137A"/>
    <w:rsid w:val="00E32CCF"/>
    <w:rsid w:val="00E337C0"/>
    <w:rsid w:val="00E34A98"/>
    <w:rsid w:val="00E35D1E"/>
    <w:rsid w:val="00E364F9"/>
    <w:rsid w:val="00E365FA"/>
    <w:rsid w:val="00E36789"/>
    <w:rsid w:val="00E44A83"/>
    <w:rsid w:val="00E502C1"/>
    <w:rsid w:val="00E502DD"/>
    <w:rsid w:val="00E50D3A"/>
    <w:rsid w:val="00E51387"/>
    <w:rsid w:val="00E51E68"/>
    <w:rsid w:val="00E52EFD"/>
    <w:rsid w:val="00E5408A"/>
    <w:rsid w:val="00E55624"/>
    <w:rsid w:val="00E56800"/>
    <w:rsid w:val="00E60C63"/>
    <w:rsid w:val="00E620A9"/>
    <w:rsid w:val="00E62FF9"/>
    <w:rsid w:val="00E635D6"/>
    <w:rsid w:val="00E639BC"/>
    <w:rsid w:val="00E664CC"/>
    <w:rsid w:val="00E70388"/>
    <w:rsid w:val="00E70F92"/>
    <w:rsid w:val="00E71A32"/>
    <w:rsid w:val="00E74313"/>
    <w:rsid w:val="00E74C54"/>
    <w:rsid w:val="00E755E3"/>
    <w:rsid w:val="00E75DE4"/>
    <w:rsid w:val="00E77A03"/>
    <w:rsid w:val="00E822E8"/>
    <w:rsid w:val="00E82554"/>
    <w:rsid w:val="00E82606"/>
    <w:rsid w:val="00E831C1"/>
    <w:rsid w:val="00E846C8"/>
    <w:rsid w:val="00E84957"/>
    <w:rsid w:val="00E84A55"/>
    <w:rsid w:val="00E85BFF"/>
    <w:rsid w:val="00E900DA"/>
    <w:rsid w:val="00E90391"/>
    <w:rsid w:val="00E906C2"/>
    <w:rsid w:val="00E9311F"/>
    <w:rsid w:val="00E934D1"/>
    <w:rsid w:val="00E94AF0"/>
    <w:rsid w:val="00E95D13"/>
    <w:rsid w:val="00E95DD3"/>
    <w:rsid w:val="00E969D5"/>
    <w:rsid w:val="00EA58D1"/>
    <w:rsid w:val="00EA61BC"/>
    <w:rsid w:val="00EA681A"/>
    <w:rsid w:val="00EA735B"/>
    <w:rsid w:val="00EB1E69"/>
    <w:rsid w:val="00EB2086"/>
    <w:rsid w:val="00EB31ED"/>
    <w:rsid w:val="00EB5E38"/>
    <w:rsid w:val="00EB5EDF"/>
    <w:rsid w:val="00EB60FE"/>
    <w:rsid w:val="00EB74DB"/>
    <w:rsid w:val="00EC5359"/>
    <w:rsid w:val="00EC562A"/>
    <w:rsid w:val="00ED067A"/>
    <w:rsid w:val="00ED2B50"/>
    <w:rsid w:val="00ED75C2"/>
    <w:rsid w:val="00EE0350"/>
    <w:rsid w:val="00EE0719"/>
    <w:rsid w:val="00EE0E80"/>
    <w:rsid w:val="00EE3D08"/>
    <w:rsid w:val="00EE613F"/>
    <w:rsid w:val="00EE7295"/>
    <w:rsid w:val="00EE7869"/>
    <w:rsid w:val="00EF054A"/>
    <w:rsid w:val="00EF3235"/>
    <w:rsid w:val="00EF7076"/>
    <w:rsid w:val="00EF7E72"/>
    <w:rsid w:val="00F06D37"/>
    <w:rsid w:val="00F07B9D"/>
    <w:rsid w:val="00F11586"/>
    <w:rsid w:val="00F1183B"/>
    <w:rsid w:val="00F11C9F"/>
    <w:rsid w:val="00F12263"/>
    <w:rsid w:val="00F129C6"/>
    <w:rsid w:val="00F1409D"/>
    <w:rsid w:val="00F14214"/>
    <w:rsid w:val="00F14A9C"/>
    <w:rsid w:val="00F157A9"/>
    <w:rsid w:val="00F16F00"/>
    <w:rsid w:val="00F25BB6"/>
    <w:rsid w:val="00F26B7E"/>
    <w:rsid w:val="00F27A3B"/>
    <w:rsid w:val="00F32780"/>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E22"/>
    <w:rsid w:val="00F72142"/>
    <w:rsid w:val="00F72AE7"/>
    <w:rsid w:val="00F74621"/>
    <w:rsid w:val="00F7577C"/>
    <w:rsid w:val="00F833BA"/>
    <w:rsid w:val="00F84FD0"/>
    <w:rsid w:val="00F859A8"/>
    <w:rsid w:val="00F86D87"/>
    <w:rsid w:val="00F877A9"/>
    <w:rsid w:val="00F9108B"/>
    <w:rsid w:val="00F91349"/>
    <w:rsid w:val="00F93A8A"/>
    <w:rsid w:val="00F95248"/>
    <w:rsid w:val="00F956A9"/>
    <w:rsid w:val="00F963ED"/>
    <w:rsid w:val="00F966CF"/>
    <w:rsid w:val="00F96CAE"/>
    <w:rsid w:val="00F976AD"/>
    <w:rsid w:val="00F97C99"/>
    <w:rsid w:val="00FA0867"/>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D73AB"/>
    <w:rsid w:val="00FE1FBE"/>
    <w:rsid w:val="00FE3901"/>
    <w:rsid w:val="00FE39D3"/>
    <w:rsid w:val="00FE4BCE"/>
    <w:rsid w:val="00FE54AE"/>
    <w:rsid w:val="00FE576A"/>
    <w:rsid w:val="00FE7E79"/>
    <w:rsid w:val="00FF3E7D"/>
    <w:rsid w:val="00FF5B99"/>
    <w:rsid w:val="00FF730C"/>
    <w:rsid w:val="00FF73F4"/>
    <w:rsid w:val="00FF7CE4"/>
    <w:rsid w:val="00FF7E39"/>
    <w:rsid w:val="09714F56"/>
    <w:rsid w:val="2F085350"/>
    <w:rsid w:val="5BCA3133"/>
    <w:rsid w:val="71723A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4"/>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5"/>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6"/>
    <w:qFormat/>
    <w:uiPriority w:val="0"/>
    <w:pPr>
      <w:keepNext/>
      <w:keepLines/>
      <w:spacing w:before="260" w:after="260" w:line="416" w:lineRule="auto"/>
      <w:outlineLvl w:val="2"/>
    </w:pPr>
    <w:rPr>
      <w:b/>
      <w:bCs/>
      <w:sz w:val="32"/>
      <w:szCs w:val="32"/>
    </w:rPr>
  </w:style>
  <w:style w:type="paragraph" w:styleId="5">
    <w:name w:val="heading 4"/>
    <w:basedOn w:val="1"/>
    <w:next w:val="1"/>
    <w:link w:val="37"/>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38"/>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39"/>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0"/>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1"/>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2"/>
    <w:qFormat/>
    <w:uiPriority w:val="0"/>
    <w:pPr>
      <w:keepNext/>
      <w:keepLines/>
      <w:adjustRightInd/>
      <w:spacing w:before="240" w:after="64" w:line="320" w:lineRule="auto"/>
      <w:outlineLvl w:val="8"/>
    </w:pPr>
    <w:rPr>
      <w:rFonts w:ascii="Arial" w:hAnsi="Arial" w:eastAsia="黑体"/>
    </w:rPr>
  </w:style>
  <w:style w:type="character" w:default="1" w:styleId="28">
    <w:name w:val="Default Paragraph Font"/>
    <w:semiHidden/>
    <w:unhideWhenUsed/>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autoRedefine/>
    <w:unhideWhenUsed/>
    <w:qFormat/>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Body Text"/>
    <w:basedOn w:val="1"/>
    <w:link w:val="86"/>
    <w:qFormat/>
    <w:uiPriority w:val="0"/>
    <w:pPr>
      <w:spacing w:after="120"/>
    </w:pPr>
  </w:style>
  <w:style w:type="paragraph" w:styleId="14">
    <w:name w:val="toc 5"/>
    <w:basedOn w:val="1"/>
    <w:next w:val="1"/>
    <w:autoRedefine/>
    <w:unhideWhenUsed/>
    <w:qFormat/>
    <w:uiPriority w:val="39"/>
    <w:pPr>
      <w:ind w:left="839"/>
    </w:pPr>
    <w:rPr>
      <w:rFonts w:ascii="宋体"/>
    </w:rPr>
  </w:style>
  <w:style w:type="paragraph" w:styleId="15">
    <w:name w:val="toc 3"/>
    <w:basedOn w:val="1"/>
    <w:next w:val="1"/>
    <w:autoRedefine/>
    <w:unhideWhenUsed/>
    <w:qFormat/>
    <w:uiPriority w:val="39"/>
    <w:pPr>
      <w:spacing w:line="300" w:lineRule="exact"/>
      <w:ind w:left="420"/>
    </w:pPr>
    <w:rPr>
      <w:rFonts w:ascii="宋体"/>
    </w:rPr>
  </w:style>
  <w:style w:type="paragraph" w:styleId="16">
    <w:name w:val="Balloon Text"/>
    <w:basedOn w:val="1"/>
    <w:link w:val="45"/>
    <w:semiHidden/>
    <w:unhideWhenUsed/>
    <w:qFormat/>
    <w:uiPriority w:val="99"/>
    <w:rPr>
      <w:sz w:val="18"/>
      <w:szCs w:val="18"/>
    </w:rPr>
  </w:style>
  <w:style w:type="paragraph" w:styleId="17">
    <w:name w:val="footer"/>
    <w:basedOn w:val="1"/>
    <w:link w:val="44"/>
    <w:qFormat/>
    <w:uiPriority w:val="99"/>
    <w:pPr>
      <w:tabs>
        <w:tab w:val="center" w:pos="4153"/>
        <w:tab w:val="right" w:pos="8306"/>
      </w:tabs>
      <w:adjustRightInd/>
      <w:snapToGrid w:val="0"/>
      <w:spacing w:line="240" w:lineRule="auto"/>
      <w:jc w:val="right"/>
    </w:pPr>
    <w:rPr>
      <w:rFonts w:ascii="宋体"/>
      <w:sz w:val="18"/>
      <w:szCs w:val="18"/>
    </w:rPr>
  </w:style>
  <w:style w:type="paragraph" w:styleId="18">
    <w:name w:val="header"/>
    <w:basedOn w:val="1"/>
    <w:link w:val="43"/>
    <w:qFormat/>
    <w:uiPriority w:val="99"/>
    <w:pPr>
      <w:tabs>
        <w:tab w:val="center" w:pos="4153"/>
        <w:tab w:val="right" w:pos="8306"/>
      </w:tabs>
      <w:adjustRightInd/>
      <w:snapToGrid w:val="0"/>
      <w:jc w:val="center"/>
    </w:pPr>
    <w:rPr>
      <w:sz w:val="18"/>
      <w:szCs w:val="18"/>
    </w:rPr>
  </w:style>
  <w:style w:type="paragraph" w:styleId="19">
    <w:name w:val="toc 1"/>
    <w:basedOn w:val="1"/>
    <w:next w:val="1"/>
    <w:autoRedefine/>
    <w:unhideWhenUsed/>
    <w:qFormat/>
    <w:uiPriority w:val="39"/>
    <w:rPr>
      <w:rFonts w:ascii="宋体"/>
    </w:rPr>
  </w:style>
  <w:style w:type="paragraph" w:styleId="20">
    <w:name w:val="toc 4"/>
    <w:basedOn w:val="1"/>
    <w:next w:val="1"/>
    <w:autoRedefine/>
    <w:unhideWhenUsed/>
    <w:qFormat/>
    <w:uiPriority w:val="39"/>
    <w:pPr>
      <w:tabs>
        <w:tab w:val="right" w:leader="dot" w:pos="9344"/>
      </w:tabs>
      <w:spacing w:line="300" w:lineRule="exact"/>
      <w:ind w:left="629"/>
    </w:pPr>
    <w:rPr>
      <w:rFonts w:ascii="宋体"/>
    </w:rPr>
  </w:style>
  <w:style w:type="paragraph" w:styleId="21">
    <w:name w:val="footnote text"/>
    <w:basedOn w:val="1"/>
    <w:next w:val="1"/>
    <w:link w:val="99"/>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2">
    <w:name w:val="toc 6"/>
    <w:basedOn w:val="1"/>
    <w:next w:val="1"/>
    <w:autoRedefine/>
    <w:unhideWhenUsed/>
    <w:qFormat/>
    <w:uiPriority w:val="39"/>
    <w:pPr>
      <w:spacing w:line="300" w:lineRule="exact"/>
      <w:ind w:left="1049"/>
    </w:pPr>
    <w:rPr>
      <w:rFonts w:ascii="宋体"/>
    </w:rPr>
  </w:style>
  <w:style w:type="paragraph" w:styleId="23">
    <w:name w:val="table of figures"/>
    <w:basedOn w:val="1"/>
    <w:next w:val="1"/>
    <w:semiHidden/>
    <w:qFormat/>
    <w:uiPriority w:val="0"/>
    <w:pPr>
      <w:adjustRightInd/>
      <w:spacing w:line="240" w:lineRule="auto"/>
      <w:jc w:val="left"/>
    </w:pPr>
    <w:rPr>
      <w:szCs w:val="24"/>
    </w:rPr>
  </w:style>
  <w:style w:type="paragraph" w:styleId="24">
    <w:name w:val="toc 2"/>
    <w:basedOn w:val="1"/>
    <w:next w:val="1"/>
    <w:autoRedefine/>
    <w:unhideWhenUsed/>
    <w:qFormat/>
    <w:uiPriority w:val="39"/>
    <w:pPr>
      <w:tabs>
        <w:tab w:val="right" w:leader="dot" w:pos="9344"/>
      </w:tabs>
      <w:spacing w:line="300" w:lineRule="exact"/>
      <w:ind w:left="210"/>
    </w:pPr>
    <w:rPr>
      <w:rFonts w:ascii="宋体"/>
    </w:rPr>
  </w:style>
  <w:style w:type="paragraph" w:styleId="25">
    <w:name w:val="Title"/>
    <w:basedOn w:val="1"/>
    <w:link w:val="48"/>
    <w:qFormat/>
    <w:uiPriority w:val="0"/>
    <w:pPr>
      <w:spacing w:before="240" w:after="60"/>
      <w:jc w:val="center"/>
      <w:outlineLvl w:val="0"/>
    </w:pPr>
    <w:rPr>
      <w:rFonts w:ascii="Arial" w:hAnsi="Arial" w:cs="Arial"/>
      <w:b/>
      <w:bCs/>
      <w:sz w:val="32"/>
      <w:szCs w:val="32"/>
    </w:rPr>
  </w:style>
  <w:style w:type="table" w:styleId="27">
    <w:name w:val="Table Grid"/>
    <w:basedOn w:val="2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qFormat/>
    <w:uiPriority w:val="22"/>
    <w:rPr>
      <w:b/>
      <w:bCs/>
    </w:rPr>
  </w:style>
  <w:style w:type="character" w:styleId="30">
    <w:name w:val="page number"/>
    <w:qFormat/>
    <w:uiPriority w:val="0"/>
    <w:rPr>
      <w:rFonts w:ascii="宋体" w:hAnsi="Times New Roman" w:eastAsia="宋体"/>
      <w:sz w:val="18"/>
    </w:rPr>
  </w:style>
  <w:style w:type="character" w:styleId="31">
    <w:name w:val="Emphasis"/>
    <w:qFormat/>
    <w:uiPriority w:val="20"/>
    <w:rPr>
      <w:i/>
      <w:iCs/>
    </w:rPr>
  </w:style>
  <w:style w:type="character" w:styleId="32">
    <w:name w:val="Hyperlink"/>
    <w:qFormat/>
    <w:uiPriority w:val="99"/>
    <w:rPr>
      <w:rFonts w:ascii="宋体" w:hAnsi="Times New Roman" w:eastAsia="宋体"/>
      <w:color w:val="auto"/>
      <w:spacing w:val="0"/>
      <w:w w:val="100"/>
      <w:position w:val="0"/>
      <w:sz w:val="21"/>
      <w:u w:val="none"/>
      <w:vertAlign w:val="baseline"/>
    </w:rPr>
  </w:style>
  <w:style w:type="character" w:styleId="33">
    <w:name w:val="footnote reference"/>
    <w:semiHidden/>
    <w:qFormat/>
    <w:uiPriority w:val="0"/>
    <w:rPr>
      <w:rFonts w:ascii="宋体" w:hAnsi="宋体" w:eastAsia="宋体" w:cs="Times New Roman"/>
      <w:spacing w:val="0"/>
      <w:sz w:val="18"/>
      <w:vertAlign w:val="superscript"/>
    </w:rPr>
  </w:style>
  <w:style w:type="character" w:customStyle="1" w:styleId="34">
    <w:name w:val="标题 1 字符"/>
    <w:link w:val="2"/>
    <w:qFormat/>
    <w:uiPriority w:val="0"/>
    <w:rPr>
      <w:b/>
      <w:bCs/>
      <w:kern w:val="44"/>
      <w:sz w:val="44"/>
      <w:szCs w:val="44"/>
    </w:rPr>
  </w:style>
  <w:style w:type="character" w:customStyle="1" w:styleId="35">
    <w:name w:val="标题 2 字符"/>
    <w:link w:val="3"/>
    <w:qFormat/>
    <w:uiPriority w:val="0"/>
    <w:rPr>
      <w:rFonts w:ascii="Arial" w:hAnsi="Arial" w:eastAsia="黑体"/>
      <w:b/>
      <w:bCs/>
      <w:kern w:val="2"/>
      <w:sz w:val="32"/>
      <w:szCs w:val="32"/>
    </w:rPr>
  </w:style>
  <w:style w:type="character" w:customStyle="1" w:styleId="36">
    <w:name w:val="标题 3 字符"/>
    <w:link w:val="4"/>
    <w:qFormat/>
    <w:uiPriority w:val="0"/>
    <w:rPr>
      <w:b/>
      <w:bCs/>
      <w:kern w:val="2"/>
      <w:sz w:val="32"/>
      <w:szCs w:val="32"/>
    </w:rPr>
  </w:style>
  <w:style w:type="character" w:customStyle="1" w:styleId="37">
    <w:name w:val="标题 4 字符"/>
    <w:link w:val="5"/>
    <w:qFormat/>
    <w:uiPriority w:val="0"/>
    <w:rPr>
      <w:rFonts w:ascii="Arial" w:hAnsi="Arial" w:eastAsia="黑体"/>
      <w:b/>
      <w:bCs/>
      <w:kern w:val="2"/>
      <w:sz w:val="28"/>
      <w:szCs w:val="28"/>
    </w:rPr>
  </w:style>
  <w:style w:type="character" w:customStyle="1" w:styleId="38">
    <w:name w:val="标题 5 字符"/>
    <w:link w:val="6"/>
    <w:qFormat/>
    <w:uiPriority w:val="0"/>
    <w:rPr>
      <w:b/>
      <w:bCs/>
      <w:kern w:val="2"/>
      <w:sz w:val="28"/>
      <w:szCs w:val="28"/>
    </w:rPr>
  </w:style>
  <w:style w:type="character" w:customStyle="1" w:styleId="39">
    <w:name w:val="标题 6 字符"/>
    <w:link w:val="7"/>
    <w:qFormat/>
    <w:uiPriority w:val="0"/>
    <w:rPr>
      <w:rFonts w:ascii="Arial" w:hAnsi="Arial" w:eastAsia="黑体"/>
      <w:b/>
      <w:bCs/>
      <w:kern w:val="2"/>
      <w:sz w:val="24"/>
      <w:szCs w:val="24"/>
    </w:rPr>
  </w:style>
  <w:style w:type="character" w:customStyle="1" w:styleId="40">
    <w:name w:val="标题 7 字符"/>
    <w:link w:val="8"/>
    <w:qFormat/>
    <w:uiPriority w:val="0"/>
    <w:rPr>
      <w:b/>
      <w:bCs/>
      <w:kern w:val="2"/>
      <w:sz w:val="24"/>
      <w:szCs w:val="24"/>
    </w:rPr>
  </w:style>
  <w:style w:type="character" w:customStyle="1" w:styleId="41">
    <w:name w:val="标题 8 字符"/>
    <w:link w:val="9"/>
    <w:qFormat/>
    <w:uiPriority w:val="0"/>
    <w:rPr>
      <w:rFonts w:ascii="Arial" w:hAnsi="Arial" w:eastAsia="黑体"/>
      <w:kern w:val="2"/>
      <w:sz w:val="24"/>
      <w:szCs w:val="24"/>
    </w:rPr>
  </w:style>
  <w:style w:type="character" w:customStyle="1" w:styleId="42">
    <w:name w:val="标题 9 字符"/>
    <w:link w:val="10"/>
    <w:qFormat/>
    <w:uiPriority w:val="0"/>
    <w:rPr>
      <w:rFonts w:ascii="Arial" w:hAnsi="Arial" w:eastAsia="黑体"/>
      <w:kern w:val="2"/>
      <w:sz w:val="21"/>
      <w:szCs w:val="21"/>
    </w:rPr>
  </w:style>
  <w:style w:type="character" w:customStyle="1" w:styleId="43">
    <w:name w:val="页眉 字符"/>
    <w:link w:val="18"/>
    <w:qFormat/>
    <w:uiPriority w:val="99"/>
    <w:rPr>
      <w:kern w:val="2"/>
      <w:sz w:val="18"/>
      <w:szCs w:val="18"/>
    </w:rPr>
  </w:style>
  <w:style w:type="character" w:customStyle="1" w:styleId="44">
    <w:name w:val="页脚 字符"/>
    <w:link w:val="17"/>
    <w:qFormat/>
    <w:uiPriority w:val="99"/>
    <w:rPr>
      <w:rFonts w:ascii="宋体"/>
      <w:kern w:val="2"/>
      <w:sz w:val="18"/>
      <w:szCs w:val="18"/>
    </w:rPr>
  </w:style>
  <w:style w:type="character" w:customStyle="1" w:styleId="45">
    <w:name w:val="批注框文本 字符"/>
    <w:link w:val="16"/>
    <w:semiHidden/>
    <w:qFormat/>
    <w:uiPriority w:val="99"/>
    <w:rPr>
      <w:kern w:val="2"/>
      <w:sz w:val="18"/>
      <w:szCs w:val="18"/>
    </w:rPr>
  </w:style>
  <w:style w:type="paragraph" w:styleId="46">
    <w:name w:val="Quote"/>
    <w:basedOn w:val="1"/>
    <w:next w:val="1"/>
    <w:link w:val="47"/>
    <w:qFormat/>
    <w:uiPriority w:val="29"/>
    <w:rPr>
      <w:i/>
      <w:iCs/>
      <w:color w:val="000000"/>
    </w:rPr>
  </w:style>
  <w:style w:type="character" w:customStyle="1" w:styleId="47">
    <w:name w:val="引用 字符"/>
    <w:link w:val="46"/>
    <w:qFormat/>
    <w:uiPriority w:val="29"/>
    <w:rPr>
      <w:i/>
      <w:iCs/>
      <w:color w:val="000000"/>
      <w:kern w:val="2"/>
      <w:sz w:val="21"/>
      <w:szCs w:val="21"/>
    </w:rPr>
  </w:style>
  <w:style w:type="character" w:customStyle="1" w:styleId="48">
    <w:name w:val="标题 字符"/>
    <w:link w:val="25"/>
    <w:qFormat/>
    <w:uiPriority w:val="0"/>
    <w:rPr>
      <w:rFonts w:ascii="Arial" w:hAnsi="Arial" w:cs="Arial"/>
      <w:b/>
      <w:bCs/>
      <w:kern w:val="2"/>
      <w:sz w:val="32"/>
      <w:szCs w:val="32"/>
    </w:rPr>
  </w:style>
  <w:style w:type="paragraph" w:customStyle="1" w:styleId="49">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0">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1">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2">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3">
    <w:name w:val="标准书眉一"/>
    <w:qFormat/>
    <w:uiPriority w:val="0"/>
    <w:pPr>
      <w:jc w:val="both"/>
    </w:pPr>
    <w:rPr>
      <w:rFonts w:ascii="Times New Roman" w:hAnsi="Times New Roman" w:eastAsia="宋体" w:cs="Times New Roman"/>
      <w:lang w:val="en-US" w:eastAsia="zh-CN" w:bidi="ar-SA"/>
    </w:rPr>
  </w:style>
  <w:style w:type="paragraph" w:customStyle="1" w:styleId="54">
    <w:name w:val="标准文件_ICS"/>
    <w:basedOn w:val="1"/>
    <w:qFormat/>
    <w:uiPriority w:val="0"/>
    <w:pPr>
      <w:spacing w:line="0" w:lineRule="atLeast"/>
    </w:pPr>
    <w:rPr>
      <w:rFonts w:ascii="黑体" w:hAnsi="宋体" w:eastAsia="黑体"/>
    </w:rPr>
  </w:style>
  <w:style w:type="paragraph" w:customStyle="1" w:styleId="55">
    <w:name w:val="标准文件_标准正文"/>
    <w:basedOn w:val="1"/>
    <w:next w:val="56"/>
    <w:qFormat/>
    <w:uiPriority w:val="0"/>
    <w:pPr>
      <w:snapToGrid w:val="0"/>
      <w:ind w:firstLine="200" w:firstLineChars="200"/>
    </w:pPr>
    <w:rPr>
      <w:kern w:val="0"/>
    </w:rPr>
  </w:style>
  <w:style w:type="paragraph" w:customStyle="1" w:styleId="56">
    <w:name w:val="标准文件_段"/>
    <w:link w:val="184"/>
    <w:qFormat/>
    <w:uiPriority w:val="0"/>
    <w:pPr>
      <w:autoSpaceDE w:val="0"/>
      <w:autoSpaceDN w:val="0"/>
      <w:ind w:firstLine="200" w:firstLineChars="200"/>
      <w:jc w:val="both"/>
    </w:pPr>
    <w:rPr>
      <w:rFonts w:ascii="Times New Roman" w:hAnsi="Times New Roman" w:eastAsia="宋体" w:cs="Times New Roman"/>
      <w:sz w:val="21"/>
      <w:lang w:val="en-US" w:eastAsia="zh-CN" w:bidi="ar-SA"/>
    </w:rPr>
  </w:style>
  <w:style w:type="paragraph" w:customStyle="1" w:styleId="57">
    <w:name w:val="标准文件_版本"/>
    <w:basedOn w:val="55"/>
    <w:qFormat/>
    <w:uiPriority w:val="0"/>
    <w:pPr>
      <w:adjustRightInd/>
      <w:snapToGrid/>
      <w:ind w:firstLine="0" w:firstLineChars="0"/>
    </w:pPr>
    <w:rPr>
      <w:rFonts w:ascii="宋体" w:hAnsi="宋体"/>
      <w:kern w:val="2"/>
    </w:rPr>
  </w:style>
  <w:style w:type="paragraph" w:customStyle="1" w:styleId="58">
    <w:name w:val="标准文件_标准部门"/>
    <w:basedOn w:val="1"/>
    <w:qFormat/>
    <w:uiPriority w:val="0"/>
    <w:pPr>
      <w:jc w:val="center"/>
    </w:pPr>
    <w:rPr>
      <w:rFonts w:ascii="黑体" w:eastAsia="黑体"/>
      <w:kern w:val="0"/>
      <w:sz w:val="44"/>
    </w:rPr>
  </w:style>
  <w:style w:type="paragraph" w:customStyle="1" w:styleId="59">
    <w:name w:val="标准文件_标准代替"/>
    <w:basedOn w:val="1"/>
    <w:next w:val="1"/>
    <w:qFormat/>
    <w:uiPriority w:val="0"/>
    <w:pPr>
      <w:spacing w:line="310" w:lineRule="exact"/>
      <w:jc w:val="right"/>
    </w:pPr>
    <w:rPr>
      <w:rFonts w:ascii="宋体" w:hAnsi="宋体"/>
      <w:kern w:val="0"/>
    </w:rPr>
  </w:style>
  <w:style w:type="paragraph" w:customStyle="1" w:styleId="60">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1">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2">
    <w:name w:val="标准文件_页眉偶数页"/>
    <w:basedOn w:val="61"/>
    <w:next w:val="1"/>
    <w:qFormat/>
    <w:uiPriority w:val="0"/>
    <w:pPr>
      <w:jc w:val="left"/>
    </w:pPr>
  </w:style>
  <w:style w:type="paragraph" w:customStyle="1" w:styleId="63">
    <w:name w:val="标准文件_参考文献标题"/>
    <w:basedOn w:val="1"/>
    <w:next w:val="1"/>
    <w:qFormat/>
    <w:uiPriority w:val="0"/>
    <w:pPr>
      <w:widowControl/>
      <w:shd w:val="clear" w:color="FFFFFF" w:fill="FFFFFF"/>
      <w:adjustRightInd/>
      <w:spacing w:before="560" w:after="50" w:afterLines="50" w:line="240" w:lineRule="auto"/>
      <w:jc w:val="center"/>
      <w:outlineLvl w:val="0"/>
    </w:pPr>
    <w:rPr>
      <w:rFonts w:ascii="黑体" w:eastAsia="黑体"/>
      <w:kern w:val="0"/>
    </w:rPr>
  </w:style>
  <w:style w:type="paragraph" w:customStyle="1" w:styleId="64">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65">
    <w:name w:val="标准文件_二级条标题"/>
    <w:next w:val="56"/>
    <w:qFormat/>
    <w:uiPriority w:val="0"/>
    <w:pPr>
      <w:widowControl w:val="0"/>
      <w:numPr>
        <w:ilvl w:val="3"/>
        <w:numId w:val="2"/>
      </w:numPr>
      <w:spacing w:before="50" w:beforeLines="50" w:after="50" w:afterLines="50"/>
      <w:jc w:val="both"/>
      <w:outlineLvl w:val="2"/>
    </w:pPr>
    <w:rPr>
      <w:rFonts w:ascii="黑体" w:hAnsi="Times New Roman" w:eastAsia="黑体" w:cs="Times New Roman"/>
      <w:sz w:val="21"/>
      <w:lang w:val="en-US" w:eastAsia="zh-CN" w:bidi="ar-SA"/>
    </w:rPr>
  </w:style>
  <w:style w:type="character" w:customStyle="1" w:styleId="66">
    <w:name w:val="标准文件_发布"/>
    <w:qFormat/>
    <w:uiPriority w:val="0"/>
    <w:rPr>
      <w:rFonts w:ascii="黑体" w:eastAsia="黑体"/>
      <w:spacing w:val="0"/>
      <w:w w:val="100"/>
      <w:position w:val="3"/>
      <w:sz w:val="28"/>
    </w:rPr>
  </w:style>
  <w:style w:type="paragraph" w:customStyle="1" w:styleId="67">
    <w:name w:val="标准文件_方框数字列项"/>
    <w:basedOn w:val="56"/>
    <w:qFormat/>
    <w:uiPriority w:val="0"/>
    <w:pPr>
      <w:numPr>
        <w:ilvl w:val="0"/>
        <w:numId w:val="3"/>
      </w:numPr>
      <w:ind w:firstLine="0" w:firstLineChars="0"/>
    </w:pPr>
  </w:style>
  <w:style w:type="paragraph" w:customStyle="1" w:styleId="68">
    <w:name w:val="标准文件_封面标准编号"/>
    <w:basedOn w:val="1"/>
    <w:next w:val="59"/>
    <w:qFormat/>
    <w:uiPriority w:val="0"/>
    <w:pPr>
      <w:spacing w:line="310" w:lineRule="exact"/>
      <w:jc w:val="right"/>
    </w:pPr>
    <w:rPr>
      <w:rFonts w:ascii="黑体" w:eastAsia="黑体"/>
      <w:kern w:val="0"/>
      <w:sz w:val="28"/>
    </w:rPr>
  </w:style>
  <w:style w:type="paragraph" w:customStyle="1" w:styleId="69">
    <w:name w:val="标准文件_封面标准分类号"/>
    <w:basedOn w:val="1"/>
    <w:qFormat/>
    <w:uiPriority w:val="0"/>
    <w:rPr>
      <w:rFonts w:ascii="黑体" w:eastAsia="黑体"/>
      <w:b/>
      <w:kern w:val="0"/>
      <w:sz w:val="28"/>
    </w:rPr>
  </w:style>
  <w:style w:type="paragraph" w:customStyle="1" w:styleId="70">
    <w:name w:val="标准文件_封面标准名称"/>
    <w:basedOn w:val="1"/>
    <w:qFormat/>
    <w:uiPriority w:val="0"/>
    <w:pPr>
      <w:spacing w:line="240" w:lineRule="auto"/>
      <w:jc w:val="center"/>
    </w:pPr>
    <w:rPr>
      <w:rFonts w:ascii="黑体" w:eastAsia="黑体"/>
      <w:kern w:val="0"/>
      <w:sz w:val="52"/>
    </w:rPr>
  </w:style>
  <w:style w:type="paragraph" w:customStyle="1" w:styleId="71">
    <w:name w:val="标准文件_封面标准英文名称"/>
    <w:basedOn w:val="1"/>
    <w:qFormat/>
    <w:uiPriority w:val="0"/>
    <w:pPr>
      <w:spacing w:line="240" w:lineRule="auto"/>
      <w:jc w:val="center"/>
    </w:pPr>
    <w:rPr>
      <w:rFonts w:ascii="黑体" w:eastAsia="黑体"/>
      <w:b/>
      <w:sz w:val="28"/>
    </w:rPr>
  </w:style>
  <w:style w:type="paragraph" w:customStyle="1" w:styleId="72">
    <w:name w:val="标准文件_封面发布日期"/>
    <w:basedOn w:val="1"/>
    <w:qFormat/>
    <w:uiPriority w:val="0"/>
    <w:pPr>
      <w:spacing w:line="310" w:lineRule="exact"/>
    </w:pPr>
    <w:rPr>
      <w:rFonts w:ascii="黑体" w:eastAsia="黑体"/>
      <w:kern w:val="0"/>
      <w:sz w:val="28"/>
    </w:rPr>
  </w:style>
  <w:style w:type="paragraph" w:customStyle="1" w:styleId="73">
    <w:name w:val="标准文件_封面密级"/>
    <w:basedOn w:val="1"/>
    <w:qFormat/>
    <w:uiPriority w:val="0"/>
    <w:rPr>
      <w:rFonts w:eastAsia="黑体"/>
      <w:sz w:val="32"/>
    </w:rPr>
  </w:style>
  <w:style w:type="paragraph" w:customStyle="1" w:styleId="74">
    <w:name w:val="标准文件_封面实施日期"/>
    <w:basedOn w:val="1"/>
    <w:qFormat/>
    <w:uiPriority w:val="0"/>
    <w:pPr>
      <w:spacing w:line="310" w:lineRule="exact"/>
      <w:jc w:val="right"/>
    </w:pPr>
    <w:rPr>
      <w:rFonts w:ascii="黑体" w:eastAsia="黑体"/>
      <w:sz w:val="28"/>
    </w:rPr>
  </w:style>
  <w:style w:type="paragraph" w:customStyle="1" w:styleId="75">
    <w:name w:val="标准文件_封面抬头"/>
    <w:basedOn w:val="56"/>
    <w:qFormat/>
    <w:uiPriority w:val="0"/>
    <w:pPr>
      <w:adjustRightInd w:val="0"/>
      <w:spacing w:line="800" w:lineRule="exact"/>
      <w:ind w:firstLine="0" w:firstLineChars="0"/>
      <w:jc w:val="distribute"/>
    </w:pPr>
    <w:rPr>
      <w:rFonts w:ascii="黑体" w:eastAsia="黑体"/>
      <w:b/>
      <w:sz w:val="64"/>
    </w:rPr>
  </w:style>
  <w:style w:type="paragraph" w:customStyle="1" w:styleId="76">
    <w:name w:val="标准文件_附录标识"/>
    <w:next w:val="56"/>
    <w:qFormat/>
    <w:uiPriority w:val="0"/>
    <w:pPr>
      <w:numPr>
        <w:ilvl w:val="0"/>
        <w:numId w:val="4"/>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77">
    <w:name w:val="标准文件_附录表标题"/>
    <w:next w:val="56"/>
    <w:qFormat/>
    <w:uiPriority w:val="0"/>
    <w:pPr>
      <w:numPr>
        <w:ilvl w:val="1"/>
        <w:numId w:val="5"/>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paragraph" w:customStyle="1" w:styleId="78">
    <w:name w:val="标准文件_附录一级条标题"/>
    <w:next w:val="56"/>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79">
    <w:name w:val="标准文件_附录二级条标题"/>
    <w:basedOn w:val="78"/>
    <w:next w:val="56"/>
    <w:qFormat/>
    <w:uiPriority w:val="0"/>
    <w:pPr>
      <w:widowControl/>
      <w:numPr>
        <w:ilvl w:val="2"/>
      </w:numPr>
      <w:wordWrap w:val="0"/>
      <w:overflowPunct w:val="0"/>
      <w:autoSpaceDE w:val="0"/>
      <w:autoSpaceDN w:val="0"/>
      <w:textAlignment w:val="baseline"/>
      <w:outlineLvl w:val="3"/>
    </w:pPr>
  </w:style>
  <w:style w:type="paragraph" w:customStyle="1" w:styleId="80">
    <w:name w:val="标准文件_附录公式"/>
    <w:basedOn w:val="55"/>
    <w:next w:val="55"/>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1">
    <w:name w:val="标准文件_附录三级条标题"/>
    <w:next w:val="56"/>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2">
    <w:name w:val="标准文件_附录四级条标题"/>
    <w:next w:val="56"/>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3">
    <w:name w:val="标准文件_附录图标题"/>
    <w:next w:val="56"/>
    <w:qFormat/>
    <w:uiPriority w:val="0"/>
    <w:pPr>
      <w:numPr>
        <w:ilvl w:val="1"/>
        <w:numId w:val="6"/>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84">
    <w:name w:val="标准文件_附录五级条标题"/>
    <w:next w:val="56"/>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85">
    <w:name w:val="标准文件_附录英文标识"/>
    <w:next w:val="13"/>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86">
    <w:name w:val="正文文本 字符"/>
    <w:link w:val="13"/>
    <w:qFormat/>
    <w:uiPriority w:val="0"/>
    <w:rPr>
      <w:kern w:val="2"/>
      <w:sz w:val="21"/>
      <w:szCs w:val="21"/>
    </w:rPr>
  </w:style>
  <w:style w:type="paragraph" w:customStyle="1" w:styleId="87">
    <w:name w:val="标准文件_附录章标题"/>
    <w:next w:val="56"/>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88">
    <w:name w:val="标准文件_公式后的破折号"/>
    <w:basedOn w:val="56"/>
    <w:next w:val="56"/>
    <w:qFormat/>
    <w:uiPriority w:val="0"/>
    <w:pPr>
      <w:ind w:left="488" w:leftChars="200" w:hanging="289" w:hangingChars="290"/>
    </w:pPr>
  </w:style>
  <w:style w:type="paragraph" w:customStyle="1" w:styleId="89">
    <w:name w:val="标准文件_前言、引言标题"/>
    <w:next w:val="1"/>
    <w:qFormat/>
    <w:uiPriority w:val="0"/>
    <w:pPr>
      <w:numPr>
        <w:ilvl w:val="0"/>
        <w:numId w:val="8"/>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90">
    <w:name w:val="标准文件_目次、标准名称标题"/>
    <w:basedOn w:val="89"/>
    <w:next w:val="56"/>
    <w:qFormat/>
    <w:uiPriority w:val="0"/>
    <w:pPr>
      <w:spacing w:line="460" w:lineRule="exact"/>
      <w:ind w:left="0" w:firstLine="0"/>
    </w:pPr>
  </w:style>
  <w:style w:type="paragraph" w:customStyle="1" w:styleId="91">
    <w:name w:val="标准文件_目录标题"/>
    <w:basedOn w:val="1"/>
    <w:qFormat/>
    <w:uiPriority w:val="0"/>
    <w:pPr>
      <w:spacing w:before="480" w:after="150" w:afterLines="150" w:line="240" w:lineRule="auto"/>
      <w:jc w:val="center"/>
    </w:pPr>
    <w:rPr>
      <w:rFonts w:ascii="黑体" w:eastAsia="黑体"/>
      <w:sz w:val="32"/>
    </w:rPr>
  </w:style>
  <w:style w:type="paragraph" w:customStyle="1" w:styleId="92">
    <w:name w:val="标准文件_破折号列项"/>
    <w:qFormat/>
    <w:uiPriority w:val="0"/>
    <w:pPr>
      <w:numPr>
        <w:ilvl w:val="0"/>
        <w:numId w:val="9"/>
      </w:numPr>
      <w:adjustRightInd w:val="0"/>
      <w:snapToGrid w:val="0"/>
      <w:ind w:firstLine="200" w:firstLineChars="200"/>
    </w:pPr>
    <w:rPr>
      <w:rFonts w:ascii="Times New Roman" w:hAnsi="Times New Roman" w:eastAsia="宋体" w:cs="Times New Roman"/>
      <w:sz w:val="21"/>
      <w:lang w:val="en-US" w:eastAsia="zh-CN" w:bidi="ar-SA"/>
    </w:rPr>
  </w:style>
  <w:style w:type="paragraph" w:customStyle="1" w:styleId="93">
    <w:name w:val="标准文件_破折号列项（二级）"/>
    <w:basedOn w:val="92"/>
    <w:qFormat/>
    <w:uiPriority w:val="0"/>
    <w:pPr>
      <w:numPr>
        <w:numId w:val="10"/>
      </w:numPr>
    </w:pPr>
  </w:style>
  <w:style w:type="paragraph" w:customStyle="1" w:styleId="94">
    <w:name w:val="标准文件_三级条标题"/>
    <w:basedOn w:val="65"/>
    <w:next w:val="56"/>
    <w:qFormat/>
    <w:uiPriority w:val="0"/>
    <w:pPr>
      <w:widowControl/>
      <w:numPr>
        <w:ilvl w:val="4"/>
      </w:numPr>
      <w:outlineLvl w:val="3"/>
    </w:pPr>
  </w:style>
  <w:style w:type="character" w:customStyle="1" w:styleId="95">
    <w:name w:val="不明显参考1"/>
    <w:qFormat/>
    <w:uiPriority w:val="31"/>
    <w:rPr>
      <w:smallCaps/>
      <w:color w:val="C0504D"/>
      <w:u w:val="single"/>
    </w:rPr>
  </w:style>
  <w:style w:type="paragraph" w:customStyle="1" w:styleId="96">
    <w:name w:val="标准文件_示例后续"/>
    <w:basedOn w:val="1"/>
    <w:qFormat/>
    <w:uiPriority w:val="0"/>
    <w:pPr>
      <w:adjustRightInd/>
      <w:spacing w:line="240" w:lineRule="auto"/>
      <w:ind w:firstLine="200" w:firstLineChars="200"/>
    </w:pPr>
    <w:rPr>
      <w:sz w:val="18"/>
      <w:szCs w:val="24"/>
    </w:rPr>
  </w:style>
  <w:style w:type="paragraph" w:customStyle="1" w:styleId="97">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98">
    <w:name w:val="标准文件_四级条标题"/>
    <w:next w:val="56"/>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99">
    <w:name w:val="脚注文本 字符"/>
    <w:link w:val="21"/>
    <w:semiHidden/>
    <w:qFormat/>
    <w:uiPriority w:val="0"/>
    <w:rPr>
      <w:rFonts w:ascii="宋体"/>
      <w:kern w:val="2"/>
      <w:sz w:val="18"/>
      <w:szCs w:val="18"/>
    </w:rPr>
  </w:style>
  <w:style w:type="paragraph" w:customStyle="1" w:styleId="100">
    <w:name w:val="标准文件_条文脚注"/>
    <w:basedOn w:val="21"/>
    <w:qFormat/>
    <w:uiPriority w:val="0"/>
    <w:pPr>
      <w:adjustRightInd w:val="0"/>
      <w:spacing w:line="240" w:lineRule="auto"/>
      <w:ind w:left="0" w:leftChars="0" w:firstLine="200" w:firstLineChars="200"/>
      <w:jc w:val="both"/>
    </w:pPr>
    <w:rPr>
      <w:rFonts w:hAnsi="宋体"/>
    </w:rPr>
  </w:style>
  <w:style w:type="paragraph" w:customStyle="1" w:styleId="101">
    <w:name w:val="标准文件_图表脚注"/>
    <w:basedOn w:val="1"/>
    <w:next w:val="56"/>
    <w:qFormat/>
    <w:uiPriority w:val="0"/>
    <w:pPr>
      <w:numPr>
        <w:ilvl w:val="0"/>
        <w:numId w:val="12"/>
      </w:numPr>
      <w:spacing w:line="240" w:lineRule="auto"/>
      <w:jc w:val="left"/>
    </w:pPr>
    <w:rPr>
      <w:rFonts w:ascii="宋体" w:hAnsi="宋体"/>
      <w:sz w:val="18"/>
    </w:rPr>
  </w:style>
  <w:style w:type="character" w:customStyle="1" w:styleId="102">
    <w:name w:val="标准文件_图表脚注内容"/>
    <w:qFormat/>
    <w:uiPriority w:val="0"/>
    <w:rPr>
      <w:rFonts w:ascii="宋体" w:hAnsi="宋体" w:eastAsia="宋体" w:cs="Times New Roman"/>
      <w:spacing w:val="0"/>
      <w:sz w:val="18"/>
      <w:vertAlign w:val="superscript"/>
    </w:rPr>
  </w:style>
  <w:style w:type="paragraph" w:customStyle="1" w:styleId="103">
    <w:name w:val="标准文件_五级条标题"/>
    <w:next w:val="56"/>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4">
    <w:name w:val="标准文件_章标题"/>
    <w:next w:val="56"/>
    <w:qFormat/>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05">
    <w:name w:val="标准文件_一级条标题"/>
    <w:basedOn w:val="104"/>
    <w:next w:val="56"/>
    <w:qFormat/>
    <w:uiPriority w:val="0"/>
    <w:pPr>
      <w:numPr>
        <w:ilvl w:val="2"/>
      </w:numPr>
      <w:spacing w:before="50" w:beforeLines="50" w:after="50" w:afterLines="50"/>
      <w:outlineLvl w:val="1"/>
    </w:pPr>
  </w:style>
  <w:style w:type="paragraph" w:customStyle="1" w:styleId="106">
    <w:name w:val="标准文件_一致程度"/>
    <w:basedOn w:val="1"/>
    <w:qFormat/>
    <w:uiPriority w:val="0"/>
    <w:pPr>
      <w:spacing w:line="440" w:lineRule="exact"/>
      <w:jc w:val="center"/>
    </w:pPr>
    <w:rPr>
      <w:sz w:val="28"/>
    </w:rPr>
  </w:style>
  <w:style w:type="paragraph" w:customStyle="1" w:styleId="107">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08">
    <w:name w:val="标准文件_英文图表脚注"/>
    <w:basedOn w:val="55"/>
    <w:qFormat/>
    <w:uiPriority w:val="0"/>
    <w:pPr>
      <w:widowControl/>
      <w:adjustRightInd/>
      <w:snapToGrid/>
      <w:spacing w:line="240" w:lineRule="auto"/>
      <w:ind w:left="79" w:hanging="79" w:hangingChars="80"/>
    </w:pPr>
    <w:rPr>
      <w:rFonts w:ascii="宋体" w:hAnsi="宋体"/>
    </w:rPr>
  </w:style>
  <w:style w:type="paragraph" w:customStyle="1" w:styleId="109">
    <w:name w:val="标准文件_数字编号列项（二级）"/>
    <w:qFormat/>
    <w:uiPriority w:val="0"/>
    <w:pPr>
      <w:numPr>
        <w:ilvl w:val="1"/>
        <w:numId w:val="13"/>
      </w:numPr>
      <w:jc w:val="both"/>
    </w:pPr>
    <w:rPr>
      <w:rFonts w:ascii="宋体" w:hAnsi="Times New Roman" w:eastAsia="宋体" w:cs="Times New Roman"/>
      <w:sz w:val="21"/>
      <w:lang w:val="en-US" w:eastAsia="zh-CN" w:bidi="ar-SA"/>
    </w:rPr>
  </w:style>
  <w:style w:type="paragraph" w:customStyle="1" w:styleId="110">
    <w:name w:val="标准文件_英文注："/>
    <w:basedOn w:val="1"/>
    <w:next w:val="56"/>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1">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2">
    <w:name w:val="标准文件_正文表标题"/>
    <w:next w:val="56"/>
    <w:qFormat/>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3">
    <w:name w:val="标准文件_正文公式"/>
    <w:basedOn w:val="1"/>
    <w:next w:val="55"/>
    <w:qFormat/>
    <w:uiPriority w:val="0"/>
    <w:pPr>
      <w:tabs>
        <w:tab w:val="center" w:pos="4678"/>
        <w:tab w:val="right" w:leader="middleDot" w:pos="9356"/>
      </w:tabs>
      <w:spacing w:line="240" w:lineRule="auto"/>
    </w:pPr>
    <w:rPr>
      <w:rFonts w:ascii="宋体" w:hAnsi="宋体"/>
    </w:rPr>
  </w:style>
  <w:style w:type="paragraph" w:customStyle="1" w:styleId="114">
    <w:name w:val="标准文件_正文图标题"/>
    <w:next w:val="56"/>
    <w:qFormat/>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15">
    <w:name w:val="标准文件_正文英文表标题"/>
    <w:next w:val="56"/>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16">
    <w:name w:val="标准文件_正文英文图标题"/>
    <w:next w:val="56"/>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17">
    <w:name w:val="标准文件_编号列项（三级）"/>
    <w:qFormat/>
    <w:uiPriority w:val="0"/>
    <w:pPr>
      <w:numPr>
        <w:ilvl w:val="2"/>
        <w:numId w:val="13"/>
      </w:numPr>
    </w:pPr>
    <w:rPr>
      <w:rFonts w:ascii="宋体" w:hAnsi="Times New Roman" w:eastAsia="宋体" w:cs="Times New Roman"/>
      <w:sz w:val="21"/>
      <w:lang w:val="en-US" w:eastAsia="zh-CN" w:bidi="ar-SA"/>
    </w:rPr>
  </w:style>
  <w:style w:type="paragraph" w:customStyle="1" w:styleId="118">
    <w:name w:val="二级无标题条"/>
    <w:basedOn w:val="1"/>
    <w:qFormat/>
    <w:uiPriority w:val="0"/>
    <w:pPr>
      <w:numPr>
        <w:ilvl w:val="3"/>
        <w:numId w:val="20"/>
      </w:numPr>
      <w:adjustRightInd/>
      <w:spacing w:line="240" w:lineRule="auto"/>
    </w:pPr>
    <w:rPr>
      <w:rFonts w:ascii="宋体" w:hAnsi="宋体"/>
      <w:szCs w:val="24"/>
    </w:rPr>
  </w:style>
  <w:style w:type="paragraph" w:customStyle="1" w:styleId="119">
    <w:name w:val="发布部门"/>
    <w:next w:val="56"/>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0">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1">
    <w:name w:val="封面标准代替信息"/>
    <w:basedOn w:val="1"/>
    <w:qFormat/>
    <w:uiPriority w:val="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2">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3">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4">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5">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26">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27">
    <w:name w:val="封面正文"/>
    <w:qFormat/>
    <w:uiPriority w:val="0"/>
    <w:pPr>
      <w:jc w:val="both"/>
    </w:pPr>
    <w:rPr>
      <w:rFonts w:ascii="Times New Roman" w:hAnsi="Times New Roman" w:eastAsia="宋体" w:cs="Times New Roman"/>
      <w:lang w:val="en-US" w:eastAsia="zh-CN" w:bidi="ar-SA"/>
    </w:rPr>
  </w:style>
  <w:style w:type="paragraph" w:customStyle="1" w:styleId="128">
    <w:name w:val="附录二级无标题条"/>
    <w:basedOn w:val="1"/>
    <w:next w:val="56"/>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29">
    <w:name w:val="附录三级无标题条"/>
    <w:basedOn w:val="128"/>
    <w:next w:val="56"/>
    <w:qFormat/>
    <w:uiPriority w:val="0"/>
    <w:pPr>
      <w:outlineLvl w:val="4"/>
    </w:pPr>
  </w:style>
  <w:style w:type="paragraph" w:customStyle="1" w:styleId="130">
    <w:name w:val="附录四级无标题条"/>
    <w:basedOn w:val="129"/>
    <w:next w:val="56"/>
    <w:qFormat/>
    <w:uiPriority w:val="0"/>
    <w:pPr>
      <w:outlineLvl w:val="5"/>
    </w:pPr>
  </w:style>
  <w:style w:type="paragraph" w:customStyle="1" w:styleId="131">
    <w:name w:val="附录图"/>
    <w:next w:val="56"/>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2">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3">
    <w:name w:val="附录五级无标题条"/>
    <w:basedOn w:val="130"/>
    <w:next w:val="56"/>
    <w:qFormat/>
    <w:uiPriority w:val="0"/>
    <w:pPr>
      <w:outlineLvl w:val="6"/>
    </w:pPr>
  </w:style>
  <w:style w:type="paragraph" w:customStyle="1" w:styleId="134">
    <w:name w:val="附录性质"/>
    <w:basedOn w:val="1"/>
    <w:qFormat/>
    <w:uiPriority w:val="0"/>
    <w:pPr>
      <w:widowControl/>
      <w:adjustRightInd/>
      <w:jc w:val="center"/>
    </w:pPr>
    <w:rPr>
      <w:rFonts w:ascii="黑体" w:eastAsia="黑体"/>
    </w:rPr>
  </w:style>
  <w:style w:type="paragraph" w:customStyle="1" w:styleId="135">
    <w:name w:val="附录一级无标题条"/>
    <w:basedOn w:val="87"/>
    <w:next w:val="56"/>
    <w:qFormat/>
    <w:uiPriority w:val="0"/>
    <w:pPr>
      <w:autoSpaceDN w:val="0"/>
      <w:outlineLvl w:val="2"/>
    </w:pPr>
    <w:rPr>
      <w:rFonts w:ascii="宋体" w:hAnsi="宋体" w:eastAsia="宋体"/>
    </w:rPr>
  </w:style>
  <w:style w:type="character" w:customStyle="1" w:styleId="136">
    <w:name w:val="个人答复风格"/>
    <w:qFormat/>
    <w:uiPriority w:val="0"/>
    <w:rPr>
      <w:rFonts w:ascii="Arial" w:hAnsi="Arial" w:eastAsia="宋体" w:cs="Arial"/>
      <w:color w:val="auto"/>
      <w:spacing w:val="0"/>
      <w:sz w:val="20"/>
    </w:rPr>
  </w:style>
  <w:style w:type="character" w:customStyle="1" w:styleId="137">
    <w:name w:val="个人撰写风格"/>
    <w:qFormat/>
    <w:uiPriority w:val="0"/>
    <w:rPr>
      <w:rFonts w:ascii="Arial" w:hAnsi="Arial" w:eastAsia="宋体" w:cs="Arial"/>
      <w:color w:val="auto"/>
      <w:spacing w:val="0"/>
      <w:sz w:val="20"/>
    </w:rPr>
  </w:style>
  <w:style w:type="paragraph" w:customStyle="1" w:styleId="138">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39">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0">
    <w:name w:val="列项·"/>
    <w:basedOn w:val="56"/>
    <w:qFormat/>
    <w:uiPriority w:val="0"/>
    <w:pPr>
      <w:tabs>
        <w:tab w:val="left" w:pos="840"/>
      </w:tabs>
    </w:pPr>
  </w:style>
  <w:style w:type="paragraph" w:customStyle="1" w:styleId="141">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2">
    <w:name w:val="目录 21"/>
    <w:basedOn w:val="1"/>
    <w:next w:val="1"/>
    <w:autoRedefine/>
    <w:semiHidden/>
    <w:qFormat/>
    <w:uiPriority w:val="0"/>
    <w:pPr>
      <w:adjustRightInd/>
      <w:spacing w:line="240" w:lineRule="auto"/>
      <w:jc w:val="left"/>
    </w:pPr>
    <w:rPr>
      <w:bCs/>
      <w:iCs/>
    </w:rPr>
  </w:style>
  <w:style w:type="paragraph" w:customStyle="1" w:styleId="143">
    <w:name w:val="目录 31"/>
    <w:basedOn w:val="1"/>
    <w:next w:val="1"/>
    <w:autoRedefine/>
    <w:semiHidden/>
    <w:qFormat/>
    <w:uiPriority w:val="0"/>
    <w:pPr>
      <w:spacing w:line="240" w:lineRule="auto"/>
    </w:pPr>
    <w:rPr>
      <w:rFonts w:ascii="宋体" w:hAnsi="宋体"/>
      <w:iCs/>
    </w:rPr>
  </w:style>
  <w:style w:type="paragraph" w:customStyle="1" w:styleId="144">
    <w:name w:val="目录 41"/>
    <w:basedOn w:val="1"/>
    <w:next w:val="1"/>
    <w:autoRedefine/>
    <w:semiHidden/>
    <w:qFormat/>
    <w:uiPriority w:val="0"/>
    <w:pPr>
      <w:adjustRightInd/>
      <w:spacing w:line="240" w:lineRule="auto"/>
      <w:jc w:val="left"/>
    </w:pPr>
  </w:style>
  <w:style w:type="paragraph" w:customStyle="1" w:styleId="145">
    <w:name w:val="目录 51"/>
    <w:basedOn w:val="1"/>
    <w:next w:val="1"/>
    <w:autoRedefine/>
    <w:semiHidden/>
    <w:qFormat/>
    <w:uiPriority w:val="0"/>
    <w:pPr>
      <w:spacing w:line="240" w:lineRule="auto"/>
    </w:pPr>
    <w:rPr>
      <w:rFonts w:ascii="宋体" w:hAnsi="宋体"/>
    </w:rPr>
  </w:style>
  <w:style w:type="paragraph" w:customStyle="1" w:styleId="146">
    <w:name w:val="目录 61"/>
    <w:basedOn w:val="1"/>
    <w:next w:val="1"/>
    <w:autoRedefine/>
    <w:semiHidden/>
    <w:qFormat/>
    <w:uiPriority w:val="0"/>
    <w:pPr>
      <w:adjustRightInd/>
      <w:spacing w:line="240" w:lineRule="auto"/>
      <w:jc w:val="left"/>
    </w:pPr>
  </w:style>
  <w:style w:type="paragraph" w:customStyle="1" w:styleId="147">
    <w:name w:val="目录 71"/>
    <w:basedOn w:val="146"/>
    <w:autoRedefine/>
    <w:semiHidden/>
    <w:qFormat/>
    <w:uiPriority w:val="0"/>
    <w:pPr>
      <w:ind w:left="1260"/>
    </w:pPr>
  </w:style>
  <w:style w:type="paragraph" w:customStyle="1" w:styleId="148">
    <w:name w:val="目录 81"/>
    <w:basedOn w:val="147"/>
    <w:autoRedefine/>
    <w:semiHidden/>
    <w:qFormat/>
    <w:uiPriority w:val="0"/>
    <w:pPr>
      <w:ind w:left="1470"/>
    </w:pPr>
  </w:style>
  <w:style w:type="paragraph" w:customStyle="1" w:styleId="149">
    <w:name w:val="目录 91"/>
    <w:basedOn w:val="148"/>
    <w:autoRedefine/>
    <w:semiHidden/>
    <w:qFormat/>
    <w:uiPriority w:val="0"/>
    <w:pPr>
      <w:ind w:left="1680"/>
    </w:pPr>
  </w:style>
  <w:style w:type="paragraph" w:customStyle="1" w:styleId="150">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1">
    <w:name w:val="其他发布部门"/>
    <w:basedOn w:val="119"/>
    <w:qFormat/>
    <w:uiPriority w:val="0"/>
    <w:pPr>
      <w:framePr w:wrap="around"/>
      <w:spacing w:line="0" w:lineRule="atLeast"/>
    </w:pPr>
    <w:rPr>
      <w:rFonts w:ascii="黑体" w:eastAsia="黑体"/>
      <w:b w:val="0"/>
    </w:rPr>
  </w:style>
  <w:style w:type="paragraph" w:customStyle="1" w:styleId="152">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3">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4">
    <w:name w:val="实施日期"/>
    <w:basedOn w:val="120"/>
    <w:qFormat/>
    <w:uiPriority w:val="0"/>
    <w:pPr>
      <w:framePr w:hSpace="0" w:wrap="around" w:xAlign="right"/>
      <w:jc w:val="right"/>
    </w:pPr>
  </w:style>
  <w:style w:type="paragraph" w:customStyle="1" w:styleId="155">
    <w:name w:val="四级无标题条"/>
    <w:basedOn w:val="1"/>
    <w:qFormat/>
    <w:uiPriority w:val="0"/>
    <w:pPr>
      <w:numPr>
        <w:ilvl w:val="5"/>
        <w:numId w:val="20"/>
      </w:numPr>
      <w:adjustRightInd/>
      <w:spacing w:line="240" w:lineRule="auto"/>
    </w:pPr>
    <w:rPr>
      <w:rFonts w:ascii="宋体" w:hAnsi="宋体"/>
      <w:szCs w:val="24"/>
    </w:rPr>
  </w:style>
  <w:style w:type="paragraph" w:customStyle="1" w:styleId="156">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57">
    <w:name w:val="无标题条"/>
    <w:next w:val="56"/>
    <w:qFormat/>
    <w:uiPriority w:val="0"/>
    <w:pPr>
      <w:jc w:val="both"/>
    </w:pPr>
    <w:rPr>
      <w:rFonts w:ascii="宋体" w:hAnsi="宋体" w:eastAsia="宋体" w:cs="Times New Roman"/>
      <w:sz w:val="21"/>
      <w:lang w:val="en-US" w:eastAsia="zh-CN" w:bidi="ar-SA"/>
    </w:rPr>
  </w:style>
  <w:style w:type="paragraph" w:customStyle="1" w:styleId="158">
    <w:name w:val="五级无标题条"/>
    <w:basedOn w:val="1"/>
    <w:qFormat/>
    <w:uiPriority w:val="0"/>
    <w:pPr>
      <w:numPr>
        <w:ilvl w:val="6"/>
        <w:numId w:val="20"/>
      </w:numPr>
      <w:adjustRightInd/>
    </w:pPr>
    <w:rPr>
      <w:szCs w:val="24"/>
    </w:rPr>
  </w:style>
  <w:style w:type="paragraph" w:customStyle="1" w:styleId="159">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0">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1">
    <w:name w:val="注×:后续"/>
    <w:basedOn w:val="160"/>
    <w:qFormat/>
    <w:uiPriority w:val="0"/>
    <w:pPr>
      <w:ind w:left="1406" w:leftChars="0" w:hanging="499" w:firstLineChars="0"/>
    </w:pPr>
  </w:style>
  <w:style w:type="paragraph" w:customStyle="1" w:styleId="162">
    <w:name w:val="标准文件_一级无标题"/>
    <w:basedOn w:val="105"/>
    <w:qFormat/>
    <w:uiPriority w:val="0"/>
    <w:pPr>
      <w:spacing w:before="0" w:beforeLines="0" w:after="0" w:afterLines="0"/>
      <w:outlineLvl w:val="9"/>
    </w:pPr>
    <w:rPr>
      <w:rFonts w:ascii="宋体" w:eastAsia="宋体"/>
    </w:rPr>
  </w:style>
  <w:style w:type="paragraph" w:customStyle="1" w:styleId="163">
    <w:name w:val="标准文件_五级无标题"/>
    <w:basedOn w:val="103"/>
    <w:qFormat/>
    <w:uiPriority w:val="0"/>
    <w:pPr>
      <w:spacing w:before="0" w:beforeLines="0" w:after="0" w:afterLines="0"/>
      <w:outlineLvl w:val="9"/>
    </w:pPr>
    <w:rPr>
      <w:rFonts w:ascii="宋体" w:eastAsia="宋体"/>
    </w:rPr>
  </w:style>
  <w:style w:type="paragraph" w:customStyle="1" w:styleId="164">
    <w:name w:val="标准文件_三级无标题"/>
    <w:basedOn w:val="94"/>
    <w:qFormat/>
    <w:uiPriority w:val="0"/>
    <w:pPr>
      <w:spacing w:before="0" w:beforeLines="0" w:after="0" w:afterLines="0"/>
      <w:outlineLvl w:val="9"/>
    </w:pPr>
    <w:rPr>
      <w:rFonts w:ascii="宋体" w:eastAsia="宋体"/>
    </w:rPr>
  </w:style>
  <w:style w:type="paragraph" w:customStyle="1" w:styleId="165">
    <w:name w:val="标准文件_二级无标题"/>
    <w:basedOn w:val="65"/>
    <w:qFormat/>
    <w:uiPriority w:val="0"/>
    <w:pPr>
      <w:spacing w:before="0" w:beforeLines="0" w:after="0" w:afterLines="0"/>
      <w:outlineLvl w:val="9"/>
    </w:pPr>
    <w:rPr>
      <w:rFonts w:ascii="宋体" w:eastAsia="宋体"/>
    </w:rPr>
  </w:style>
  <w:style w:type="paragraph" w:customStyle="1" w:styleId="166">
    <w:name w:val="标准_四级无标题"/>
    <w:basedOn w:val="98"/>
    <w:next w:val="56"/>
    <w:qFormat/>
    <w:uiPriority w:val="0"/>
    <w:rPr>
      <w:rFonts w:eastAsia="宋体"/>
    </w:rPr>
  </w:style>
  <w:style w:type="paragraph" w:customStyle="1" w:styleId="167">
    <w:name w:val="标准文件_四级无标题"/>
    <w:basedOn w:val="98"/>
    <w:qFormat/>
    <w:uiPriority w:val="0"/>
    <w:pPr>
      <w:spacing w:before="0" w:beforeLines="0" w:after="0" w:afterLines="0"/>
      <w:outlineLvl w:val="9"/>
    </w:pPr>
    <w:rPr>
      <w:rFonts w:ascii="宋体" w:hAnsi="黑体" w:eastAsia="宋体"/>
      <w:szCs w:val="52"/>
    </w:rPr>
  </w:style>
  <w:style w:type="paragraph" w:customStyle="1" w:styleId="168">
    <w:name w:val="标准文件_大写罗马数字编号列项"/>
    <w:basedOn w:val="56"/>
    <w:uiPriority w:val="0"/>
    <w:pPr>
      <w:numPr>
        <w:ilvl w:val="0"/>
        <w:numId w:val="23"/>
      </w:numPr>
      <w:ind w:firstLine="0" w:firstLineChars="0"/>
    </w:pPr>
    <w:rPr>
      <w:rFonts w:cs="Arial"/>
      <w:szCs w:val="28"/>
    </w:rPr>
  </w:style>
  <w:style w:type="paragraph" w:customStyle="1" w:styleId="169">
    <w:name w:val="标准文件_小写罗马数字编号列项"/>
    <w:basedOn w:val="56"/>
    <w:uiPriority w:val="0"/>
    <w:pPr>
      <w:numPr>
        <w:ilvl w:val="0"/>
        <w:numId w:val="24"/>
      </w:numPr>
      <w:ind w:firstLine="0" w:firstLineChars="0"/>
    </w:pPr>
    <w:rPr>
      <w:rFonts w:cs="Arial"/>
      <w:szCs w:val="28"/>
    </w:rPr>
  </w:style>
  <w:style w:type="paragraph" w:customStyle="1" w:styleId="170">
    <w:name w:val="标准文件_附录标题"/>
    <w:basedOn w:val="76"/>
    <w:qFormat/>
    <w:uiPriority w:val="0"/>
    <w:pPr>
      <w:numPr>
        <w:numId w:val="0"/>
      </w:numPr>
      <w:spacing w:after="280"/>
      <w:outlineLvl w:val="9"/>
    </w:pPr>
  </w:style>
  <w:style w:type="paragraph" w:customStyle="1" w:styleId="171">
    <w:name w:val="标准文件_二级项"/>
    <w:uiPriority w:val="0"/>
    <w:rPr>
      <w:rFonts w:ascii="宋体" w:hAnsi="Times New Roman" w:eastAsia="宋体" w:cs="Times New Roman"/>
      <w:sz w:val="21"/>
      <w:lang w:val="en-US" w:eastAsia="zh-CN" w:bidi="ar-SA"/>
    </w:rPr>
  </w:style>
  <w:style w:type="paragraph" w:customStyle="1" w:styleId="172">
    <w:name w:val="标准文件_三级项"/>
    <w:basedOn w:val="1"/>
    <w:uiPriority w:val="0"/>
    <w:pPr>
      <w:numPr>
        <w:ilvl w:val="2"/>
        <w:numId w:val="21"/>
      </w:numPr>
      <w:spacing w:line="536870612" w:lineRule="auto"/>
    </w:pPr>
    <w:rPr>
      <w:rFonts w:ascii="Times New Roman" w:hAnsi="Times New Roman"/>
    </w:rPr>
  </w:style>
  <w:style w:type="paragraph" w:customStyle="1" w:styleId="173">
    <w:name w:val="图表脚注说明"/>
    <w:basedOn w:val="1"/>
    <w:next w:val="56"/>
    <w:uiPriority w:val="0"/>
    <w:pPr>
      <w:numPr>
        <w:ilvl w:val="0"/>
        <w:numId w:val="25"/>
      </w:numPr>
      <w:adjustRightInd/>
      <w:spacing w:line="240" w:lineRule="auto"/>
    </w:pPr>
    <w:rPr>
      <w:rFonts w:ascii="宋体" w:hAnsi="Times New Roman"/>
      <w:sz w:val="18"/>
      <w:szCs w:val="18"/>
    </w:rPr>
  </w:style>
  <w:style w:type="paragraph" w:customStyle="1" w:styleId="174">
    <w:name w:val="标准文件_字母编号列项（一级）"/>
    <w:uiPriority w:val="0"/>
    <w:pPr>
      <w:numPr>
        <w:ilvl w:val="0"/>
        <w:numId w:val="13"/>
      </w:numPr>
      <w:jc w:val="both"/>
    </w:pPr>
    <w:rPr>
      <w:rFonts w:ascii="宋体" w:hAnsi="Times New Roman" w:eastAsia="宋体" w:cs="Times New Roman"/>
      <w:sz w:val="21"/>
      <w:lang w:val="en-US" w:eastAsia="zh-CN" w:bidi="ar-SA"/>
    </w:rPr>
  </w:style>
  <w:style w:type="paragraph" w:customStyle="1" w:styleId="175">
    <w:name w:val="标准文件_索引字母"/>
    <w:next w:val="56"/>
    <w:qFormat/>
    <w:uiPriority w:val="0"/>
    <w:pPr>
      <w:jc w:val="center"/>
    </w:pPr>
    <w:rPr>
      <w:rFonts w:ascii="宋体" w:hAnsi="宋体" w:eastAsia="Times New Roman" w:cs="Times New Roman"/>
      <w:b/>
      <w:kern w:val="2"/>
      <w:sz w:val="21"/>
      <w:lang w:val="en-US" w:eastAsia="zh-CN" w:bidi="ar-SA"/>
    </w:rPr>
  </w:style>
  <w:style w:type="paragraph" w:customStyle="1" w:styleId="176">
    <w:name w:val="标准文件_附录前"/>
    <w:next w:val="56"/>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77">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78">
    <w:name w:val="标准文件_表格"/>
    <w:basedOn w:val="56"/>
    <w:qFormat/>
    <w:uiPriority w:val="0"/>
    <w:pPr>
      <w:ind w:firstLine="0" w:firstLineChars="0"/>
      <w:jc w:val="center"/>
    </w:pPr>
    <w:rPr>
      <w:sz w:val="18"/>
    </w:rPr>
  </w:style>
  <w:style w:type="paragraph" w:customStyle="1" w:styleId="179">
    <w:name w:val="标准文件_注："/>
    <w:next w:val="56"/>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0">
    <w:name w:val="标准文件_注×："/>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1">
    <w:name w:val="标准文件_示例："/>
    <w:next w:val="182"/>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2">
    <w:name w:val="标准文件_示例内容"/>
    <w:basedOn w:val="56"/>
    <w:qFormat/>
    <w:uiPriority w:val="0"/>
    <w:pPr>
      <w:ind w:firstLine="420"/>
    </w:pPr>
    <w:rPr>
      <w:sz w:val="18"/>
    </w:rPr>
  </w:style>
  <w:style w:type="paragraph" w:customStyle="1" w:styleId="183">
    <w:name w:val="标准文件_示例×："/>
    <w:basedOn w:val="1"/>
    <w:next w:val="182"/>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4">
    <w:name w:val="标准文件_段 Char"/>
    <w:link w:val="56"/>
    <w:qFormat/>
    <w:uiPriority w:val="0"/>
    <w:rPr>
      <w:rFonts w:ascii="Times New Roman" w:hAnsi="Times New Roman"/>
      <w:sz w:val="21"/>
    </w:rPr>
  </w:style>
  <w:style w:type="paragraph" w:customStyle="1" w:styleId="185">
    <w:name w:val="标准文件_表格续"/>
    <w:basedOn w:val="56"/>
    <w:next w:val="56"/>
    <w:qFormat/>
    <w:uiPriority w:val="0"/>
    <w:pPr>
      <w:jc w:val="center"/>
    </w:pPr>
    <w:rPr>
      <w:rFonts w:ascii="黑体" w:hAnsi="黑体" w:eastAsia="黑体"/>
    </w:rPr>
  </w:style>
  <w:style w:type="character" w:styleId="186">
    <w:name w:val="Placeholder Text"/>
    <w:basedOn w:val="28"/>
    <w:semiHidden/>
    <w:uiPriority w:val="99"/>
    <w:rPr>
      <w:color w:val="808080"/>
    </w:rPr>
  </w:style>
  <w:style w:type="paragraph" w:customStyle="1" w:styleId="187">
    <w:name w:val="标准文件_二级项2"/>
    <w:basedOn w:val="56"/>
    <w:qFormat/>
    <w:uiPriority w:val="0"/>
    <w:pPr>
      <w:numPr>
        <w:ilvl w:val="1"/>
        <w:numId w:val="21"/>
      </w:numPr>
      <w:ind w:firstLine="0" w:firstLineChars="0"/>
    </w:pPr>
  </w:style>
  <w:style w:type="paragraph" w:customStyle="1" w:styleId="188">
    <w:name w:val="标准文件_三级项2"/>
    <w:basedOn w:val="56"/>
    <w:qFormat/>
    <w:uiPriority w:val="0"/>
    <w:pPr>
      <w:numPr>
        <w:ilvl w:val="0"/>
        <w:numId w:val="30"/>
      </w:numPr>
      <w:spacing w:line="300" w:lineRule="exact"/>
      <w:ind w:firstLineChars="0"/>
    </w:pPr>
  </w:style>
  <w:style w:type="paragraph" w:customStyle="1" w:styleId="189">
    <w:name w:val="标准文件_一级项2"/>
    <w:basedOn w:val="56"/>
    <w:qFormat/>
    <w:uiPriority w:val="0"/>
    <w:pPr>
      <w:numPr>
        <w:ilvl w:val="0"/>
        <w:numId w:val="31"/>
      </w:numPr>
      <w:spacing w:line="300" w:lineRule="exact"/>
      <w:ind w:firstLineChars="0"/>
    </w:pPr>
  </w:style>
  <w:style w:type="paragraph" w:customStyle="1" w:styleId="190">
    <w:name w:val="标准文件_提示"/>
    <w:basedOn w:val="56"/>
    <w:next w:val="56"/>
    <w:qFormat/>
    <w:uiPriority w:val="0"/>
    <w:pPr>
      <w:ind w:firstLine="420"/>
    </w:pPr>
    <w:rPr>
      <w:rFonts w:ascii="黑体" w:eastAsia="黑体"/>
    </w:rPr>
  </w:style>
  <w:style w:type="character" w:customStyle="1" w:styleId="191">
    <w:name w:val="标准文件_来源"/>
    <w:basedOn w:val="28"/>
    <w:qFormat/>
    <w:uiPriority w:val="1"/>
    <w:rPr>
      <w:rFonts w:eastAsia="宋体"/>
      <w:sz w:val="21"/>
    </w:rPr>
  </w:style>
  <w:style w:type="paragraph" w:customStyle="1" w:styleId="192">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3">
    <w:name w:val="其他发布日期"/>
    <w:basedOn w:val="120"/>
    <w:uiPriority w:val="0"/>
    <w:pPr>
      <w:framePr w:w="3997" w:h="471" w:hRule="exact" w:hSpace="0" w:vSpace="181" w:wrap="around" w:vAnchor="page" w:hAnchor="page" w:x="1419" w:y="14097"/>
    </w:pPr>
  </w:style>
  <w:style w:type="paragraph" w:customStyle="1" w:styleId="194">
    <w:name w:val="其他实施日期"/>
    <w:basedOn w:val="154"/>
    <w:uiPriority w:val="0"/>
    <w:pPr>
      <w:framePr w:w="3997" w:h="471" w:hRule="exact" w:vSpace="181" w:wrap="around" w:vAnchor="page" w:hAnchor="page" w:x="7089" w:y="14097"/>
    </w:pPr>
  </w:style>
  <w:style w:type="paragraph" w:customStyle="1" w:styleId="195">
    <w:name w:val="标准文件_文件编号"/>
    <w:basedOn w:val="56"/>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196">
    <w:name w:val="标准文件_替换文件编号"/>
    <w:basedOn w:val="195"/>
    <w:qFormat/>
    <w:uiPriority w:val="0"/>
    <w:pPr>
      <w:framePr/>
      <w:spacing w:before="57"/>
    </w:pPr>
    <w:rPr>
      <w:sz w:val="21"/>
    </w:rPr>
  </w:style>
  <w:style w:type="paragraph" w:customStyle="1" w:styleId="197">
    <w:name w:val="标准文件_文件名称"/>
    <w:basedOn w:val="56"/>
    <w:next w:val="56"/>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198">
    <w:name w:val="标准文件_附录图标号"/>
    <w:basedOn w:val="56"/>
    <w:next w:val="56"/>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199">
    <w:name w:val="标准文件_附录表标号"/>
    <w:basedOn w:val="56"/>
    <w:next w:val="56"/>
    <w:qFormat/>
    <w:uiPriority w:val="0"/>
    <w:pPr>
      <w:numPr>
        <w:ilvl w:val="0"/>
        <w:numId w:val="5"/>
      </w:numPr>
      <w:spacing w:line="14" w:lineRule="exact"/>
      <w:ind w:firstLine="0" w:firstLineChars="0"/>
      <w:jc w:val="center"/>
    </w:pPr>
    <w:rPr>
      <w:rFonts w:eastAsia="黑体"/>
      <w:vanish/>
      <w:sz w:val="2"/>
    </w:rPr>
  </w:style>
  <w:style w:type="paragraph" w:customStyle="1" w:styleId="200">
    <w:name w:val="标准文件_引言一级条标题"/>
    <w:basedOn w:val="56"/>
    <w:next w:val="56"/>
    <w:qFormat/>
    <w:uiPriority w:val="0"/>
    <w:pPr>
      <w:numPr>
        <w:ilvl w:val="1"/>
        <w:numId w:val="8"/>
      </w:numPr>
      <w:spacing w:before="50" w:beforeLines="50" w:after="50" w:afterLines="50"/>
      <w:ind w:firstLineChars="0"/>
    </w:pPr>
    <w:rPr>
      <w:rFonts w:ascii="黑体" w:eastAsia="黑体"/>
    </w:rPr>
  </w:style>
  <w:style w:type="paragraph" w:customStyle="1" w:styleId="201">
    <w:name w:val="标准文件_引言二级条标题"/>
    <w:basedOn w:val="56"/>
    <w:next w:val="56"/>
    <w:qFormat/>
    <w:uiPriority w:val="0"/>
    <w:pPr>
      <w:numPr>
        <w:ilvl w:val="2"/>
        <w:numId w:val="8"/>
      </w:numPr>
      <w:spacing w:before="50" w:beforeLines="50" w:after="50" w:afterLines="50"/>
      <w:ind w:firstLineChars="0"/>
    </w:pPr>
    <w:rPr>
      <w:rFonts w:ascii="黑体" w:eastAsia="黑体"/>
    </w:rPr>
  </w:style>
  <w:style w:type="paragraph" w:customStyle="1" w:styleId="202">
    <w:name w:val="标准文件_引言三级条标题"/>
    <w:basedOn w:val="56"/>
    <w:next w:val="56"/>
    <w:qFormat/>
    <w:uiPriority w:val="0"/>
    <w:pPr>
      <w:numPr>
        <w:ilvl w:val="3"/>
        <w:numId w:val="8"/>
      </w:numPr>
      <w:spacing w:before="50" w:beforeLines="50" w:after="50" w:afterLines="50"/>
      <w:ind w:firstLineChars="0"/>
    </w:pPr>
    <w:rPr>
      <w:rFonts w:ascii="黑体" w:eastAsia="黑体"/>
    </w:rPr>
  </w:style>
  <w:style w:type="paragraph" w:customStyle="1" w:styleId="203">
    <w:name w:val="标准文件_引言四级条标题"/>
    <w:basedOn w:val="56"/>
    <w:next w:val="56"/>
    <w:qFormat/>
    <w:uiPriority w:val="0"/>
    <w:pPr>
      <w:numPr>
        <w:ilvl w:val="4"/>
        <w:numId w:val="8"/>
      </w:numPr>
      <w:spacing w:before="50" w:beforeLines="50" w:after="50" w:afterLines="50"/>
      <w:ind w:firstLineChars="0"/>
    </w:pPr>
    <w:rPr>
      <w:rFonts w:ascii="黑体" w:eastAsia="黑体"/>
    </w:rPr>
  </w:style>
  <w:style w:type="paragraph" w:customStyle="1" w:styleId="204">
    <w:name w:val="标准文件_引言五级条标题"/>
    <w:basedOn w:val="56"/>
    <w:next w:val="56"/>
    <w:qFormat/>
    <w:uiPriority w:val="0"/>
    <w:pPr>
      <w:numPr>
        <w:ilvl w:val="5"/>
        <w:numId w:val="8"/>
      </w:numPr>
      <w:spacing w:before="50" w:beforeLines="50" w:after="50" w:afterLines="50"/>
      <w:ind w:firstLineChars="0"/>
    </w:pPr>
    <w:rPr>
      <w:rFonts w:ascii="黑体" w:eastAsia="黑体"/>
    </w:rPr>
  </w:style>
  <w:style w:type="paragraph" w:customStyle="1" w:styleId="205">
    <w:name w:val="标准文件_注后"/>
    <w:basedOn w:val="56"/>
    <w:qFormat/>
    <w:uiPriority w:val="0"/>
    <w:pPr>
      <w:ind w:left="811" w:firstLine="0" w:firstLineChars="0"/>
    </w:pPr>
    <w:rPr>
      <w:sz w:val="18"/>
    </w:rPr>
  </w:style>
  <w:style w:type="paragraph" w:customStyle="1" w:styleId="206">
    <w:name w:val="标准文件_注X后"/>
    <w:basedOn w:val="56"/>
    <w:qFormat/>
    <w:uiPriority w:val="0"/>
    <w:pPr>
      <w:ind w:left="811" w:firstLine="0" w:firstLineChars="0"/>
    </w:pPr>
    <w:rPr>
      <w:sz w:val="18"/>
    </w:rPr>
  </w:style>
  <w:style w:type="paragraph" w:customStyle="1" w:styleId="207">
    <w:name w:val="标准文件_示例后"/>
    <w:basedOn w:val="56"/>
    <w:qFormat/>
    <w:uiPriority w:val="0"/>
    <w:pPr>
      <w:ind w:left="964" w:firstLine="0" w:firstLineChars="0"/>
    </w:pPr>
    <w:rPr>
      <w:sz w:val="18"/>
    </w:rPr>
  </w:style>
  <w:style w:type="paragraph" w:customStyle="1" w:styleId="208">
    <w:name w:val="标准文件_示例X后"/>
    <w:basedOn w:val="56"/>
    <w:link w:val="209"/>
    <w:qFormat/>
    <w:uiPriority w:val="0"/>
    <w:pPr>
      <w:ind w:left="1049" w:firstLine="0" w:firstLineChars="0"/>
    </w:pPr>
    <w:rPr>
      <w:sz w:val="18"/>
    </w:rPr>
  </w:style>
  <w:style w:type="character" w:customStyle="1" w:styleId="209">
    <w:name w:val="标准文件_示例X后 字符"/>
    <w:basedOn w:val="184"/>
    <w:link w:val="208"/>
    <w:uiPriority w:val="0"/>
    <w:rPr>
      <w:rFonts w:ascii="宋体" w:hAnsi="Times New Roman"/>
      <w:sz w:val="18"/>
    </w:rPr>
  </w:style>
  <w:style w:type="paragraph" w:customStyle="1" w:styleId="210">
    <w:name w:val="标准文件_索引项"/>
    <w:basedOn w:val="56"/>
    <w:next w:val="56"/>
    <w:qFormat/>
    <w:uiPriority w:val="0"/>
    <w:pPr>
      <w:tabs>
        <w:tab w:val="right" w:leader="dot" w:pos="9356"/>
      </w:tabs>
      <w:ind w:left="210" w:hanging="210" w:firstLineChars="0"/>
      <w:jc w:val="left"/>
    </w:pPr>
  </w:style>
  <w:style w:type="paragraph" w:customStyle="1" w:styleId="211">
    <w:name w:val="标准文件_附录一级无标题"/>
    <w:basedOn w:val="78"/>
    <w:qFormat/>
    <w:uiPriority w:val="0"/>
    <w:pPr>
      <w:spacing w:before="0" w:beforeLines="0" w:after="0" w:afterLines="0" w:line="276" w:lineRule="auto"/>
      <w:outlineLvl w:val="9"/>
    </w:pPr>
    <w:rPr>
      <w:rFonts w:ascii="宋体" w:eastAsia="宋体"/>
    </w:rPr>
  </w:style>
  <w:style w:type="paragraph" w:customStyle="1" w:styleId="212">
    <w:name w:val="标准文件_附录二级无标题"/>
    <w:basedOn w:val="79"/>
    <w:uiPriority w:val="0"/>
    <w:pPr>
      <w:spacing w:before="0" w:beforeLines="0" w:after="0" w:afterLines="0" w:line="276" w:lineRule="auto"/>
      <w:outlineLvl w:val="9"/>
    </w:pPr>
    <w:rPr>
      <w:rFonts w:ascii="宋体" w:eastAsia="宋体"/>
    </w:rPr>
  </w:style>
  <w:style w:type="paragraph" w:customStyle="1" w:styleId="213">
    <w:name w:val="标准文件_附录三级无标题"/>
    <w:basedOn w:val="81"/>
    <w:qFormat/>
    <w:uiPriority w:val="0"/>
    <w:pPr>
      <w:spacing w:before="0" w:beforeLines="0" w:after="0" w:afterLines="0" w:line="276" w:lineRule="auto"/>
      <w:outlineLvl w:val="9"/>
    </w:pPr>
    <w:rPr>
      <w:rFonts w:ascii="宋体" w:eastAsia="宋体"/>
    </w:rPr>
  </w:style>
  <w:style w:type="paragraph" w:customStyle="1" w:styleId="214">
    <w:name w:val="标准文件_附录四级无标题"/>
    <w:basedOn w:val="82"/>
    <w:qFormat/>
    <w:uiPriority w:val="0"/>
    <w:pPr>
      <w:spacing w:before="0" w:beforeLines="0" w:after="0" w:afterLines="0" w:line="276" w:lineRule="auto"/>
      <w:outlineLvl w:val="9"/>
    </w:pPr>
    <w:rPr>
      <w:rFonts w:ascii="宋体" w:eastAsia="宋体"/>
    </w:rPr>
  </w:style>
  <w:style w:type="paragraph" w:customStyle="1" w:styleId="215">
    <w:name w:val="标准文件_附录五级无标题"/>
    <w:basedOn w:val="84"/>
    <w:qFormat/>
    <w:uiPriority w:val="0"/>
    <w:pPr>
      <w:spacing w:before="0" w:beforeLines="0" w:after="0" w:afterLines="0" w:line="276" w:lineRule="auto"/>
      <w:outlineLvl w:val="9"/>
    </w:pPr>
    <w:rPr>
      <w:rFonts w:ascii="宋体" w:eastAsia="宋体"/>
    </w:rPr>
  </w:style>
  <w:style w:type="paragraph" w:customStyle="1" w:styleId="216">
    <w:name w:val="标准文件_引言一级无标题"/>
    <w:basedOn w:val="200"/>
    <w:next w:val="56"/>
    <w:qFormat/>
    <w:uiPriority w:val="0"/>
    <w:pPr>
      <w:spacing w:before="0" w:beforeLines="0" w:after="0" w:afterLines="0" w:line="276" w:lineRule="auto"/>
    </w:pPr>
    <w:rPr>
      <w:rFonts w:ascii="宋体" w:eastAsia="宋体"/>
    </w:rPr>
  </w:style>
  <w:style w:type="paragraph" w:customStyle="1" w:styleId="217">
    <w:name w:val="标准文件_引言二级无标题"/>
    <w:basedOn w:val="201"/>
    <w:next w:val="56"/>
    <w:qFormat/>
    <w:uiPriority w:val="0"/>
    <w:pPr>
      <w:spacing w:before="0" w:beforeLines="0" w:after="0" w:afterLines="0" w:line="276" w:lineRule="auto"/>
    </w:pPr>
    <w:rPr>
      <w:rFonts w:ascii="宋体" w:eastAsia="宋体"/>
    </w:rPr>
  </w:style>
  <w:style w:type="paragraph" w:customStyle="1" w:styleId="218">
    <w:name w:val="标准文件_引言三级无标题"/>
    <w:basedOn w:val="202"/>
    <w:qFormat/>
    <w:uiPriority w:val="0"/>
    <w:pPr>
      <w:spacing w:before="0" w:beforeLines="0" w:after="0" w:afterLines="0" w:line="276" w:lineRule="auto"/>
    </w:pPr>
    <w:rPr>
      <w:rFonts w:ascii="宋体" w:eastAsia="宋体"/>
    </w:rPr>
  </w:style>
  <w:style w:type="paragraph" w:customStyle="1" w:styleId="219">
    <w:name w:val="标准文件_引言四级无标题"/>
    <w:basedOn w:val="203"/>
    <w:next w:val="56"/>
    <w:qFormat/>
    <w:uiPriority w:val="0"/>
    <w:pPr>
      <w:spacing w:before="0" w:beforeLines="0" w:after="0" w:afterLines="0" w:line="276" w:lineRule="auto"/>
    </w:pPr>
    <w:rPr>
      <w:rFonts w:ascii="宋体" w:eastAsia="宋体"/>
    </w:rPr>
  </w:style>
  <w:style w:type="paragraph" w:customStyle="1" w:styleId="220">
    <w:name w:val="标准文件_引言五级无标题"/>
    <w:basedOn w:val="204"/>
    <w:next w:val="56"/>
    <w:qFormat/>
    <w:uiPriority w:val="0"/>
    <w:pPr>
      <w:spacing w:before="0" w:beforeLines="0" w:after="0" w:afterLines="0" w:line="276" w:lineRule="auto"/>
    </w:pPr>
    <w:rPr>
      <w:rFonts w:ascii="宋体" w:eastAsia="宋体"/>
    </w:rPr>
  </w:style>
  <w:style w:type="paragraph" w:customStyle="1" w:styleId="221">
    <w:name w:val="标准文件_索引标题"/>
    <w:basedOn w:val="63"/>
    <w:next w:val="56"/>
    <w:qFormat/>
    <w:uiPriority w:val="0"/>
    <w:rPr>
      <w:rFonts w:hAnsi="黑体"/>
    </w:rPr>
  </w:style>
  <w:style w:type="paragraph" w:customStyle="1" w:styleId="222">
    <w:name w:val="标准文件_脚注内容"/>
    <w:basedOn w:val="56"/>
    <w:qFormat/>
    <w:uiPriority w:val="0"/>
    <w:pPr>
      <w:ind w:left="400" w:leftChars="200" w:hanging="200" w:hangingChars="200"/>
    </w:pPr>
    <w:rPr>
      <w:sz w:val="15"/>
    </w:rPr>
  </w:style>
  <w:style w:type="paragraph" w:customStyle="1" w:styleId="223">
    <w:name w:val="标准文件_术语条一"/>
    <w:basedOn w:val="162"/>
    <w:next w:val="56"/>
    <w:qFormat/>
    <w:uiPriority w:val="0"/>
  </w:style>
  <w:style w:type="paragraph" w:customStyle="1" w:styleId="224">
    <w:name w:val="标准文件_术语条二"/>
    <w:basedOn w:val="165"/>
    <w:next w:val="56"/>
    <w:qFormat/>
    <w:uiPriority w:val="0"/>
  </w:style>
  <w:style w:type="paragraph" w:customStyle="1" w:styleId="225">
    <w:name w:val="标准文件_术语条三"/>
    <w:basedOn w:val="164"/>
    <w:next w:val="56"/>
    <w:qFormat/>
    <w:uiPriority w:val="0"/>
  </w:style>
  <w:style w:type="paragraph" w:customStyle="1" w:styleId="226">
    <w:name w:val="标准文件_术语条四"/>
    <w:basedOn w:val="167"/>
    <w:next w:val="56"/>
    <w:qFormat/>
    <w:uiPriority w:val="0"/>
  </w:style>
  <w:style w:type="paragraph" w:customStyle="1" w:styleId="227">
    <w:name w:val="标准文件_术语条五"/>
    <w:basedOn w:val="163"/>
    <w:next w:val="56"/>
    <w:qFormat/>
    <w:uiPriority w:val="0"/>
  </w:style>
  <w:style w:type="paragraph" w:customStyle="1" w:styleId="228">
    <w:name w:val="Defaul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29">
    <w:name w:val="发布"/>
    <w:basedOn w:val="28"/>
    <w:uiPriority w:val="0"/>
    <w:rPr>
      <w:rFonts w:ascii="黑体" w:eastAsia="黑体"/>
      <w:spacing w:val="85"/>
      <w:w w:val="100"/>
      <w:position w:val="3"/>
      <w:sz w:val="28"/>
      <w:szCs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3" Type="http://schemas.openxmlformats.org/officeDocument/2006/relationships/glossaryDocument" Target="glossary/document.xml"/><Relationship Id="rId32" Type="http://schemas.openxmlformats.org/officeDocument/2006/relationships/fontTable" Target="fontTable.xml"/><Relationship Id="rId31" Type="http://schemas.openxmlformats.org/officeDocument/2006/relationships/customXml" Target="../customXml/item2.xml"/><Relationship Id="rId30" Type="http://schemas.openxmlformats.org/officeDocument/2006/relationships/numbering" Target="numbering.xml"/><Relationship Id="rId3" Type="http://schemas.openxmlformats.org/officeDocument/2006/relationships/footnotes" Target="footnotes.xml"/><Relationship Id="rId29" Type="http://schemas.openxmlformats.org/officeDocument/2006/relationships/customXml" Target="../customXml/item1.xml"/><Relationship Id="rId28" Type="http://schemas.openxmlformats.org/officeDocument/2006/relationships/image" Target="media/image1.jpeg"/><Relationship Id="rId27" Type="http://schemas.openxmlformats.org/officeDocument/2006/relationships/theme" Target="theme/theme1.xml"/><Relationship Id="rId26" Type="http://schemas.openxmlformats.org/officeDocument/2006/relationships/footer" Target="footer11.xml"/><Relationship Id="rId25" Type="http://schemas.openxmlformats.org/officeDocument/2006/relationships/footer" Target="footer10.xml"/><Relationship Id="rId24" Type="http://schemas.openxmlformats.org/officeDocument/2006/relationships/header" Target="header11.xml"/><Relationship Id="rId23" Type="http://schemas.openxmlformats.org/officeDocument/2006/relationships/header" Target="header10.xml"/><Relationship Id="rId22" Type="http://schemas.openxmlformats.org/officeDocument/2006/relationships/footer" Target="footer9.xml"/><Relationship Id="rId21" Type="http://schemas.openxmlformats.org/officeDocument/2006/relationships/footer" Target="footer8.xml"/><Relationship Id="rId20" Type="http://schemas.openxmlformats.org/officeDocument/2006/relationships/header" Target="header9.xml"/><Relationship Id="rId2" Type="http://schemas.openxmlformats.org/officeDocument/2006/relationships/settings" Target="settings.xml"/><Relationship Id="rId19" Type="http://schemas.openxmlformats.org/officeDocument/2006/relationships/header" Target="header8.xml"/><Relationship Id="rId18" Type="http://schemas.openxmlformats.org/officeDocument/2006/relationships/footer" Target="footer7.xml"/><Relationship Id="rId17" Type="http://schemas.openxmlformats.org/officeDocument/2006/relationships/footer" Target="footer6.xml"/><Relationship Id="rId16" Type="http://schemas.openxmlformats.org/officeDocument/2006/relationships/header" Target="header7.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242;&#20307;&#26631;&#20934;.dotx" TargetMode="External"/></Relationships>
</file>

<file path=word/glossary/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647EC360FA944EE789BF25776C36EFF5"/>
        <w:style w:val=""/>
        <w:category>
          <w:name w:val="常规"/>
          <w:gallery w:val="placeholder"/>
        </w:category>
        <w:types>
          <w:type w:val="bbPlcHdr"/>
        </w:types>
        <w:behaviors>
          <w:behavior w:val="content"/>
        </w:behaviors>
        <w:description w:val=""/>
        <w:guid w:val="{B0A6F5BB-64CB-4F58-87DA-8B4052E8088E}"/>
      </w:docPartPr>
      <w:docPartBody>
        <w:p w14:paraId="27C3278B">
          <w:pPr>
            <w:pStyle w:val="5"/>
            <w:rPr>
              <w:rFonts w:hint="eastAsia"/>
            </w:rPr>
          </w:pPr>
          <w:r>
            <w:rPr>
              <w:rStyle w:val="4"/>
              <w:rFonts w:hint="eastAsia"/>
            </w:rPr>
            <w:t>单击或点击此处输入文字。</w:t>
          </w:r>
        </w:p>
      </w:docPartBody>
    </w:docPart>
    <w:docPart>
      <w:docPartPr>
        <w:name w:val="93929E43B0CF49169760B10E3CC5078C"/>
        <w:style w:val=""/>
        <w:category>
          <w:name w:val="常规"/>
          <w:gallery w:val="placeholder"/>
        </w:category>
        <w:types>
          <w:type w:val="bbPlcHdr"/>
        </w:types>
        <w:behaviors>
          <w:behavior w:val="content"/>
        </w:behaviors>
        <w:description w:val=""/>
        <w:guid w:val="{3D5929B6-5B9D-41F6-9D10-42023544281C}"/>
      </w:docPartPr>
      <w:docPartBody>
        <w:p w14:paraId="7280D1B4">
          <w:pPr>
            <w:pStyle w:val="6"/>
            <w:rPr>
              <w:rFonts w:hint="eastAsia"/>
            </w:rPr>
          </w:pPr>
          <w:r>
            <w:rPr>
              <w:rStyle w:val="4"/>
              <w:rFonts w:hint="eastAsia"/>
            </w:rPr>
            <w:t>选择一项。</w:t>
          </w:r>
        </w:p>
      </w:docPartBody>
    </w:docPart>
    <w:docPart>
      <w:docPartPr>
        <w:name w:val="A3F6014629B945FDB0E5E3CF9D118726"/>
        <w:style w:val=""/>
        <w:category>
          <w:name w:val="常规"/>
          <w:gallery w:val="placeholder"/>
        </w:category>
        <w:types>
          <w:type w:val="bbPlcHdr"/>
        </w:types>
        <w:behaviors>
          <w:behavior w:val="content"/>
        </w:behaviors>
        <w:description w:val=""/>
        <w:guid w:val="{07691910-CBA5-4C63-AF4A-178585A4376E}"/>
      </w:docPartPr>
      <w:docPartBody>
        <w:p w14:paraId="3059E2BB">
          <w:pPr>
            <w:pStyle w:val="7"/>
            <w:rPr>
              <w:rFonts w:hint="eastAsia"/>
            </w:rPr>
          </w:pPr>
          <w:r>
            <w:rPr>
              <w:rStyle w:val="4"/>
              <w:rFonts w:hint="eastAsia"/>
            </w:rPr>
            <w:t>选择一项。</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4C9A"/>
    <w:rsid w:val="00017AE3"/>
    <w:rsid w:val="000209BA"/>
    <w:rsid w:val="00023973"/>
    <w:rsid w:val="0004665B"/>
    <w:rsid w:val="000B64FE"/>
    <w:rsid w:val="00157459"/>
    <w:rsid w:val="001C6742"/>
    <w:rsid w:val="00206D34"/>
    <w:rsid w:val="002948DB"/>
    <w:rsid w:val="002A4498"/>
    <w:rsid w:val="002B51B4"/>
    <w:rsid w:val="002C32E8"/>
    <w:rsid w:val="003728D6"/>
    <w:rsid w:val="0038290B"/>
    <w:rsid w:val="00397FD1"/>
    <w:rsid w:val="00444952"/>
    <w:rsid w:val="004B5C0C"/>
    <w:rsid w:val="005505BA"/>
    <w:rsid w:val="0056190D"/>
    <w:rsid w:val="00593755"/>
    <w:rsid w:val="00630572"/>
    <w:rsid w:val="006351AA"/>
    <w:rsid w:val="006A70EA"/>
    <w:rsid w:val="006B31D7"/>
    <w:rsid w:val="006B7111"/>
    <w:rsid w:val="006C55BE"/>
    <w:rsid w:val="006D4FA9"/>
    <w:rsid w:val="007D3EDA"/>
    <w:rsid w:val="007F3E8F"/>
    <w:rsid w:val="00807C94"/>
    <w:rsid w:val="00835287"/>
    <w:rsid w:val="00864853"/>
    <w:rsid w:val="008845EC"/>
    <w:rsid w:val="009067C3"/>
    <w:rsid w:val="00976104"/>
    <w:rsid w:val="009772E0"/>
    <w:rsid w:val="00985F9A"/>
    <w:rsid w:val="009F015F"/>
    <w:rsid w:val="00A43FF9"/>
    <w:rsid w:val="00AC5D77"/>
    <w:rsid w:val="00B351A0"/>
    <w:rsid w:val="00B74941"/>
    <w:rsid w:val="00B84651"/>
    <w:rsid w:val="00B920F8"/>
    <w:rsid w:val="00BF004C"/>
    <w:rsid w:val="00C34C9A"/>
    <w:rsid w:val="00C95F0C"/>
    <w:rsid w:val="00D0669E"/>
    <w:rsid w:val="00D314A2"/>
    <w:rsid w:val="00DE0652"/>
    <w:rsid w:val="00E3263D"/>
    <w:rsid w:val="00E337C0"/>
    <w:rsid w:val="00E620A9"/>
    <w:rsid w:val="00E71A32"/>
    <w:rsid w:val="00EA13EA"/>
    <w:rsid w:val="00ED1C0D"/>
    <w:rsid w:val="00EE3D08"/>
    <w:rsid w:val="00F2621C"/>
    <w:rsid w:val="00F42D71"/>
    <w:rsid w:val="00F52FD8"/>
    <w:rsid w:val="00F74621"/>
    <w:rsid w:val="00F915A3"/>
    <w:rsid w:val="00FA0867"/>
    <w:rsid w:val="00FF17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647EC360FA944EE789BF25776C36EFF5"/>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6">
    <w:name w:val="93929E43B0CF49169760B10E3CC5078C"/>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7">
    <w:name w:val="A3F6014629B945FDB0E5E3CF9D118726"/>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3E0F809-F1B0-47A2-BF3F-77BC97C7211C}">
  <ds:schemaRefs/>
</ds:datastoreItem>
</file>

<file path=docProps/app.xml><?xml version="1.0" encoding="utf-8"?>
<Properties xmlns="http://schemas.openxmlformats.org/officeDocument/2006/extended-properties" xmlns:vt="http://schemas.openxmlformats.org/officeDocument/2006/docPropsVTypes">
  <Template>团体标准</Template>
  <Pages>14</Pages>
  <Words>6970</Words>
  <Characters>7468</Characters>
  <Lines>346</Lines>
  <Paragraphs>466</Paragraphs>
  <TotalTime>31</TotalTime>
  <ScaleCrop>false</ScaleCrop>
  <LinksUpToDate>false</LinksUpToDate>
  <CharactersWithSpaces>7725</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2026-05-14T08:43:00Z</dcterms:created>
  <dc:creator>song</dc:creator>
  <cp:lastModifiedBy>健康子政</cp:lastModifiedBy>
  <cp:lastPrinted>2021-02-02T08:22:00Z</cp:lastPrinted>
  <dcterms:modified xsi:type="dcterms:W3CDTF">2026-10-10T01:12:01Z</dcterms:modified>
  <cp:revision>51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团体标准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TemplateDocerSaveRecord">
    <vt:lpwstr>eyJoZGlkIjoiMjVmMWRlOTUyOWNjYWY0YjNjMjQxYmQ4MTA0NmVmNDIiLCJ1c2VySWQiOiI2NDAyNjMwOTEifQ==</vt:lpwstr>
  </property>
  <property fmtid="{D5CDD505-2E9C-101B-9397-08002B2CF9AE}" pid="15" name="KSOProductBuildVer">
    <vt:lpwstr>2052-12.1.0.28802</vt:lpwstr>
  </property>
  <property fmtid="{D5CDD505-2E9C-101B-9397-08002B2CF9AE}" pid="16" name="ICV">
    <vt:lpwstr>63A6016B24A64F1AA654B05ACD3D4761_13</vt:lpwstr>
  </property>
  <property fmtid="{D5CDD505-2E9C-101B-9397-08002B2CF9AE}" pid="17" name="DoublePage">
    <vt:lpwstr>true</vt:lpwstr>
  </property>
</Properties>
</file>