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549685">
      <w:pPr>
        <w:spacing w:before="960" w:after="3120" w:afterLines="1000"/>
        <w:ind w:left="108"/>
        <w:jc w:val="center"/>
        <w:rPr>
          <w:rFonts w:hint="eastAsia" w:ascii="黑体" w:hAnsi="黑体" w:eastAsia="黑体"/>
          <w:sz w:val="84"/>
          <w:szCs w:val="84"/>
          <w:lang w:eastAsia="zh-CN"/>
        </w:rPr>
      </w:pPr>
      <w:r>
        <w:rPr>
          <w:rFonts w:hint="eastAsia" w:ascii="黑体" w:hAnsi="黑体" w:eastAsia="黑体"/>
          <w:sz w:val="84"/>
          <w:szCs w:val="84"/>
          <w:lang w:eastAsia="zh-CN"/>
        </w:rPr>
        <w:t>团 体 标 准</w:t>
      </w:r>
    </w:p>
    <w:p w14:paraId="6E9C2B69">
      <w:pPr>
        <w:ind w:left="108"/>
        <w:jc w:val="center"/>
        <w:rPr>
          <w:rFonts w:hint="eastAsia" w:ascii="黑体" w:hAnsi="黑体" w:eastAsia="黑体"/>
          <w:sz w:val="32"/>
          <w:szCs w:val="32"/>
          <w:lang w:eastAsia="zh-CN"/>
        </w:rPr>
      </w:pPr>
      <w:r>
        <w:rPr>
          <w:rFonts w:hint="eastAsia" w:ascii="黑体" w:hAnsi="黑体" w:eastAsia="黑体"/>
          <w:sz w:val="32"/>
          <w:szCs w:val="32"/>
          <w:lang w:eastAsia="zh-CN"/>
        </w:rPr>
        <w:t xml:space="preserve"> 《基于中医体质学的食药物质膏方开发指南》</w:t>
      </w:r>
    </w:p>
    <w:p w14:paraId="3529FCDB">
      <w:pPr>
        <w:ind w:left="108"/>
        <w:jc w:val="center"/>
        <w:rPr>
          <w:rFonts w:hint="eastAsia" w:ascii="黑体" w:hAnsi="黑体" w:eastAsia="黑体"/>
          <w:sz w:val="32"/>
          <w:szCs w:val="32"/>
          <w:lang w:eastAsia="zh-CN"/>
        </w:rPr>
      </w:pPr>
      <w:r>
        <w:rPr>
          <w:rFonts w:hint="eastAsia" w:ascii="黑体" w:hAnsi="黑体" w:eastAsia="黑体"/>
          <w:sz w:val="32"/>
          <w:szCs w:val="32"/>
          <w:lang w:eastAsia="zh-CN"/>
        </w:rPr>
        <w:t>团体标准（</w:t>
      </w:r>
      <w:r>
        <w:rPr>
          <w:rFonts w:hint="eastAsia" w:ascii="黑体" w:hAnsi="黑体" w:eastAsia="黑体"/>
          <w:sz w:val="32"/>
          <w:szCs w:val="32"/>
          <w:lang w:val="en-US" w:eastAsia="zh-CN"/>
        </w:rPr>
        <w:t>征求意见稿</w:t>
      </w:r>
      <w:r>
        <w:rPr>
          <w:rFonts w:hint="eastAsia" w:ascii="黑体" w:hAnsi="黑体" w:eastAsia="黑体"/>
          <w:sz w:val="32"/>
          <w:szCs w:val="32"/>
          <w:lang w:eastAsia="zh-CN"/>
        </w:rPr>
        <w:t>）</w:t>
      </w:r>
    </w:p>
    <w:p w14:paraId="26D62232">
      <w:pPr>
        <w:spacing w:after="4368" w:afterLines="1400"/>
        <w:ind w:left="108"/>
        <w:jc w:val="center"/>
        <w:rPr>
          <w:rFonts w:hint="eastAsia" w:ascii="黑体" w:hAnsi="黑体" w:eastAsia="黑体"/>
          <w:sz w:val="32"/>
          <w:szCs w:val="32"/>
          <w:lang w:eastAsia="zh-CN" w:bidi="ar-SA"/>
        </w:rPr>
      </w:pPr>
      <w:r>
        <w:rPr>
          <w:rFonts w:ascii="黑体" w:hAnsi="黑体" w:eastAsia="黑体"/>
          <w:sz w:val="32"/>
          <w:szCs w:val="32"/>
          <w:lang w:eastAsia="zh-CN" w:bidi="ar-SA"/>
        </w:rPr>
        <w:t>编制说明</w:t>
      </w:r>
    </w:p>
    <w:p w14:paraId="7FEA9A52">
      <w:pPr>
        <w:spacing w:before="2184" w:beforeLines="700"/>
        <w:ind w:left="108"/>
        <w:jc w:val="center"/>
        <w:rPr>
          <w:rFonts w:hint="eastAsia" w:ascii="黑体" w:hAnsi="黑体" w:eastAsia="黑体"/>
          <w:sz w:val="28"/>
          <w:szCs w:val="28"/>
          <w:lang w:eastAsia="zh-CN"/>
        </w:rPr>
      </w:pPr>
      <w:r>
        <w:rPr>
          <w:rFonts w:hint="eastAsia" w:ascii="黑体" w:hAnsi="黑体" w:eastAsia="黑体"/>
          <w:sz w:val="28"/>
          <w:szCs w:val="28"/>
          <w:lang w:eastAsia="zh-CN"/>
        </w:rPr>
        <w:t>标准起草工作组</w:t>
      </w:r>
    </w:p>
    <w:p w14:paraId="662F4AE6">
      <w:pPr>
        <w:ind w:left="108"/>
        <w:jc w:val="center"/>
        <w:rPr>
          <w:rFonts w:hint="eastAsia" w:ascii="黑体" w:hAnsi="黑体" w:eastAsia="黑体"/>
          <w:sz w:val="28"/>
          <w:szCs w:val="28"/>
          <w:lang w:eastAsia="zh-CN"/>
        </w:rPr>
      </w:pPr>
      <w:r>
        <w:rPr>
          <w:rFonts w:hint="eastAsia" w:ascii="黑体" w:hAnsi="黑体" w:eastAsia="黑体"/>
          <w:sz w:val="28"/>
          <w:szCs w:val="28"/>
          <w:lang w:eastAsia="zh-CN"/>
        </w:rPr>
        <w:t>2026年</w:t>
      </w:r>
      <w:r>
        <w:rPr>
          <w:rFonts w:hint="eastAsia" w:ascii="黑体" w:hAnsi="黑体" w:eastAsia="黑体"/>
          <w:sz w:val="28"/>
          <w:szCs w:val="28"/>
          <w:lang w:val="en-US" w:eastAsia="zh-CN"/>
        </w:rPr>
        <w:t>10</w:t>
      </w:r>
      <w:r>
        <w:rPr>
          <w:rFonts w:hint="eastAsia" w:ascii="黑体" w:hAnsi="黑体" w:eastAsia="黑体"/>
          <w:sz w:val="28"/>
          <w:szCs w:val="28"/>
          <w:lang w:eastAsia="zh-CN"/>
        </w:rPr>
        <w:t>月</w:t>
      </w:r>
    </w:p>
    <w:p w14:paraId="261C8A92">
      <w:pPr>
        <w:tabs>
          <w:tab w:val="left" w:pos="1815"/>
        </w:tabs>
        <w:jc w:val="center"/>
        <w:rPr>
          <w:rFonts w:hint="eastAsia" w:ascii="黑体" w:hAnsi="黑体" w:eastAsia="黑体"/>
          <w:sz w:val="36"/>
          <w:szCs w:val="36"/>
          <w:lang w:eastAsia="zh-CN"/>
        </w:rPr>
      </w:pPr>
    </w:p>
    <w:p w14:paraId="4FFD26F1">
      <w:pPr>
        <w:tabs>
          <w:tab w:val="left" w:pos="1815"/>
        </w:tabs>
        <w:spacing w:before="156" w:beforeLines="50" w:after="156" w:afterLines="50"/>
        <w:rPr>
          <w:rFonts w:hint="eastAsia" w:ascii="黑体" w:hAnsi="黑体" w:eastAsia="黑体"/>
          <w:sz w:val="28"/>
          <w:szCs w:val="28"/>
          <w:lang w:eastAsia="zh-CN"/>
        </w:rPr>
      </w:pPr>
      <w:r>
        <w:rPr>
          <w:rFonts w:hint="eastAsia" w:ascii="黑体" w:hAnsi="黑体" w:eastAsia="黑体"/>
          <w:sz w:val="28"/>
          <w:szCs w:val="28"/>
          <w:lang w:eastAsia="zh-CN"/>
        </w:rPr>
        <w:t>一、工作简况</w:t>
      </w:r>
    </w:p>
    <w:p w14:paraId="3DCBBAFA">
      <w:pPr>
        <w:tabs>
          <w:tab w:val="left" w:pos="1815"/>
        </w:tabs>
        <w:spacing w:line="360" w:lineRule="auto"/>
        <w:rPr>
          <w:rFonts w:hint="eastAsia" w:ascii="黑体" w:hAnsi="黑体" w:eastAsia="黑体"/>
          <w:sz w:val="24"/>
          <w:szCs w:val="24"/>
          <w:lang w:eastAsia="zh-CN"/>
        </w:rPr>
      </w:pPr>
      <w:r>
        <w:rPr>
          <w:rFonts w:hint="eastAsia" w:ascii="黑体" w:hAnsi="黑体" w:eastAsia="黑体"/>
          <w:sz w:val="24"/>
          <w:szCs w:val="24"/>
          <w:lang w:eastAsia="zh-CN"/>
        </w:rPr>
        <w:t>（一）任务来源</w:t>
      </w:r>
    </w:p>
    <w:p w14:paraId="4BD0D0FA">
      <w:pPr>
        <w:tabs>
          <w:tab w:val="left" w:pos="1815"/>
        </w:tabs>
        <w:spacing w:line="360" w:lineRule="auto"/>
        <w:ind w:firstLine="480" w:firstLineChars="200"/>
        <w:rPr>
          <w:rFonts w:hint="eastAsia" w:eastAsia="宋体"/>
          <w:sz w:val="24"/>
          <w:szCs w:val="24"/>
          <w:lang w:eastAsia="zh-CN"/>
        </w:rPr>
      </w:pPr>
      <w:r>
        <w:rPr>
          <w:rFonts w:hint="eastAsia" w:eastAsia="宋体"/>
          <w:sz w:val="24"/>
          <w:szCs w:val="24"/>
          <w:lang w:eastAsia="zh-CN"/>
        </w:rPr>
        <w:t>根据2</w:t>
      </w:r>
      <w:r>
        <w:rPr>
          <w:rFonts w:eastAsia="宋体"/>
          <w:sz w:val="24"/>
          <w:szCs w:val="24"/>
          <w:lang w:eastAsia="zh-CN"/>
        </w:rPr>
        <w:t>024</w:t>
      </w:r>
      <w:r>
        <w:rPr>
          <w:rFonts w:hint="eastAsia" w:eastAsia="宋体"/>
          <w:sz w:val="24"/>
          <w:szCs w:val="24"/>
          <w:lang w:eastAsia="zh-CN"/>
        </w:rPr>
        <w:t>年全国标准化工作要点</w:t>
      </w:r>
      <w:r>
        <w:rPr>
          <w:rFonts w:eastAsia="宋体"/>
          <w:sz w:val="24"/>
          <w:szCs w:val="24"/>
          <w:lang w:eastAsia="zh-CN"/>
        </w:rPr>
        <w:t>，加强质量支撑和标准引领，深入推进国家标准化发展纲要各项重点任务实施</w:t>
      </w:r>
      <w:r>
        <w:rPr>
          <w:rFonts w:hint="eastAsia" w:eastAsia="宋体"/>
          <w:sz w:val="24"/>
          <w:szCs w:val="24"/>
          <w:lang w:eastAsia="zh-CN"/>
        </w:rPr>
        <w:t>，</w:t>
      </w:r>
      <w:r>
        <w:rPr>
          <w:rFonts w:eastAsia="宋体"/>
          <w:sz w:val="24"/>
          <w:szCs w:val="24"/>
          <w:lang w:eastAsia="zh-CN"/>
        </w:rPr>
        <w:t>以标准有力引领现代化产业体系建设，推动标准化更好服务经济社会高质量发展。依据《中华人民</w:t>
      </w:r>
      <w:r>
        <w:rPr>
          <w:rFonts w:hint="eastAsia" w:eastAsia="宋体"/>
          <w:sz w:val="24"/>
          <w:szCs w:val="24"/>
          <w:lang w:eastAsia="zh-CN"/>
        </w:rPr>
        <w:t>共和国</w:t>
      </w:r>
      <w:r>
        <w:rPr>
          <w:rFonts w:eastAsia="宋体"/>
          <w:sz w:val="24"/>
          <w:szCs w:val="24"/>
          <w:lang w:eastAsia="zh-CN"/>
        </w:rPr>
        <w:t>标准化法》</w:t>
      </w:r>
      <w:r>
        <w:rPr>
          <w:rFonts w:hint="eastAsia" w:eastAsia="宋体"/>
          <w:sz w:val="24"/>
          <w:szCs w:val="24"/>
          <w:lang w:eastAsia="zh-CN"/>
        </w:rPr>
        <w:t>和</w:t>
      </w:r>
      <w:r>
        <w:rPr>
          <w:rFonts w:eastAsia="宋体"/>
          <w:sz w:val="24"/>
          <w:szCs w:val="24"/>
          <w:lang w:eastAsia="zh-CN"/>
        </w:rPr>
        <w:t>《团体标准管理规定》</w:t>
      </w:r>
      <w:r>
        <w:rPr>
          <w:rFonts w:hint="eastAsia" w:eastAsia="宋体"/>
          <w:sz w:val="24"/>
          <w:szCs w:val="24"/>
          <w:lang w:eastAsia="zh-CN"/>
        </w:rPr>
        <w:t>（国标委联〔2019〕1号）的</w:t>
      </w:r>
      <w:r>
        <w:rPr>
          <w:rFonts w:eastAsia="宋体"/>
          <w:sz w:val="24"/>
          <w:szCs w:val="24"/>
          <w:lang w:eastAsia="zh-CN"/>
        </w:rPr>
        <w:t>相关</w:t>
      </w:r>
      <w:r>
        <w:rPr>
          <w:rFonts w:hint="eastAsia" w:eastAsia="宋体"/>
          <w:sz w:val="24"/>
          <w:szCs w:val="24"/>
          <w:lang w:eastAsia="zh-CN"/>
        </w:rPr>
        <w:t>要求</w:t>
      </w:r>
      <w:r>
        <w:rPr>
          <w:rFonts w:eastAsia="宋体"/>
          <w:sz w:val="24"/>
          <w:szCs w:val="24"/>
          <w:lang w:eastAsia="zh-CN"/>
        </w:rPr>
        <w:t>，</w:t>
      </w:r>
      <w:r>
        <w:rPr>
          <w:rFonts w:hint="eastAsia" w:eastAsia="宋体"/>
          <w:sz w:val="24"/>
          <w:szCs w:val="24"/>
          <w:lang w:eastAsia="zh-CN"/>
        </w:rPr>
        <w:t>中国中医药研究促进会立项并联合相关单位共同制定《基于中医体质学的食药物质膏方开发指南》团体标准。</w:t>
      </w:r>
    </w:p>
    <w:p w14:paraId="24EDDD97">
      <w:pPr>
        <w:tabs>
          <w:tab w:val="left" w:pos="1815"/>
        </w:tabs>
        <w:spacing w:line="360" w:lineRule="auto"/>
        <w:rPr>
          <w:rFonts w:hint="eastAsia" w:ascii="黑体" w:hAnsi="黑体" w:eastAsia="黑体"/>
          <w:sz w:val="24"/>
          <w:szCs w:val="24"/>
          <w:lang w:eastAsia="zh-CN"/>
        </w:rPr>
      </w:pPr>
      <w:r>
        <w:rPr>
          <w:rFonts w:hint="eastAsia" w:ascii="黑体" w:hAnsi="黑体" w:eastAsia="黑体"/>
          <w:sz w:val="24"/>
          <w:szCs w:val="24"/>
          <w:lang w:eastAsia="zh-CN"/>
        </w:rPr>
        <w:t>（二）制定背景</w:t>
      </w:r>
    </w:p>
    <w:p w14:paraId="5BF9F244">
      <w:pPr>
        <w:tabs>
          <w:tab w:val="left" w:pos="1815"/>
        </w:tabs>
        <w:spacing w:line="360" w:lineRule="auto"/>
        <w:ind w:firstLine="480" w:firstLineChars="200"/>
        <w:rPr>
          <w:rFonts w:hint="eastAsia" w:eastAsia="宋体"/>
          <w:sz w:val="24"/>
          <w:szCs w:val="24"/>
          <w:lang w:eastAsia="zh-CN"/>
        </w:rPr>
      </w:pPr>
      <w:r>
        <w:rPr>
          <w:rFonts w:eastAsia="宋体"/>
          <w:sz w:val="24"/>
          <w:szCs w:val="24"/>
          <w:lang w:eastAsia="zh-CN"/>
        </w:rPr>
        <w:t>中医药大健康产业是推进健康中国建设的重要支柱产业。国家层面相继出台多项扶持政策，构建了政策引导、标准支撑、产业落地的行业发展体系，为本标准编制工作提供了明确的政策导向及合规依据。</w:t>
      </w:r>
    </w:p>
    <w:p w14:paraId="1ED00C99">
      <w:pPr>
        <w:tabs>
          <w:tab w:val="left" w:pos="1815"/>
        </w:tabs>
        <w:spacing w:line="360" w:lineRule="auto"/>
        <w:ind w:firstLine="480" w:firstLineChars="200"/>
        <w:rPr>
          <w:rFonts w:hint="eastAsia" w:eastAsia="宋体"/>
          <w:sz w:val="24"/>
          <w:szCs w:val="24"/>
          <w:lang w:eastAsia="zh-CN"/>
        </w:rPr>
      </w:pPr>
      <w:r>
        <w:rPr>
          <w:rFonts w:eastAsia="宋体"/>
          <w:sz w:val="24"/>
          <w:szCs w:val="24"/>
          <w:lang w:eastAsia="zh-CN"/>
        </w:rPr>
        <w:t>《“健康中国2030”规划纲要》明确提出要发挥中医药在治未病中的主导作用，推动中医药与养生食品产业深度融合，将中医体质调理、个性化食养纳入国民健康管理体系，明确了药食同源膏方的产业发展定位。《中医药发展战略规划纲要（2016—2030年）》要求完善中医药全产业链标准体系，加强药食同源产品标准化建设，确定标准化为中医药产业规范化、现代化发展的核心支撑。</w:t>
      </w:r>
    </w:p>
    <w:p w14:paraId="2E8000A8">
      <w:pPr>
        <w:tabs>
          <w:tab w:val="left" w:pos="1815"/>
        </w:tabs>
        <w:spacing w:line="360" w:lineRule="auto"/>
        <w:ind w:firstLine="480" w:firstLineChars="200"/>
        <w:rPr>
          <w:rFonts w:hint="eastAsia" w:eastAsia="宋体"/>
          <w:sz w:val="24"/>
          <w:szCs w:val="24"/>
          <w:lang w:eastAsia="zh-CN"/>
        </w:rPr>
      </w:pPr>
      <w:r>
        <w:rPr>
          <w:rFonts w:eastAsia="宋体"/>
          <w:sz w:val="24"/>
          <w:szCs w:val="24"/>
          <w:lang w:eastAsia="zh-CN"/>
        </w:rPr>
        <w:t>在产业配套层面，国家卫生健康委员会、国家市场监督管理总局持续扩容药食同源物质目录，目前纳入管控的合规物质已达110余种，为膏方配方研发提供充足、合规的原料基础。《团体标准管理规定》鼓励社会团体制定满足市场创新需求、填补国标及行标空白的团体标准，为本标准立项编制提供合规制度支撑。</w:t>
      </w:r>
    </w:p>
    <w:p w14:paraId="7FA5F3E9">
      <w:pPr>
        <w:tabs>
          <w:tab w:val="left" w:pos="1815"/>
        </w:tabs>
        <w:spacing w:line="360" w:lineRule="auto"/>
        <w:ind w:firstLine="480" w:firstLineChars="200"/>
        <w:rPr>
          <w:rFonts w:hint="eastAsia" w:eastAsia="宋体"/>
          <w:sz w:val="24"/>
          <w:szCs w:val="24"/>
          <w:lang w:eastAsia="zh-CN"/>
        </w:rPr>
      </w:pPr>
      <w:r>
        <w:rPr>
          <w:rFonts w:eastAsia="宋体"/>
          <w:sz w:val="24"/>
          <w:szCs w:val="24"/>
          <w:lang w:eastAsia="zh-CN"/>
        </w:rPr>
        <w:t>同时，国家产业政策精准导向体质调理与个性化营养领域。国家中医药管理局印发《中医体质治未病干预方案》，推动王琦院士九种体质学说在健康管理行业落地应用；《国民营养计划（2017—2030年）》提出发展个性化营养供给与传统食养服务，药食同源膏方作为传统食养的重要载体，是实现辨体施养、日常康养的关键产品形态。当前，国内尚未形成基于中医体质学的药食同源膏方开发专用标准，标准体系缺失已成为相关产业政策落地的关键堵点，制约行业高质量、规范化长效发展。</w:t>
      </w:r>
    </w:p>
    <w:p w14:paraId="1C8B2B68">
      <w:pPr>
        <w:tabs>
          <w:tab w:val="left" w:pos="1815"/>
        </w:tabs>
        <w:spacing w:line="360" w:lineRule="auto"/>
        <w:ind w:firstLine="480" w:firstLineChars="200"/>
        <w:rPr>
          <w:rFonts w:hint="eastAsia" w:eastAsia="宋体"/>
          <w:sz w:val="24"/>
          <w:szCs w:val="24"/>
          <w:lang w:eastAsia="zh-CN"/>
        </w:rPr>
      </w:pPr>
      <w:r>
        <w:rPr>
          <w:rFonts w:eastAsia="宋体"/>
          <w:sz w:val="24"/>
          <w:szCs w:val="24"/>
          <w:lang w:eastAsia="zh-CN"/>
        </w:rPr>
        <w:t>现阶段国内药食同源膏方行业发展速度较快，市场产品品类丰富，但行业通用技术标准、质量管控标准缺失，行业普遍存在产品同质化严重、配方科学性不足、生产工艺管控松散、质量评价体系空白、标签标识不规范等问题，不仅侵害消费者合法权益，也严重阻碍行业转型升级，具体问题如下：</w:t>
      </w:r>
    </w:p>
    <w:p w14:paraId="220CEEB4">
      <w:pPr>
        <w:tabs>
          <w:tab w:val="left" w:pos="1815"/>
        </w:tabs>
        <w:spacing w:line="360" w:lineRule="auto"/>
        <w:ind w:firstLine="480" w:firstLineChars="200"/>
        <w:rPr>
          <w:rFonts w:hint="eastAsia" w:eastAsia="宋体"/>
          <w:sz w:val="24"/>
          <w:szCs w:val="24"/>
          <w:lang w:eastAsia="zh-CN"/>
        </w:rPr>
      </w:pPr>
      <w:r>
        <w:rPr>
          <w:rFonts w:eastAsia="宋体"/>
          <w:sz w:val="24"/>
          <w:szCs w:val="24"/>
          <w:lang w:eastAsia="zh-CN"/>
        </w:rPr>
        <w:t>1.产品同质化严重，体质适配性缺失。目前市面流通的阿胶糕、桑椹膏、姜枣膏等膏方产品，多沿用传统经验配方或跟风市场热门配方，未依据中医九种体质划分适配人群，部分产品虚假宣传、泛化宣传，标注“全人群适用”，违背中医辨证论治、辨体施养的核心原则。消费者仅凭主观判断及商业宣传选购产品，易出现体质与产品不适配问题，不仅无调理效果，还会加重体质偏颇，损害中医食养行业公信力。</w:t>
      </w:r>
    </w:p>
    <w:p w14:paraId="652E3286">
      <w:pPr>
        <w:tabs>
          <w:tab w:val="left" w:pos="1815"/>
        </w:tabs>
        <w:spacing w:line="360" w:lineRule="auto"/>
        <w:ind w:firstLine="480" w:firstLineChars="200"/>
        <w:rPr>
          <w:rFonts w:hint="eastAsia" w:eastAsia="宋体"/>
          <w:sz w:val="24"/>
          <w:szCs w:val="24"/>
          <w:lang w:eastAsia="zh-CN"/>
        </w:rPr>
      </w:pPr>
      <w:r>
        <w:rPr>
          <w:rFonts w:eastAsia="宋体"/>
          <w:sz w:val="24"/>
          <w:szCs w:val="24"/>
          <w:lang w:eastAsia="zh-CN"/>
        </w:rPr>
        <w:t>2.配方配伍缺乏科学依据，逻辑混乱不规范。部分生产企业为压缩生产成本、简化生产流程，随意删减、替换药食同源原料，无视中药君臣佐使配伍原则，普遍存在原料简单堆砌、忽视体质适配需求等问题。部分调理类膏方未依据体质需求配伍核心原料，额外添加大量滋腻辅料，大幅降低产品调理功效，产品配方科学性、安全性无法保障。</w:t>
      </w:r>
    </w:p>
    <w:p w14:paraId="3855354B">
      <w:pPr>
        <w:tabs>
          <w:tab w:val="left" w:pos="1815"/>
        </w:tabs>
        <w:spacing w:line="360" w:lineRule="auto"/>
        <w:ind w:firstLine="480" w:firstLineChars="200"/>
        <w:rPr>
          <w:rFonts w:hint="eastAsia" w:eastAsia="宋体"/>
          <w:sz w:val="24"/>
          <w:szCs w:val="24"/>
          <w:lang w:eastAsia="zh-CN"/>
        </w:rPr>
      </w:pPr>
      <w:r>
        <w:rPr>
          <w:rFonts w:eastAsia="宋体"/>
          <w:sz w:val="24"/>
          <w:szCs w:val="24"/>
          <w:lang w:eastAsia="zh-CN"/>
        </w:rPr>
        <w:t>3.生产工艺管控松散，产品质量稳定性差。膏方提取、浓缩、收膏、灭菌等关键生产工序无统一技术参数规范，行业多依靠人工经验生产，不同批次产品在相对密度、功能性成分含量等关键指标上差异较大。中小生产企业生产环境简陋，工艺管控流程不完善，易出现微生物超标、理化指标波动、保质期缩短等质量问题，存在明显食品安全隐患。</w:t>
      </w:r>
    </w:p>
    <w:p w14:paraId="4F15EC0F">
      <w:pPr>
        <w:tabs>
          <w:tab w:val="left" w:pos="1815"/>
        </w:tabs>
        <w:spacing w:line="360" w:lineRule="auto"/>
        <w:ind w:firstLine="480" w:firstLineChars="200"/>
        <w:rPr>
          <w:rFonts w:hint="eastAsia" w:eastAsia="宋体"/>
          <w:sz w:val="24"/>
          <w:szCs w:val="24"/>
          <w:lang w:eastAsia="zh-CN"/>
        </w:rPr>
      </w:pPr>
      <w:r>
        <w:rPr>
          <w:rFonts w:eastAsia="宋体"/>
          <w:sz w:val="24"/>
          <w:szCs w:val="24"/>
          <w:lang w:eastAsia="zh-CN"/>
        </w:rPr>
        <w:t>1.守护消费者权益，规避食用健康风险</w:t>
      </w:r>
      <w:r>
        <w:rPr>
          <w:rFonts w:hint="eastAsia" w:eastAsia="宋体"/>
          <w:sz w:val="24"/>
          <w:szCs w:val="24"/>
          <w:lang w:eastAsia="zh-CN"/>
        </w:rPr>
        <w:t>。</w:t>
      </w:r>
      <w:r>
        <w:rPr>
          <w:rFonts w:eastAsia="宋体"/>
          <w:sz w:val="24"/>
          <w:szCs w:val="24"/>
          <w:lang w:eastAsia="zh-CN"/>
        </w:rPr>
        <w:t>通过制定本标准，明确九种体质对应的膏方适配范围、食用禁忌、质量底线及安全管控要求，从源头解决体质错配、盲目食用等行业痛点，规避不当食用带来的健康隐患。同时规范产品标注要求，保障消费者知情权、安全食用权，切实维护公众健康权益。</w:t>
      </w:r>
    </w:p>
    <w:p w14:paraId="0AEFB036">
      <w:pPr>
        <w:tabs>
          <w:tab w:val="left" w:pos="1815"/>
        </w:tabs>
        <w:spacing w:line="360" w:lineRule="auto"/>
        <w:ind w:firstLine="480" w:firstLineChars="200"/>
        <w:rPr>
          <w:rFonts w:hint="eastAsia" w:eastAsia="宋体"/>
          <w:sz w:val="24"/>
          <w:szCs w:val="24"/>
          <w:lang w:eastAsia="zh-CN"/>
        </w:rPr>
      </w:pPr>
      <w:r>
        <w:rPr>
          <w:rFonts w:eastAsia="宋体"/>
          <w:sz w:val="24"/>
          <w:szCs w:val="24"/>
          <w:lang w:eastAsia="zh-CN"/>
        </w:rPr>
        <w:t>2.规范行业市场秩序，优化产业发展生态</w:t>
      </w:r>
      <w:r>
        <w:rPr>
          <w:rFonts w:hint="eastAsia" w:eastAsia="宋体"/>
          <w:sz w:val="24"/>
          <w:szCs w:val="24"/>
          <w:lang w:eastAsia="zh-CN"/>
        </w:rPr>
        <w:t>。</w:t>
      </w:r>
      <w:r>
        <w:rPr>
          <w:rFonts w:eastAsia="宋体"/>
          <w:sz w:val="24"/>
          <w:szCs w:val="24"/>
          <w:lang w:eastAsia="zh-CN"/>
        </w:rPr>
        <w:t>以标准化划定行业准入底线，淘汰生产资质不全、工艺管控简陋、产品质量低劣的生产企业。引导行业发展模式转型，由传统营销驱动、低价内卷模式，转变为标准驱动、品质优先的良性发展模式，建立优质优价、优胜劣汰的行业生态。</w:t>
      </w:r>
    </w:p>
    <w:p w14:paraId="627F9DC9">
      <w:pPr>
        <w:tabs>
          <w:tab w:val="left" w:pos="1815"/>
        </w:tabs>
        <w:spacing w:line="360" w:lineRule="auto"/>
        <w:ind w:firstLine="480" w:firstLineChars="200"/>
        <w:rPr>
          <w:rFonts w:hint="eastAsia" w:eastAsia="宋体"/>
          <w:sz w:val="24"/>
          <w:szCs w:val="24"/>
          <w:lang w:eastAsia="zh-CN"/>
        </w:rPr>
      </w:pPr>
      <w:r>
        <w:rPr>
          <w:rFonts w:eastAsia="宋体"/>
          <w:sz w:val="24"/>
          <w:szCs w:val="24"/>
          <w:lang w:eastAsia="zh-CN"/>
        </w:rPr>
        <w:t>3.填补行业标准空白，提供官方监管依据</w:t>
      </w:r>
      <w:r>
        <w:rPr>
          <w:rFonts w:hint="eastAsia" w:eastAsia="宋体"/>
          <w:sz w:val="24"/>
          <w:szCs w:val="24"/>
          <w:lang w:eastAsia="zh-CN"/>
        </w:rPr>
        <w:t>。</w:t>
      </w:r>
      <w:r>
        <w:rPr>
          <w:rFonts w:eastAsia="宋体"/>
          <w:sz w:val="24"/>
          <w:szCs w:val="24"/>
          <w:lang w:eastAsia="zh-CN"/>
        </w:rPr>
        <w:t>目前药食同源膏方归类为普通食品或地方特色食品进行管控，缺少专项抽检指标、判定规则。本标准发布实施后，可为市场监督管理部门提供合规判定依据、抽检检测指标、标识管理规范，实现精准化、规范化监管，完善行业监管体系。</w:t>
      </w:r>
    </w:p>
    <w:p w14:paraId="0E63FC2E">
      <w:pPr>
        <w:tabs>
          <w:tab w:val="left" w:pos="1815"/>
        </w:tabs>
        <w:spacing w:line="360" w:lineRule="auto"/>
        <w:ind w:firstLine="480" w:firstLineChars="200"/>
        <w:rPr>
          <w:rFonts w:hint="eastAsia" w:eastAsia="宋体"/>
          <w:sz w:val="24"/>
          <w:szCs w:val="24"/>
          <w:lang w:eastAsia="zh-CN"/>
        </w:rPr>
      </w:pPr>
      <w:r>
        <w:rPr>
          <w:rFonts w:eastAsia="宋体"/>
          <w:sz w:val="24"/>
          <w:szCs w:val="24"/>
          <w:lang w:eastAsia="zh-CN"/>
        </w:rPr>
        <w:t>4.推动中医理论落地，实现科技成果产业化</w:t>
      </w:r>
      <w:r>
        <w:rPr>
          <w:rFonts w:hint="eastAsia" w:eastAsia="宋体"/>
          <w:sz w:val="24"/>
          <w:szCs w:val="24"/>
          <w:lang w:eastAsia="zh-CN"/>
        </w:rPr>
        <w:t>。</w:t>
      </w:r>
      <w:r>
        <w:rPr>
          <w:rFonts w:eastAsia="宋体"/>
          <w:sz w:val="24"/>
          <w:szCs w:val="24"/>
          <w:lang w:eastAsia="zh-CN"/>
        </w:rPr>
        <w:t>依托王琦院士九种体质学说，将成熟的中医体质理论转化为可落地、可复制、可推广的膏方生产技术规范。打通中医治未病理论与民用康养产品的转化通道，推动传统中医药理论现代化、产业化、生活化应用。</w:t>
      </w:r>
    </w:p>
    <w:p w14:paraId="79E4E767">
      <w:pPr>
        <w:tabs>
          <w:tab w:val="left" w:pos="1815"/>
        </w:tabs>
        <w:spacing w:line="360" w:lineRule="auto"/>
        <w:ind w:firstLine="480" w:firstLineChars="200"/>
        <w:rPr>
          <w:rFonts w:hint="eastAsia" w:eastAsia="宋体"/>
          <w:sz w:val="24"/>
          <w:szCs w:val="24"/>
          <w:lang w:eastAsia="zh-CN"/>
        </w:rPr>
      </w:pPr>
      <w:r>
        <w:rPr>
          <w:rFonts w:eastAsia="宋体"/>
          <w:sz w:val="24"/>
          <w:szCs w:val="24"/>
          <w:lang w:eastAsia="zh-CN"/>
        </w:rPr>
        <w:t>5.强化国际标准话语权，提升中医药国际竞争力</w:t>
      </w:r>
      <w:r>
        <w:rPr>
          <w:rFonts w:hint="eastAsia" w:eastAsia="宋体"/>
          <w:sz w:val="24"/>
          <w:szCs w:val="24"/>
          <w:lang w:eastAsia="zh-CN"/>
        </w:rPr>
        <w:t>。</w:t>
      </w:r>
      <w:r>
        <w:rPr>
          <w:rFonts w:eastAsia="宋体"/>
          <w:sz w:val="24"/>
          <w:szCs w:val="24"/>
          <w:lang w:eastAsia="zh-CN"/>
        </w:rPr>
        <w:t>我国在中医体质学、药食同源领域具备原创理论优势、产业先发优势。率先编制发布本标准，可形成自主可控的行业技术规范，依托ISO/TC 249中医药技术委员会等国际平台输出中国标准，提升我国在国际中医药领域的话语权，将体质类药食同源产品打造为中医药国际化标杆产品。</w:t>
      </w:r>
    </w:p>
    <w:p w14:paraId="7668CE96">
      <w:pPr>
        <w:tabs>
          <w:tab w:val="left" w:pos="1815"/>
        </w:tabs>
        <w:spacing w:line="360" w:lineRule="auto"/>
        <w:rPr>
          <w:rFonts w:hint="eastAsia" w:ascii="黑体" w:hAnsi="黑体" w:eastAsia="黑体"/>
          <w:sz w:val="24"/>
          <w:szCs w:val="24"/>
          <w:lang w:eastAsia="zh-CN"/>
        </w:rPr>
      </w:pPr>
      <w:r>
        <w:rPr>
          <w:rFonts w:hint="eastAsia" w:ascii="黑体" w:hAnsi="黑体" w:eastAsia="黑体"/>
          <w:sz w:val="24"/>
          <w:szCs w:val="24"/>
          <w:lang w:eastAsia="zh-CN"/>
        </w:rPr>
        <w:t>（三）起草过程</w:t>
      </w:r>
    </w:p>
    <w:p w14:paraId="2DCA398B">
      <w:pPr>
        <w:tabs>
          <w:tab w:val="left" w:pos="1815"/>
        </w:tabs>
        <w:spacing w:line="360" w:lineRule="auto"/>
        <w:rPr>
          <w:rFonts w:hint="eastAsia" w:eastAsia="宋体"/>
          <w:b/>
          <w:bCs/>
          <w:sz w:val="24"/>
          <w:szCs w:val="24"/>
          <w:lang w:eastAsia="zh-CN"/>
        </w:rPr>
      </w:pPr>
      <w:r>
        <w:rPr>
          <w:rFonts w:eastAsia="宋体"/>
          <w:b/>
          <w:bCs/>
          <w:sz w:val="24"/>
          <w:szCs w:val="24"/>
          <w:lang w:eastAsia="zh-CN"/>
        </w:rPr>
        <w:t>3.1 标准研制阶段</w:t>
      </w:r>
    </w:p>
    <w:p w14:paraId="420E5673">
      <w:pPr>
        <w:tabs>
          <w:tab w:val="left" w:pos="1815"/>
        </w:tabs>
        <w:spacing w:line="360" w:lineRule="auto"/>
        <w:ind w:firstLine="480" w:firstLineChars="200"/>
        <w:rPr>
          <w:rFonts w:hint="eastAsia" w:eastAsia="宋体"/>
          <w:sz w:val="24"/>
          <w:szCs w:val="24"/>
          <w:lang w:eastAsia="zh-CN"/>
        </w:rPr>
      </w:pPr>
      <w:r>
        <w:rPr>
          <w:rFonts w:eastAsia="宋体"/>
          <w:sz w:val="24"/>
          <w:szCs w:val="24"/>
          <w:lang w:eastAsia="zh-CN"/>
        </w:rPr>
        <w:t>202</w:t>
      </w:r>
      <w:r>
        <w:rPr>
          <w:rFonts w:hint="eastAsia" w:eastAsia="宋体"/>
          <w:sz w:val="24"/>
          <w:szCs w:val="24"/>
          <w:lang w:eastAsia="zh-CN"/>
        </w:rPr>
        <w:t>6年</w:t>
      </w:r>
      <w:r>
        <w:rPr>
          <w:rFonts w:hint="eastAsia" w:eastAsia="宋体"/>
          <w:sz w:val="24"/>
          <w:szCs w:val="24"/>
          <w:lang w:val="en-US" w:eastAsia="zh-CN"/>
        </w:rPr>
        <w:t>5</w:t>
      </w:r>
      <w:r>
        <w:rPr>
          <w:rFonts w:hint="eastAsia" w:eastAsia="宋体"/>
          <w:sz w:val="24"/>
          <w:szCs w:val="24"/>
          <w:lang w:eastAsia="zh-CN"/>
        </w:rPr>
        <w:t>月～2026年</w:t>
      </w:r>
      <w:r>
        <w:rPr>
          <w:rFonts w:hint="eastAsia" w:eastAsia="宋体"/>
          <w:sz w:val="24"/>
          <w:szCs w:val="24"/>
          <w:lang w:val="en-US" w:eastAsia="zh-CN"/>
        </w:rPr>
        <w:t>8</w:t>
      </w:r>
      <w:r>
        <w:rPr>
          <w:rFonts w:hint="eastAsia" w:eastAsia="宋体"/>
          <w:sz w:val="24"/>
          <w:szCs w:val="24"/>
          <w:lang w:eastAsia="zh-CN"/>
        </w:rPr>
        <w:t>月，起草组</w:t>
      </w:r>
      <w:r>
        <w:rPr>
          <w:rFonts w:eastAsia="宋体"/>
          <w:sz w:val="24"/>
          <w:szCs w:val="24"/>
          <w:lang w:eastAsia="zh-CN"/>
        </w:rPr>
        <w:t>通过企业调研，了解企业实际生产情况，并组织收集、整理相关标准化资料、专业文献等，经成分分析、研讨、论证后编写完成《</w:t>
      </w:r>
      <w:r>
        <w:rPr>
          <w:rFonts w:hint="eastAsia" w:eastAsia="宋体"/>
          <w:sz w:val="24"/>
          <w:szCs w:val="24"/>
          <w:lang w:eastAsia="zh-CN"/>
        </w:rPr>
        <w:t>基于中医体质学的食药物质膏方开发指南</w:t>
      </w:r>
      <w:r>
        <w:rPr>
          <w:rFonts w:eastAsia="宋体"/>
          <w:sz w:val="24"/>
          <w:szCs w:val="24"/>
          <w:lang w:eastAsia="zh-CN"/>
        </w:rPr>
        <w:t>》立项申请书及标准框架相关内容，并向中国中医药研究促进会提出标准立项申请。</w:t>
      </w:r>
    </w:p>
    <w:p w14:paraId="3B174229">
      <w:pPr>
        <w:tabs>
          <w:tab w:val="left" w:pos="1815"/>
        </w:tabs>
        <w:spacing w:line="360" w:lineRule="auto"/>
        <w:rPr>
          <w:rFonts w:hint="eastAsia" w:eastAsia="宋体"/>
          <w:b/>
          <w:bCs/>
          <w:sz w:val="24"/>
          <w:szCs w:val="24"/>
          <w:lang w:eastAsia="zh-CN"/>
        </w:rPr>
      </w:pPr>
      <w:r>
        <w:rPr>
          <w:rFonts w:eastAsia="宋体"/>
          <w:b/>
          <w:bCs/>
          <w:sz w:val="24"/>
          <w:szCs w:val="24"/>
          <w:lang w:eastAsia="zh-CN"/>
        </w:rPr>
        <w:t xml:space="preserve">3.2 </w:t>
      </w:r>
      <w:r>
        <w:rPr>
          <w:rFonts w:hint="eastAsia" w:eastAsia="宋体"/>
          <w:b/>
          <w:bCs/>
          <w:sz w:val="24"/>
          <w:szCs w:val="24"/>
          <w:lang w:eastAsia="zh-CN"/>
        </w:rPr>
        <w:t>标准立项阶段</w:t>
      </w:r>
    </w:p>
    <w:p w14:paraId="0651E435">
      <w:pPr>
        <w:tabs>
          <w:tab w:val="left" w:pos="1815"/>
        </w:tabs>
        <w:spacing w:line="360" w:lineRule="auto"/>
        <w:ind w:firstLine="480" w:firstLineChars="200"/>
        <w:rPr>
          <w:rFonts w:eastAsia="宋体"/>
          <w:sz w:val="24"/>
          <w:szCs w:val="24"/>
          <w:lang w:eastAsia="zh-CN"/>
        </w:rPr>
      </w:pPr>
      <w:r>
        <w:rPr>
          <w:rFonts w:eastAsia="宋体"/>
          <w:sz w:val="24"/>
          <w:szCs w:val="24"/>
          <w:lang w:eastAsia="zh-CN"/>
        </w:rPr>
        <w:t>202</w:t>
      </w:r>
      <w:r>
        <w:rPr>
          <w:rFonts w:hint="eastAsia" w:eastAsia="宋体"/>
          <w:sz w:val="24"/>
          <w:szCs w:val="24"/>
          <w:lang w:eastAsia="zh-CN"/>
        </w:rPr>
        <w:t>6</w:t>
      </w:r>
      <w:r>
        <w:rPr>
          <w:rFonts w:eastAsia="宋体"/>
          <w:sz w:val="24"/>
          <w:szCs w:val="24"/>
          <w:lang w:eastAsia="zh-CN"/>
        </w:rPr>
        <w:t>年</w:t>
      </w:r>
      <w:r>
        <w:rPr>
          <w:rFonts w:hint="eastAsia" w:eastAsia="宋体"/>
          <w:sz w:val="24"/>
          <w:szCs w:val="24"/>
          <w:lang w:val="en-US" w:eastAsia="zh-CN"/>
        </w:rPr>
        <w:t>9</w:t>
      </w:r>
      <w:r>
        <w:rPr>
          <w:rFonts w:eastAsia="宋体"/>
          <w:sz w:val="24"/>
          <w:szCs w:val="24"/>
          <w:lang w:eastAsia="zh-CN"/>
        </w:rPr>
        <w:t>月</w:t>
      </w:r>
      <w:r>
        <w:rPr>
          <w:rFonts w:hint="eastAsia" w:eastAsia="宋体"/>
          <w:sz w:val="24"/>
          <w:szCs w:val="24"/>
          <w:lang w:val="en-US" w:eastAsia="zh-CN"/>
        </w:rPr>
        <w:t>10</w:t>
      </w:r>
      <w:r>
        <w:rPr>
          <w:rFonts w:eastAsia="宋体"/>
          <w:sz w:val="24"/>
          <w:szCs w:val="24"/>
          <w:lang w:eastAsia="zh-CN"/>
        </w:rPr>
        <w:t>日，中国中医药研究促进会正式发布了《</w:t>
      </w:r>
      <w:r>
        <w:rPr>
          <w:rFonts w:hint="eastAsia" w:eastAsia="宋体"/>
          <w:sz w:val="24"/>
          <w:szCs w:val="24"/>
          <w:lang w:eastAsia="zh-CN"/>
        </w:rPr>
        <w:t>基于中医体质学的食药物质膏方开发指南</w:t>
      </w:r>
      <w:r>
        <w:rPr>
          <w:rFonts w:eastAsia="宋体"/>
          <w:sz w:val="24"/>
          <w:szCs w:val="24"/>
          <w:lang w:eastAsia="zh-CN"/>
        </w:rPr>
        <w:t>》团体标准立项通知，并在全国团体标准信息平台进行公示。</w:t>
      </w:r>
    </w:p>
    <w:p w14:paraId="66B2BA8B">
      <w:pPr>
        <w:tabs>
          <w:tab w:val="left" w:pos="1815"/>
        </w:tabs>
        <w:spacing w:line="360" w:lineRule="auto"/>
        <w:rPr>
          <w:rFonts w:hint="eastAsia" w:eastAsia="宋体"/>
          <w:b/>
          <w:bCs/>
          <w:sz w:val="24"/>
          <w:szCs w:val="24"/>
          <w:lang w:eastAsia="zh-CN"/>
        </w:rPr>
      </w:pPr>
      <w:r>
        <w:rPr>
          <w:rFonts w:hint="eastAsia" w:eastAsia="宋体"/>
          <w:b/>
          <w:bCs/>
          <w:sz w:val="24"/>
          <w:szCs w:val="24"/>
          <w:lang w:eastAsia="zh-CN"/>
        </w:rPr>
        <w:t>3.3 标准起草阶段</w:t>
      </w:r>
    </w:p>
    <w:p w14:paraId="64EF1D46">
      <w:pPr>
        <w:tabs>
          <w:tab w:val="left" w:pos="1815"/>
        </w:tabs>
        <w:spacing w:line="360" w:lineRule="auto"/>
        <w:ind w:firstLine="480" w:firstLineChars="200"/>
        <w:rPr>
          <w:rFonts w:hint="eastAsia" w:eastAsia="宋体"/>
          <w:sz w:val="24"/>
          <w:szCs w:val="24"/>
          <w:lang w:eastAsia="zh-CN"/>
        </w:rPr>
      </w:pPr>
      <w:r>
        <w:rPr>
          <w:rFonts w:hint="eastAsia" w:eastAsia="宋体"/>
          <w:sz w:val="24"/>
          <w:szCs w:val="24"/>
          <w:lang w:eastAsia="zh-CN"/>
        </w:rPr>
        <w:t>2026年</w:t>
      </w:r>
      <w:r>
        <w:rPr>
          <w:rFonts w:hint="eastAsia" w:eastAsia="宋体"/>
          <w:sz w:val="24"/>
          <w:szCs w:val="24"/>
          <w:lang w:val="en-US" w:eastAsia="zh-CN"/>
        </w:rPr>
        <w:t>9</w:t>
      </w:r>
      <w:r>
        <w:rPr>
          <w:rFonts w:hint="eastAsia" w:eastAsia="宋体"/>
          <w:sz w:val="24"/>
          <w:szCs w:val="24"/>
          <w:lang w:eastAsia="zh-CN"/>
        </w:rPr>
        <w:t>月</w:t>
      </w:r>
      <w:r>
        <w:rPr>
          <w:rFonts w:hint="eastAsia" w:eastAsia="宋体"/>
          <w:sz w:val="24"/>
          <w:szCs w:val="24"/>
          <w:lang w:val="en-US" w:eastAsia="zh-CN"/>
        </w:rPr>
        <w:t>～10月</w:t>
      </w:r>
      <w:r>
        <w:rPr>
          <w:rFonts w:hint="eastAsia" w:eastAsia="宋体"/>
          <w:sz w:val="24"/>
          <w:szCs w:val="24"/>
          <w:lang w:eastAsia="zh-CN"/>
        </w:rPr>
        <w:t>，依据《中华人民共和国标准化法》、《国务院关于深化标准化工作改革方案》等文件的要求，按照团体标准的制修订程序组织有关技术人员成立标准起草工作组，通过相关信息化手段进行多次内容讨论和交流，并向相关单位和专家咨询，在广泛听取各方意见和充分论证的基础上，对标准初稿进行了完善和修改后经起草组确认，同意作为征求意见稿，公开征求意见。</w:t>
      </w:r>
    </w:p>
    <w:p w14:paraId="4DA483E6">
      <w:pPr>
        <w:tabs>
          <w:tab w:val="left" w:pos="1815"/>
        </w:tabs>
        <w:spacing w:before="156" w:beforeLines="50" w:after="156" w:afterLines="50"/>
        <w:rPr>
          <w:rFonts w:hint="eastAsia" w:ascii="黑体" w:hAnsi="黑体" w:eastAsia="黑体"/>
          <w:sz w:val="28"/>
          <w:szCs w:val="28"/>
          <w:lang w:eastAsia="zh-CN"/>
        </w:rPr>
      </w:pPr>
      <w:r>
        <w:rPr>
          <w:rFonts w:hint="eastAsia" w:ascii="黑体" w:hAnsi="黑体" w:eastAsia="黑体"/>
          <w:sz w:val="28"/>
          <w:szCs w:val="28"/>
          <w:lang w:eastAsia="zh-CN"/>
        </w:rPr>
        <w:t>二、编制原则</w:t>
      </w:r>
    </w:p>
    <w:p w14:paraId="3B64DE0E">
      <w:pPr>
        <w:tabs>
          <w:tab w:val="left" w:pos="1815"/>
        </w:tabs>
        <w:spacing w:line="360" w:lineRule="auto"/>
        <w:ind w:firstLine="360" w:firstLineChars="150"/>
        <w:rPr>
          <w:rFonts w:hint="eastAsia" w:eastAsia="宋体"/>
          <w:sz w:val="24"/>
          <w:szCs w:val="24"/>
          <w:lang w:eastAsia="zh-CN"/>
        </w:rPr>
      </w:pPr>
      <w:r>
        <w:rPr>
          <w:rFonts w:eastAsia="宋体"/>
          <w:sz w:val="24"/>
          <w:szCs w:val="24"/>
          <w:lang w:eastAsia="zh-CN"/>
        </w:rPr>
        <w:t>在标准制定过程中，标准起草工作组按照GB/T 1.1</w:t>
      </w:r>
      <w:r>
        <w:rPr>
          <w:rFonts w:hint="eastAsia" w:eastAsia="宋体"/>
          <w:sz w:val="24"/>
          <w:szCs w:val="24"/>
          <w:lang w:eastAsia="zh-CN"/>
        </w:rPr>
        <w:t>—</w:t>
      </w:r>
      <w:r>
        <w:rPr>
          <w:rFonts w:eastAsia="宋体"/>
          <w:sz w:val="24"/>
          <w:szCs w:val="24"/>
          <w:lang w:eastAsia="zh-CN"/>
        </w:rPr>
        <w:t xml:space="preserve">2020 给出的规则编写，主要遵循以下原则： </w:t>
      </w:r>
    </w:p>
    <w:p w14:paraId="27A78E36">
      <w:pPr>
        <w:tabs>
          <w:tab w:val="left" w:pos="1815"/>
        </w:tabs>
        <w:spacing w:line="360" w:lineRule="auto"/>
        <w:ind w:firstLine="360" w:firstLineChars="150"/>
        <w:rPr>
          <w:rFonts w:hint="eastAsia" w:eastAsia="宋体"/>
          <w:sz w:val="24"/>
          <w:szCs w:val="24"/>
          <w:lang w:eastAsia="zh-CN"/>
        </w:rPr>
      </w:pPr>
      <w:r>
        <w:rPr>
          <w:rFonts w:eastAsia="宋体"/>
          <w:sz w:val="24"/>
          <w:szCs w:val="24"/>
          <w:lang w:eastAsia="zh-CN"/>
        </w:rPr>
        <w:t>（1）协调性</w:t>
      </w:r>
      <w:r>
        <w:rPr>
          <w:rFonts w:hint="eastAsia" w:eastAsia="宋体"/>
          <w:sz w:val="24"/>
          <w:szCs w:val="24"/>
          <w:lang w:eastAsia="zh-CN"/>
        </w:rPr>
        <w:t>：</w:t>
      </w:r>
      <w:r>
        <w:rPr>
          <w:rFonts w:eastAsia="宋体"/>
          <w:sz w:val="24"/>
          <w:szCs w:val="24"/>
          <w:lang w:eastAsia="zh-CN"/>
        </w:rPr>
        <w:t xml:space="preserve">保证标准与国内现行国家标准、行业标准协调一致。 </w:t>
      </w:r>
    </w:p>
    <w:p w14:paraId="62078043">
      <w:pPr>
        <w:tabs>
          <w:tab w:val="left" w:pos="1815"/>
        </w:tabs>
        <w:spacing w:line="360" w:lineRule="auto"/>
        <w:ind w:firstLine="360" w:firstLineChars="150"/>
        <w:rPr>
          <w:rFonts w:hint="eastAsia" w:eastAsia="宋体"/>
          <w:sz w:val="24"/>
          <w:szCs w:val="24"/>
          <w:lang w:eastAsia="zh-CN"/>
        </w:rPr>
      </w:pPr>
      <w:r>
        <w:rPr>
          <w:rFonts w:eastAsia="宋体"/>
          <w:sz w:val="24"/>
          <w:szCs w:val="24"/>
          <w:lang w:eastAsia="zh-CN"/>
        </w:rPr>
        <w:t>（2）规范性</w:t>
      </w:r>
      <w:r>
        <w:rPr>
          <w:rFonts w:hint="eastAsia" w:eastAsia="宋体"/>
          <w:sz w:val="24"/>
          <w:szCs w:val="24"/>
          <w:lang w:eastAsia="zh-CN"/>
        </w:rPr>
        <w:t>：</w:t>
      </w:r>
      <w:r>
        <w:rPr>
          <w:rFonts w:eastAsia="宋体"/>
          <w:sz w:val="24"/>
          <w:szCs w:val="24"/>
          <w:lang w:eastAsia="zh-CN"/>
        </w:rPr>
        <w:t>严格按照GB/T 1.1</w:t>
      </w:r>
      <w:r>
        <w:rPr>
          <w:rFonts w:hint="eastAsia" w:eastAsia="宋体"/>
          <w:sz w:val="24"/>
          <w:szCs w:val="24"/>
          <w:lang w:eastAsia="zh-CN"/>
        </w:rPr>
        <w:t>—</w:t>
      </w:r>
      <w:r>
        <w:rPr>
          <w:rFonts w:eastAsia="宋体"/>
          <w:sz w:val="24"/>
          <w:szCs w:val="24"/>
          <w:lang w:eastAsia="zh-CN"/>
        </w:rPr>
        <w:t>20</w:t>
      </w:r>
      <w:r>
        <w:rPr>
          <w:rFonts w:hint="eastAsia" w:eastAsia="宋体"/>
          <w:sz w:val="24"/>
          <w:szCs w:val="24"/>
          <w:lang w:eastAsia="zh-CN"/>
        </w:rPr>
        <w:t>20</w:t>
      </w:r>
      <w:r>
        <w:rPr>
          <w:rFonts w:eastAsia="宋体"/>
          <w:sz w:val="24"/>
          <w:szCs w:val="24"/>
          <w:lang w:eastAsia="zh-CN"/>
        </w:rPr>
        <w:t>《</w:t>
      </w:r>
      <w:r>
        <w:rPr>
          <w:rFonts w:hint="eastAsia" w:eastAsia="宋体"/>
          <w:sz w:val="24"/>
          <w:szCs w:val="24"/>
          <w:lang w:eastAsia="zh-CN"/>
        </w:rPr>
        <w:t>标准化工作导则</w:t>
      </w:r>
      <w:r>
        <w:rPr>
          <w:rFonts w:eastAsia="宋体"/>
          <w:sz w:val="24"/>
          <w:szCs w:val="24"/>
          <w:lang w:eastAsia="zh-CN"/>
        </w:rPr>
        <w:t xml:space="preserve"> 第1部分：标准化文件的结构和起草规则》给出的规则起草</w:t>
      </w:r>
      <w:r>
        <w:rPr>
          <w:rFonts w:hint="eastAsia" w:eastAsia="宋体"/>
          <w:sz w:val="24"/>
          <w:szCs w:val="24"/>
          <w:lang w:eastAsia="zh-CN"/>
        </w:rPr>
        <w:t>，</w:t>
      </w:r>
      <w:r>
        <w:rPr>
          <w:rFonts w:eastAsia="宋体"/>
          <w:sz w:val="24"/>
          <w:szCs w:val="24"/>
          <w:lang w:eastAsia="zh-CN"/>
        </w:rPr>
        <w:t>保证标准的编写质量</w:t>
      </w:r>
      <w:r>
        <w:rPr>
          <w:rFonts w:hint="eastAsia" w:eastAsia="宋体"/>
          <w:sz w:val="24"/>
          <w:szCs w:val="24"/>
          <w:lang w:eastAsia="zh-CN"/>
        </w:rPr>
        <w:t>。</w:t>
      </w:r>
    </w:p>
    <w:p w14:paraId="2E4A0F1A">
      <w:pPr>
        <w:tabs>
          <w:tab w:val="left" w:pos="1815"/>
        </w:tabs>
        <w:spacing w:line="360" w:lineRule="auto"/>
        <w:ind w:firstLine="360" w:firstLineChars="150"/>
        <w:rPr>
          <w:rFonts w:hint="eastAsia" w:eastAsia="宋体"/>
          <w:sz w:val="24"/>
          <w:szCs w:val="24"/>
          <w:lang w:eastAsia="zh-CN"/>
        </w:rPr>
      </w:pPr>
      <w:r>
        <w:rPr>
          <w:rFonts w:hint="eastAsia" w:eastAsia="宋体"/>
          <w:sz w:val="24"/>
          <w:szCs w:val="24"/>
          <w:lang w:eastAsia="zh-CN"/>
        </w:rPr>
        <w:t>（3）</w:t>
      </w:r>
      <w:r>
        <w:rPr>
          <w:rFonts w:eastAsia="宋体"/>
          <w:sz w:val="24"/>
          <w:szCs w:val="24"/>
          <w:lang w:eastAsia="zh-CN"/>
        </w:rPr>
        <w:t>适用性：</w:t>
      </w:r>
      <w:r>
        <w:rPr>
          <w:rFonts w:hint="eastAsia" w:eastAsia="宋体"/>
          <w:sz w:val="24"/>
          <w:szCs w:val="24"/>
          <w:lang w:eastAsia="zh-CN"/>
        </w:rPr>
        <w:t>结合食药物质膏方生产企业质量管理、中医体质辨识应用场景及产品全生命周期主要环境影响，提出企业开展食药物质膏方产品开发的相关要求。</w:t>
      </w:r>
    </w:p>
    <w:p w14:paraId="5BA2933B">
      <w:pPr>
        <w:tabs>
          <w:tab w:val="left" w:pos="1815"/>
        </w:tabs>
        <w:spacing w:before="156" w:beforeLines="50" w:after="156" w:afterLines="50"/>
        <w:rPr>
          <w:rFonts w:hint="eastAsia" w:ascii="黑体" w:hAnsi="黑体" w:eastAsia="黑体"/>
          <w:sz w:val="28"/>
          <w:szCs w:val="28"/>
          <w:lang w:eastAsia="zh-CN"/>
        </w:rPr>
      </w:pPr>
      <w:r>
        <w:rPr>
          <w:rFonts w:hint="eastAsia" w:ascii="黑体" w:hAnsi="黑体" w:eastAsia="黑体"/>
          <w:sz w:val="28"/>
          <w:szCs w:val="28"/>
          <w:lang w:eastAsia="zh-CN"/>
        </w:rPr>
        <w:t>三、主要技术内容及其确定依据</w:t>
      </w:r>
    </w:p>
    <w:p w14:paraId="11FFBBEE">
      <w:pPr>
        <w:pStyle w:val="4"/>
        <w:spacing w:line="360" w:lineRule="auto"/>
        <w:ind w:left="0" w:firstLine="480" w:firstLineChars="200"/>
        <w:rPr>
          <w:rFonts w:hint="eastAsia" w:hAnsi="宋体" w:cs="宋体"/>
          <w:b/>
          <w:bCs/>
          <w:sz w:val="24"/>
          <w:szCs w:val="24"/>
          <w:lang w:bidi="en-US"/>
        </w:rPr>
      </w:pPr>
      <w:r>
        <w:rPr>
          <w:rFonts w:hint="eastAsia" w:hAnsi="宋体" w:cs="宋体"/>
          <w:b/>
          <w:bCs/>
          <w:sz w:val="24"/>
          <w:szCs w:val="24"/>
          <w:lang w:bidi="en-US"/>
        </w:rPr>
        <w:t>（一）范围</w:t>
      </w:r>
    </w:p>
    <w:p w14:paraId="7B3A973B">
      <w:pPr>
        <w:pStyle w:val="4"/>
        <w:spacing w:line="360" w:lineRule="auto"/>
        <w:ind w:left="0" w:firstLine="480" w:firstLineChars="200"/>
        <w:rPr>
          <w:rFonts w:hint="eastAsia" w:hAnsi="宋体" w:cs="宋体"/>
          <w:sz w:val="24"/>
          <w:szCs w:val="24"/>
          <w:lang w:bidi="en-US"/>
        </w:rPr>
      </w:pPr>
      <w:r>
        <w:rPr>
          <w:rFonts w:hint="eastAsia" w:hAnsi="宋体" w:cs="宋体"/>
          <w:sz w:val="24"/>
          <w:szCs w:val="24"/>
          <w:lang w:bidi="en-US"/>
        </w:rPr>
        <w:t>本标准适用于以食药物质为主要原料的膏方产品的研发、生产加工和质量管控。范围的界定基于以下考虑：</w:t>
      </w:r>
    </w:p>
    <w:p w14:paraId="3D769CFA">
      <w:pPr>
        <w:pStyle w:val="4"/>
        <w:spacing w:line="360" w:lineRule="auto"/>
        <w:ind w:left="0" w:firstLine="480" w:firstLineChars="200"/>
        <w:rPr>
          <w:rFonts w:hint="eastAsia" w:hAnsi="宋体" w:cs="宋体"/>
          <w:sz w:val="24"/>
          <w:szCs w:val="24"/>
          <w:lang w:bidi="en-US"/>
        </w:rPr>
      </w:pPr>
      <w:r>
        <w:rPr>
          <w:rFonts w:hint="eastAsia" w:hAnsi="宋体" w:cs="宋体"/>
          <w:sz w:val="24"/>
          <w:szCs w:val="24"/>
          <w:lang w:bidi="en-US"/>
        </w:rPr>
        <w:t>一是产品属性定位。食药物质膏方属于普通食品而非药品或保健食品，因此本标准的技术要求以食品安全标准为底线，不涉及功效宣称。</w:t>
      </w:r>
    </w:p>
    <w:p w14:paraId="67B55AEC">
      <w:pPr>
        <w:pStyle w:val="4"/>
        <w:spacing w:line="360" w:lineRule="auto"/>
        <w:ind w:left="0" w:firstLine="480" w:firstLineChars="200"/>
        <w:rPr>
          <w:rFonts w:hint="eastAsia" w:hAnsi="宋体" w:cs="宋体"/>
          <w:sz w:val="24"/>
          <w:szCs w:val="24"/>
          <w:lang w:bidi="en-US"/>
        </w:rPr>
      </w:pPr>
      <w:r>
        <w:rPr>
          <w:rFonts w:hint="eastAsia" w:hAnsi="宋体" w:cs="宋体"/>
          <w:sz w:val="24"/>
          <w:szCs w:val="24"/>
          <w:lang w:bidi="en-US"/>
        </w:rPr>
        <w:t>二是适用对象定位。本标准聚焦于基于中医体质学的膏方开发，即产品设计以GB/T 46939—2025规定的9种体质类型为依据。</w:t>
      </w:r>
    </w:p>
    <w:p w14:paraId="2E6804EE">
      <w:pPr>
        <w:pStyle w:val="4"/>
        <w:spacing w:line="360" w:lineRule="auto"/>
        <w:ind w:left="0" w:firstLine="480" w:firstLineChars="200"/>
        <w:rPr>
          <w:rFonts w:hint="eastAsia" w:hAnsi="宋体" w:cs="宋体"/>
          <w:sz w:val="24"/>
          <w:szCs w:val="24"/>
          <w:lang w:bidi="en-US"/>
        </w:rPr>
      </w:pPr>
      <w:r>
        <w:rPr>
          <w:rFonts w:hint="eastAsia" w:hAnsi="宋体" w:cs="宋体"/>
          <w:sz w:val="24"/>
          <w:szCs w:val="24"/>
          <w:lang w:bidi="en-US"/>
        </w:rPr>
        <w:t>三是产业链定位。本标准覆盖从研发立项到产品上市的全链条，包括开发流程、质量评价、稳定性评价和标签标识，形成完整的技术指引体系。</w:t>
      </w:r>
    </w:p>
    <w:p w14:paraId="197BD305">
      <w:pPr>
        <w:pStyle w:val="4"/>
        <w:spacing w:line="360" w:lineRule="auto"/>
        <w:ind w:left="0" w:firstLine="480" w:firstLineChars="200"/>
        <w:rPr>
          <w:rFonts w:hint="eastAsia" w:hAnsi="宋体" w:cs="宋体"/>
          <w:b/>
          <w:bCs/>
          <w:sz w:val="24"/>
          <w:szCs w:val="24"/>
          <w:lang w:bidi="en-US"/>
        </w:rPr>
      </w:pPr>
      <w:r>
        <w:rPr>
          <w:rFonts w:hint="eastAsia" w:hAnsi="宋体" w:cs="宋体"/>
          <w:b/>
          <w:bCs/>
          <w:sz w:val="24"/>
          <w:szCs w:val="24"/>
          <w:lang w:bidi="en-US"/>
        </w:rPr>
        <w:t>（二）术语和定义</w:t>
      </w:r>
    </w:p>
    <w:p w14:paraId="47B96224">
      <w:pPr>
        <w:pStyle w:val="4"/>
        <w:spacing w:line="360" w:lineRule="auto"/>
        <w:ind w:left="0" w:firstLine="480" w:firstLineChars="200"/>
        <w:rPr>
          <w:rFonts w:hint="eastAsia" w:hAnsi="宋体" w:cs="宋体"/>
          <w:sz w:val="24"/>
          <w:szCs w:val="24"/>
          <w:lang w:bidi="en-US"/>
        </w:rPr>
      </w:pPr>
      <w:r>
        <w:rPr>
          <w:rFonts w:hint="eastAsia" w:hAnsi="宋体" w:cs="宋体"/>
          <w:sz w:val="24"/>
          <w:szCs w:val="24"/>
          <w:lang w:bidi="en-US"/>
        </w:rPr>
        <w:t>术语和定义的设置遵循以下原则：</w:t>
      </w:r>
    </w:p>
    <w:p w14:paraId="3ED274AC">
      <w:pPr>
        <w:pStyle w:val="4"/>
        <w:spacing w:line="360" w:lineRule="auto"/>
        <w:ind w:left="0" w:firstLine="480" w:firstLineChars="200"/>
        <w:rPr>
          <w:rFonts w:hint="eastAsia" w:hAnsi="宋体" w:cs="宋体"/>
          <w:sz w:val="24"/>
          <w:szCs w:val="24"/>
          <w:lang w:bidi="en-US"/>
        </w:rPr>
      </w:pPr>
      <w:r>
        <w:rPr>
          <w:rFonts w:hint="eastAsia" w:hAnsi="宋体" w:cs="宋体"/>
          <w:sz w:val="24"/>
          <w:szCs w:val="24"/>
          <w:lang w:bidi="en-US"/>
        </w:rPr>
        <w:t>一是核心术语的界定。“中医体质”的定义直接引用GB/T 46939—2025的相关表述；“食药物质”的定义依据《按照传统既是食品又是中药材的物质目录管理规定》；“食药物质膏方”的定义综合了产品属性（食品）、原料范围（食药物质）、工艺特征（膏方制法）和功能定位（体质调理）四个维度。</w:t>
      </w:r>
    </w:p>
    <w:p w14:paraId="3AEDF5DA">
      <w:pPr>
        <w:pStyle w:val="4"/>
        <w:spacing w:line="360" w:lineRule="auto"/>
        <w:ind w:left="0" w:firstLine="480" w:firstLineChars="200"/>
        <w:rPr>
          <w:rFonts w:hint="eastAsia" w:hAnsi="宋体" w:cs="宋体"/>
          <w:sz w:val="24"/>
          <w:szCs w:val="24"/>
          <w:lang w:bidi="en-US"/>
        </w:rPr>
      </w:pPr>
      <w:r>
        <w:rPr>
          <w:rFonts w:hint="eastAsia" w:hAnsi="宋体" w:cs="宋体"/>
          <w:sz w:val="24"/>
          <w:szCs w:val="24"/>
          <w:lang w:bidi="en-US"/>
        </w:rPr>
        <w:t>二是关键概念的明确。“兼夹体质”的定义结合了中医体质学的理论和产品开发的实践需要，明确了“以一种主体质为主、同时兼有不超过一种其他体质偏颇特征”的界定标准，以及“两种及以上明显偏颇体质不宜设置单一膏方对应调理”的限制条件。</w:t>
      </w:r>
    </w:p>
    <w:p w14:paraId="7B8815A0">
      <w:pPr>
        <w:pStyle w:val="4"/>
        <w:spacing w:line="360" w:lineRule="auto"/>
        <w:ind w:left="0" w:firstLine="480" w:firstLineChars="200"/>
        <w:rPr>
          <w:rFonts w:hint="eastAsia" w:hAnsi="宋体" w:cs="宋体"/>
          <w:sz w:val="24"/>
          <w:szCs w:val="24"/>
          <w:lang w:bidi="en-US"/>
        </w:rPr>
      </w:pPr>
      <w:r>
        <w:rPr>
          <w:rFonts w:hint="eastAsia" w:hAnsi="宋体" w:cs="宋体"/>
          <w:sz w:val="24"/>
          <w:szCs w:val="24"/>
          <w:lang w:bidi="en-US"/>
        </w:rPr>
        <w:t>三是工艺参数的规范。“出膏率”作为膏方生产的关键经济和技术指标，给出了明确的定义和计算公式。</w:t>
      </w:r>
    </w:p>
    <w:p w14:paraId="6E4BB71A">
      <w:pPr>
        <w:pStyle w:val="4"/>
        <w:spacing w:line="360" w:lineRule="auto"/>
        <w:ind w:left="0" w:firstLine="480" w:firstLineChars="200"/>
        <w:rPr>
          <w:rFonts w:hint="eastAsia" w:hAnsi="宋体" w:cs="宋体"/>
          <w:b/>
          <w:bCs/>
          <w:sz w:val="24"/>
          <w:szCs w:val="24"/>
          <w:lang w:bidi="en-US"/>
        </w:rPr>
      </w:pPr>
      <w:r>
        <w:rPr>
          <w:rFonts w:hint="eastAsia" w:hAnsi="宋体" w:cs="宋体"/>
          <w:b/>
          <w:bCs/>
          <w:sz w:val="24"/>
          <w:szCs w:val="24"/>
          <w:lang w:bidi="en-US"/>
        </w:rPr>
        <w:t>（三）总体原则</w:t>
      </w:r>
    </w:p>
    <w:p w14:paraId="6A62C8BE">
      <w:pPr>
        <w:pStyle w:val="4"/>
        <w:spacing w:line="360" w:lineRule="auto"/>
        <w:ind w:left="0" w:firstLine="480" w:firstLineChars="200"/>
        <w:rPr>
          <w:rFonts w:hint="eastAsia" w:hAnsi="宋体" w:cs="宋体"/>
          <w:sz w:val="24"/>
          <w:szCs w:val="24"/>
          <w:lang w:bidi="en-US"/>
        </w:rPr>
      </w:pPr>
      <w:r>
        <w:rPr>
          <w:rFonts w:hint="eastAsia" w:hAnsi="宋体" w:cs="宋体"/>
          <w:sz w:val="24"/>
          <w:szCs w:val="24"/>
          <w:lang w:bidi="en-US"/>
        </w:rPr>
        <w:t>总体原则的设置遵循“安全—体质—工艺—质量”的逻辑递进关系：</w:t>
      </w:r>
    </w:p>
    <w:p w14:paraId="628E25FE">
      <w:pPr>
        <w:pStyle w:val="4"/>
        <w:spacing w:line="360" w:lineRule="auto"/>
        <w:ind w:left="0" w:firstLine="480" w:firstLineChars="200"/>
        <w:rPr>
          <w:rFonts w:hint="eastAsia" w:hAnsi="宋体" w:cs="宋体"/>
          <w:sz w:val="24"/>
          <w:szCs w:val="24"/>
          <w:lang w:bidi="en-US"/>
        </w:rPr>
      </w:pPr>
      <w:r>
        <w:rPr>
          <w:rFonts w:hint="eastAsia" w:hAnsi="宋体" w:cs="宋体"/>
          <w:sz w:val="24"/>
          <w:szCs w:val="24"/>
          <w:lang w:bidi="en-US"/>
        </w:rPr>
        <w:t>安全优先原则是首要原则。食药物质膏方作为食品，安全性是第一位的。本标准从原料合规（食药物质目录）、添加剂合规（GB 2760）、动态跟踪（目录更新机制）、安全指标（重金属、农残、真菌毒素）、致敏物管控五个维度构建了安全管控体系。</w:t>
      </w:r>
    </w:p>
    <w:p w14:paraId="3EA16482">
      <w:pPr>
        <w:pStyle w:val="4"/>
        <w:spacing w:line="360" w:lineRule="auto"/>
        <w:ind w:left="0" w:firstLine="480" w:firstLineChars="200"/>
        <w:rPr>
          <w:rFonts w:hint="eastAsia" w:hAnsi="宋体" w:cs="宋体"/>
          <w:sz w:val="24"/>
          <w:szCs w:val="24"/>
          <w:lang w:bidi="en-US"/>
        </w:rPr>
      </w:pPr>
      <w:r>
        <w:rPr>
          <w:rFonts w:hint="eastAsia" w:hAnsi="宋体" w:cs="宋体"/>
          <w:sz w:val="24"/>
          <w:szCs w:val="24"/>
          <w:lang w:bidi="en-US"/>
        </w:rPr>
        <w:t>体质对应原则是本标准的特色原则。明确每款产品仅限适配1种或至多1种兼夹体质，防止“泛化适配”导致体质错配。同时强调配伍应遵循传统中医食疗调理规律，防止长期食用造成体质进一步偏颇。</w:t>
      </w:r>
    </w:p>
    <w:p w14:paraId="75B3B566">
      <w:pPr>
        <w:pStyle w:val="4"/>
        <w:spacing w:line="360" w:lineRule="auto"/>
        <w:ind w:left="0" w:firstLine="480" w:firstLineChars="200"/>
        <w:rPr>
          <w:rFonts w:hint="eastAsia" w:hAnsi="宋体" w:cs="宋体"/>
          <w:sz w:val="24"/>
          <w:szCs w:val="24"/>
          <w:lang w:bidi="en-US"/>
        </w:rPr>
      </w:pPr>
      <w:r>
        <w:rPr>
          <w:rFonts w:hint="eastAsia" w:hAnsi="宋体" w:cs="宋体"/>
          <w:sz w:val="24"/>
          <w:szCs w:val="24"/>
          <w:lang w:bidi="en-US"/>
        </w:rPr>
        <w:t>工艺稳定原则和质量可控原则是保障产品质量一致性的基础。要求关键工艺参数经过验证、建立全过程记录、制定质量标准，确保每批产品的稳定性和可重现性。</w:t>
      </w:r>
    </w:p>
    <w:p w14:paraId="5EA183C6">
      <w:pPr>
        <w:pStyle w:val="4"/>
        <w:spacing w:line="360" w:lineRule="auto"/>
        <w:ind w:left="0" w:firstLine="480" w:firstLineChars="200"/>
        <w:rPr>
          <w:rFonts w:hint="eastAsia" w:hAnsi="宋体" w:cs="宋体"/>
          <w:b/>
          <w:bCs/>
          <w:sz w:val="24"/>
          <w:szCs w:val="24"/>
          <w:lang w:bidi="en-US"/>
        </w:rPr>
      </w:pPr>
      <w:r>
        <w:rPr>
          <w:rFonts w:hint="eastAsia" w:hAnsi="宋体" w:cs="宋体"/>
          <w:b/>
          <w:bCs/>
          <w:sz w:val="24"/>
          <w:szCs w:val="24"/>
          <w:lang w:bidi="en-US"/>
        </w:rPr>
        <w:t>（四）开发流程</w:t>
      </w:r>
    </w:p>
    <w:p w14:paraId="682766C9">
      <w:pPr>
        <w:pStyle w:val="4"/>
        <w:spacing w:line="360" w:lineRule="auto"/>
        <w:ind w:left="0" w:firstLine="480" w:firstLineChars="200"/>
        <w:rPr>
          <w:rFonts w:hint="eastAsia" w:hAnsi="宋体" w:cs="宋体"/>
          <w:sz w:val="24"/>
          <w:szCs w:val="24"/>
          <w:lang w:bidi="en-US"/>
        </w:rPr>
      </w:pPr>
      <w:r>
        <w:rPr>
          <w:rFonts w:hint="eastAsia" w:hAnsi="宋体" w:cs="宋体"/>
          <w:sz w:val="24"/>
          <w:szCs w:val="24"/>
          <w:lang w:bidi="en-US"/>
        </w:rPr>
        <w:t>开发流程是本标准的核心章节，涵盖了从立项到工艺验证的全过程。</w:t>
      </w:r>
    </w:p>
    <w:p w14:paraId="74B914A5">
      <w:pPr>
        <w:pStyle w:val="4"/>
        <w:spacing w:line="360" w:lineRule="auto"/>
        <w:ind w:left="0" w:firstLine="480" w:firstLineChars="200"/>
        <w:rPr>
          <w:rFonts w:hint="eastAsia" w:hAnsi="宋体" w:cs="宋体"/>
          <w:sz w:val="24"/>
          <w:szCs w:val="24"/>
          <w:lang w:bidi="en-US"/>
        </w:rPr>
      </w:pPr>
      <w:r>
        <w:rPr>
          <w:rFonts w:hint="eastAsia" w:hAnsi="宋体" w:cs="宋体"/>
          <w:sz w:val="24"/>
          <w:szCs w:val="24"/>
          <w:lang w:bidi="en-US"/>
        </w:rPr>
        <w:t>立项与调研的设置依据是行业调研中发现的产品同质化严重问题。通过人群流行病调研（依据GB/T 46939—2025体质判定量表）、配方前置风险评估、文献标准与竞品调研三个环节，引导企业科学决策，避免盲目跟风立项。特别设置了“核心原料重合度不低于80%不宜重复立项”的阈值，防止过度同质化竞争。</w:t>
      </w:r>
    </w:p>
    <w:p w14:paraId="468815C9">
      <w:pPr>
        <w:pStyle w:val="4"/>
        <w:spacing w:line="360" w:lineRule="auto"/>
        <w:ind w:left="0" w:firstLine="480" w:firstLineChars="200"/>
        <w:rPr>
          <w:rFonts w:hint="eastAsia" w:hAnsi="宋体" w:cs="宋体"/>
          <w:sz w:val="24"/>
          <w:szCs w:val="24"/>
          <w:lang w:bidi="en-US"/>
        </w:rPr>
      </w:pPr>
      <w:r>
        <w:rPr>
          <w:rFonts w:hint="eastAsia" w:hAnsi="宋体" w:cs="宋体"/>
          <w:sz w:val="24"/>
          <w:szCs w:val="24"/>
          <w:lang w:bidi="en-US"/>
        </w:rPr>
        <w:t>体质分析与配方设计是本标准最具中医特色的章节。九种体质差异化配伍要求的设置，依据了中医体质学理论和传统食疗配伍规律。各体质类型的配伍思路（如气虚质“益气健脾”、阴虚质“养阴润燥”等）均与GB/T 46939—2025中各体质类型的特征描述相对应。配伍要求的量化指标（如滋腻类≤40%、温热类≤5%、活血类≤20%等）基于传统膏方组方经验和现代食品安全评估确定。</w:t>
      </w:r>
    </w:p>
    <w:p w14:paraId="404A15BB">
      <w:pPr>
        <w:pStyle w:val="4"/>
        <w:spacing w:line="360" w:lineRule="auto"/>
        <w:ind w:left="0" w:firstLine="480" w:firstLineChars="200"/>
        <w:rPr>
          <w:rFonts w:hint="eastAsia" w:hAnsi="宋体" w:cs="宋体"/>
          <w:sz w:val="24"/>
          <w:szCs w:val="24"/>
          <w:lang w:bidi="en-US"/>
        </w:rPr>
      </w:pPr>
      <w:r>
        <w:rPr>
          <w:rFonts w:hint="eastAsia" w:hAnsi="宋体" w:cs="宋体"/>
          <w:sz w:val="24"/>
          <w:szCs w:val="24"/>
          <w:lang w:bidi="en-US"/>
        </w:rPr>
        <w:t>原料筛选与质量控制的设置依据是食药物质目录管理和食品安全标准。原料感官与理化要求参考了《中华人民共和国药典》（2025年版）和食品安全国家标准的相关规定。安全性指标（铅≤1.0 mg/kg、镉≤0.2 mg/kg、总砷≤0.5 mg/kg）参照GB 2762确定。食药物质目录合规性条款特别列出了2018年9种和2024年4种新增物质的限量使用要求。</w:t>
      </w:r>
    </w:p>
    <w:p w14:paraId="4822FCF7">
      <w:pPr>
        <w:pStyle w:val="4"/>
        <w:spacing w:line="360" w:lineRule="auto"/>
        <w:ind w:left="0" w:firstLine="480" w:firstLineChars="200"/>
        <w:rPr>
          <w:rFonts w:hint="eastAsia" w:hAnsi="宋体" w:cs="宋体"/>
          <w:sz w:val="24"/>
          <w:szCs w:val="24"/>
          <w:lang w:bidi="en-US"/>
        </w:rPr>
      </w:pPr>
      <w:r>
        <w:rPr>
          <w:rFonts w:hint="eastAsia" w:hAnsi="宋体" w:cs="宋体"/>
          <w:sz w:val="24"/>
          <w:szCs w:val="24"/>
          <w:lang w:bidi="en-US"/>
        </w:rPr>
        <w:t>工艺开发与验证的参数设置依据了膏方生产的工程经验和食品加工技术原理。提取工艺的料液比（1:6～1:12）、提取时间（1.0 h～2.0 h）、提取次数（1～3次）等参数，参考了中药提取的通用工艺参数范围和膏方生产企业的实际验证数据。浓缩温度（≤70℃）和真空度（-0.06 MPa～-0.08 MPa）的设置考虑了热敏性成分的保护和工业生产效率的平衡。收膏相对密度（1.30～1.45）参照了传统膏方“挂旗”经验与现代密度测定方法的对应关系。</w:t>
      </w:r>
    </w:p>
    <w:p w14:paraId="4BD2AA09">
      <w:pPr>
        <w:pStyle w:val="4"/>
        <w:spacing w:line="360" w:lineRule="auto"/>
        <w:ind w:left="0" w:firstLine="480" w:firstLineChars="200"/>
        <w:rPr>
          <w:rFonts w:hint="eastAsia" w:hAnsi="宋体" w:cs="宋体"/>
          <w:b/>
          <w:bCs/>
          <w:sz w:val="24"/>
          <w:szCs w:val="24"/>
          <w:lang w:bidi="en-US"/>
        </w:rPr>
      </w:pPr>
      <w:r>
        <w:rPr>
          <w:rFonts w:hint="eastAsia" w:hAnsi="宋体" w:cs="宋体"/>
          <w:b/>
          <w:bCs/>
          <w:sz w:val="24"/>
          <w:szCs w:val="24"/>
          <w:lang w:bidi="en-US"/>
        </w:rPr>
        <w:t>（五）质量评价</w:t>
      </w:r>
    </w:p>
    <w:p w14:paraId="32A37ECF">
      <w:pPr>
        <w:pStyle w:val="4"/>
        <w:spacing w:line="360" w:lineRule="auto"/>
        <w:ind w:left="0" w:firstLine="480" w:firstLineChars="200"/>
        <w:rPr>
          <w:rFonts w:hint="eastAsia" w:hAnsi="宋体" w:cs="宋体"/>
          <w:sz w:val="24"/>
          <w:szCs w:val="24"/>
          <w:lang w:bidi="en-US"/>
        </w:rPr>
      </w:pPr>
      <w:r>
        <w:rPr>
          <w:rFonts w:hint="eastAsia" w:hAnsi="宋体" w:cs="宋体"/>
          <w:sz w:val="24"/>
          <w:szCs w:val="24"/>
          <w:lang w:bidi="en-US"/>
        </w:rPr>
        <w:t>质量评价章节的设置填补了食药物质膏方专项质量评价标准的空白。</w:t>
      </w:r>
    </w:p>
    <w:p w14:paraId="203CAE2C">
      <w:pPr>
        <w:pStyle w:val="4"/>
        <w:spacing w:line="360" w:lineRule="auto"/>
        <w:ind w:left="0" w:firstLine="480" w:firstLineChars="200"/>
        <w:rPr>
          <w:rFonts w:hint="eastAsia" w:hAnsi="宋体" w:cs="宋体"/>
          <w:sz w:val="24"/>
          <w:szCs w:val="24"/>
          <w:lang w:bidi="en-US"/>
        </w:rPr>
      </w:pPr>
      <w:r>
        <w:rPr>
          <w:rFonts w:hint="eastAsia" w:hAnsi="宋体" w:cs="宋体"/>
          <w:sz w:val="24"/>
          <w:szCs w:val="24"/>
          <w:lang w:bidi="en-US"/>
        </w:rPr>
        <w:t>感官要求从色泽、性状、气味滋味、杂质四个维度规定了膏方的基本感官品质，检验方法为常规的目测、鼻嗅、口尝法。</w:t>
      </w:r>
    </w:p>
    <w:p w14:paraId="326AD20C">
      <w:pPr>
        <w:pStyle w:val="4"/>
        <w:spacing w:line="360" w:lineRule="auto"/>
        <w:ind w:left="0" w:firstLine="480" w:firstLineChars="200"/>
        <w:rPr>
          <w:rFonts w:hint="eastAsia" w:hAnsi="宋体" w:cs="宋体"/>
          <w:sz w:val="24"/>
          <w:szCs w:val="24"/>
          <w:lang w:bidi="en-US"/>
        </w:rPr>
      </w:pPr>
      <w:r>
        <w:rPr>
          <w:rFonts w:hint="eastAsia" w:hAnsi="宋体" w:cs="宋体"/>
          <w:sz w:val="24"/>
          <w:szCs w:val="24"/>
          <w:lang w:bidi="en-US"/>
        </w:rPr>
        <w:t>理化指标的设置依据如下：水分≤14.0%参照了同类膏滋类食品的通用水分控制要求；可溶性固形物≥65.0%是膏方“膏”的状态的基本保障；pH值4.0～7.0基于膏方产品的酸度安全范围和口感接受度；相对密度1.30～1.45是膏方收膏终点的核心判定指标，参照了《中华人民共和国药典》（2025年版）通则的相关规定；总糖40%～60%（低糖型≤25%）的设定兼顾了膏方的口感、成型性和不同人群（如血糖异常人群）的特殊需求。</w:t>
      </w:r>
    </w:p>
    <w:p w14:paraId="311239BC">
      <w:pPr>
        <w:pStyle w:val="4"/>
        <w:spacing w:line="360" w:lineRule="auto"/>
        <w:ind w:left="0" w:firstLine="480" w:firstLineChars="200"/>
        <w:rPr>
          <w:rFonts w:hint="eastAsia" w:hAnsi="宋体" w:cs="宋体"/>
          <w:sz w:val="24"/>
          <w:szCs w:val="24"/>
          <w:lang w:bidi="en-US"/>
        </w:rPr>
      </w:pPr>
      <w:r>
        <w:rPr>
          <w:rFonts w:hint="eastAsia" w:hAnsi="宋体" w:cs="宋体"/>
          <w:sz w:val="24"/>
          <w:szCs w:val="24"/>
          <w:lang w:bidi="en-US"/>
        </w:rPr>
        <w:t>微生物指标参照GB 4789系列标准确定。菌落总数≤1000 CFU/g、大肠菌群≤30 MPN/100g、霉菌和酵母≤50 CFU/g的限量值，参照了同类即食食品的微生物控制要求，并结合了膏方高糖、低水分活度的产品特性。</w:t>
      </w:r>
    </w:p>
    <w:p w14:paraId="5E0309F5">
      <w:pPr>
        <w:pStyle w:val="4"/>
        <w:spacing w:line="360" w:lineRule="auto"/>
        <w:ind w:left="0" w:firstLine="480" w:firstLineChars="200"/>
        <w:rPr>
          <w:rFonts w:hint="eastAsia" w:hAnsi="宋体" w:cs="宋体"/>
          <w:sz w:val="24"/>
          <w:szCs w:val="24"/>
          <w:lang w:bidi="en-US"/>
        </w:rPr>
      </w:pPr>
      <w:r>
        <w:rPr>
          <w:rFonts w:hint="eastAsia" w:hAnsi="宋体" w:cs="宋体"/>
          <w:sz w:val="24"/>
          <w:szCs w:val="24"/>
          <w:lang w:bidi="en-US"/>
        </w:rPr>
        <w:t>特征性内控指标 的设置为企业根据产品特点增设差异化检测项目（如总黄酮、总多糖等）提供了依据和空间。</w:t>
      </w:r>
    </w:p>
    <w:p w14:paraId="1298BCD1">
      <w:pPr>
        <w:pStyle w:val="4"/>
        <w:spacing w:line="360" w:lineRule="auto"/>
        <w:ind w:left="0" w:firstLine="480" w:firstLineChars="200"/>
        <w:rPr>
          <w:rFonts w:hint="eastAsia" w:hAnsi="宋体" w:cs="宋体"/>
          <w:b/>
          <w:bCs/>
          <w:sz w:val="24"/>
          <w:szCs w:val="24"/>
          <w:lang w:bidi="en-US"/>
        </w:rPr>
      </w:pPr>
      <w:r>
        <w:rPr>
          <w:rFonts w:hint="eastAsia" w:hAnsi="宋体" w:cs="宋体"/>
          <w:b/>
          <w:bCs/>
          <w:sz w:val="24"/>
          <w:szCs w:val="24"/>
          <w:lang w:bidi="en-US"/>
        </w:rPr>
        <w:t>（六）稳定性评价</w:t>
      </w:r>
    </w:p>
    <w:p w14:paraId="6F1888B5">
      <w:pPr>
        <w:pStyle w:val="4"/>
        <w:spacing w:line="360" w:lineRule="auto"/>
        <w:ind w:left="0" w:firstLine="480" w:firstLineChars="200"/>
        <w:rPr>
          <w:rFonts w:hint="eastAsia" w:hAnsi="宋体" w:cs="宋体"/>
          <w:sz w:val="24"/>
          <w:szCs w:val="24"/>
          <w:lang w:bidi="en-US"/>
        </w:rPr>
      </w:pPr>
      <w:r>
        <w:rPr>
          <w:rFonts w:hint="eastAsia" w:hAnsi="宋体" w:cs="宋体"/>
          <w:sz w:val="24"/>
          <w:szCs w:val="24"/>
          <w:lang w:bidi="en-US"/>
        </w:rPr>
        <w:t>稳定性评价章节的设置依据是食品保质期确定的技术规范和膏方产品的储存特性。</w:t>
      </w:r>
    </w:p>
    <w:p w14:paraId="40ACFDD0">
      <w:pPr>
        <w:pStyle w:val="4"/>
        <w:spacing w:line="360" w:lineRule="auto"/>
        <w:ind w:left="0" w:firstLine="480" w:firstLineChars="200"/>
        <w:rPr>
          <w:rFonts w:hint="eastAsia" w:hAnsi="宋体" w:cs="宋体"/>
          <w:sz w:val="24"/>
          <w:szCs w:val="24"/>
          <w:lang w:bidi="en-US"/>
        </w:rPr>
      </w:pPr>
      <w:r>
        <w:rPr>
          <w:rFonts w:hint="eastAsia" w:hAnsi="宋体" w:cs="宋体"/>
          <w:sz w:val="24"/>
          <w:szCs w:val="24"/>
          <w:lang w:bidi="en-US"/>
        </w:rPr>
        <w:t>长期稳定性试验（7.2） 的温度条件（25℃±2℃）和湿度条件（65%±5%）参照了《中华人民共和国药典》（2025年版）中食品类产品的稳定性试验条件。12个月的试验周期和0、3、6、9、12月的检测节点设置，能够覆盖产品在常温储存条件下的主要品质变化趋势。</w:t>
      </w:r>
    </w:p>
    <w:p w14:paraId="2ED75074">
      <w:pPr>
        <w:pStyle w:val="4"/>
        <w:spacing w:line="360" w:lineRule="auto"/>
        <w:ind w:left="0" w:firstLine="480" w:firstLineChars="200"/>
        <w:rPr>
          <w:rFonts w:hint="eastAsia" w:hAnsi="宋体" w:cs="宋体"/>
          <w:sz w:val="24"/>
          <w:szCs w:val="24"/>
          <w:lang w:bidi="en-US"/>
        </w:rPr>
      </w:pPr>
      <w:r>
        <w:rPr>
          <w:rFonts w:hint="eastAsia" w:hAnsi="宋体" w:cs="宋体"/>
          <w:sz w:val="24"/>
          <w:szCs w:val="24"/>
          <w:lang w:bidi="en-US"/>
        </w:rPr>
        <w:t>加速稳定性试验（7.3） 的温度条件（38℃±2℃）和湿度条件（75%±5%）参照了食品加速稳定性试验的通用条件。30天的试验周期和0、10、20、30天的多节点检测设计，能够在较短时间内考察产品在高温高湿条件下的稳定性表现，为保质期的初步判断提供参考。</w:t>
      </w:r>
    </w:p>
    <w:p w14:paraId="37453811">
      <w:pPr>
        <w:pStyle w:val="4"/>
        <w:spacing w:line="360" w:lineRule="auto"/>
        <w:ind w:left="0" w:firstLine="480" w:firstLineChars="200"/>
        <w:rPr>
          <w:rFonts w:hint="eastAsia" w:hAnsi="宋体" w:cs="宋体"/>
          <w:sz w:val="24"/>
          <w:szCs w:val="24"/>
          <w:lang w:bidi="en-US"/>
        </w:rPr>
      </w:pPr>
      <w:r>
        <w:rPr>
          <w:rFonts w:hint="eastAsia" w:hAnsi="宋体" w:cs="宋体"/>
          <w:sz w:val="24"/>
          <w:szCs w:val="24"/>
          <w:lang w:bidi="en-US"/>
        </w:rPr>
        <w:t>保质期判定（7.4） 明确了“实际标示保质期不应超过长期稳定性试验覆盖的时间范围”的原则，确保保质期设定的科学性和可靠性。</w:t>
      </w:r>
    </w:p>
    <w:p w14:paraId="72B8DE87">
      <w:pPr>
        <w:pStyle w:val="4"/>
        <w:spacing w:line="360" w:lineRule="auto"/>
        <w:ind w:left="0" w:firstLine="480" w:firstLineChars="200"/>
        <w:rPr>
          <w:rFonts w:hint="eastAsia" w:hAnsi="宋体" w:cs="宋体"/>
          <w:b/>
          <w:bCs/>
          <w:sz w:val="24"/>
          <w:szCs w:val="24"/>
          <w:lang w:bidi="en-US"/>
        </w:rPr>
      </w:pPr>
      <w:r>
        <w:rPr>
          <w:rFonts w:hint="eastAsia" w:hAnsi="宋体" w:cs="宋体"/>
          <w:b/>
          <w:bCs/>
          <w:sz w:val="24"/>
          <w:szCs w:val="24"/>
          <w:lang w:bidi="en-US"/>
        </w:rPr>
        <w:t>（七）标签标识</w:t>
      </w:r>
    </w:p>
    <w:p w14:paraId="58558EC9">
      <w:pPr>
        <w:pStyle w:val="4"/>
        <w:spacing w:line="360" w:lineRule="auto"/>
        <w:ind w:left="0" w:firstLine="480" w:firstLineChars="200"/>
        <w:rPr>
          <w:rFonts w:hint="eastAsia" w:hAnsi="宋体" w:cs="宋体"/>
          <w:sz w:val="24"/>
          <w:szCs w:val="24"/>
          <w:lang w:bidi="en-US"/>
        </w:rPr>
      </w:pPr>
      <w:r>
        <w:rPr>
          <w:rFonts w:hint="eastAsia" w:hAnsi="宋体" w:cs="宋体"/>
          <w:sz w:val="24"/>
          <w:szCs w:val="24"/>
          <w:lang w:bidi="en-US"/>
        </w:rPr>
        <w:t>标签标识章节的设置依据是GB 7718、GB 28050和《食品标识监督管理办法》。针对食药物质膏方的产品特性，特别规定了体质适配信息的标注要求（“本品依据中医体质学理论，适配××体质人群日常食用”），同时明确禁止使用“治疗”“改善”“调节”等医疗功效宣称用语，确保产品宣称的合规性。不适宜人群的标注要求（婴幼儿、孕期及哺乳期妇女等）和“本品为普通食品，不能代替药物”的警示语要求，均基于保护消费者知情权和食用安全的需要。</w:t>
      </w:r>
    </w:p>
    <w:p w14:paraId="646BD0AE">
      <w:pPr>
        <w:pStyle w:val="4"/>
        <w:spacing w:line="360" w:lineRule="auto"/>
        <w:ind w:left="0" w:firstLine="480" w:firstLineChars="200"/>
        <w:rPr>
          <w:rFonts w:hint="eastAsia" w:hAnsi="宋体" w:cs="宋体"/>
          <w:b/>
          <w:bCs/>
          <w:sz w:val="24"/>
          <w:szCs w:val="24"/>
          <w:lang w:bidi="en-US"/>
        </w:rPr>
      </w:pPr>
      <w:r>
        <w:rPr>
          <w:rFonts w:hint="eastAsia" w:hAnsi="宋体" w:cs="宋体"/>
          <w:b/>
          <w:bCs/>
          <w:sz w:val="24"/>
          <w:szCs w:val="24"/>
          <w:lang w:bidi="en-US"/>
        </w:rPr>
        <w:t>（八）附录</w:t>
      </w:r>
    </w:p>
    <w:p w14:paraId="65C4D977">
      <w:pPr>
        <w:pStyle w:val="4"/>
        <w:spacing w:line="360" w:lineRule="auto"/>
        <w:ind w:left="0" w:firstLine="480" w:firstLineChars="200"/>
        <w:rPr>
          <w:rFonts w:hint="eastAsia" w:hAnsi="宋体" w:cs="宋体"/>
          <w:sz w:val="24"/>
          <w:szCs w:val="24"/>
          <w:lang w:bidi="en-US"/>
        </w:rPr>
      </w:pPr>
      <w:r>
        <w:rPr>
          <w:rFonts w:hint="eastAsia" w:hAnsi="宋体" w:cs="宋体"/>
          <w:sz w:val="24"/>
          <w:szCs w:val="24"/>
          <w:lang w:bidi="en-US"/>
        </w:rPr>
        <w:t>附录A（资料性） 九种中医体质食药物质配伍参考表的设置，为企业进行配方设计提供了参考框架。配伍思路、推荐适配食药物质、慎用/少用食药物质、投料配比参考等内容，均基于中医体质学理论和传统食疗配伍规律。同时明确了该附录为资料性参考而非规范性依据，避免被误解为强制配方。</w:t>
      </w:r>
    </w:p>
    <w:p w14:paraId="01197225">
      <w:pPr>
        <w:pStyle w:val="4"/>
        <w:spacing w:line="360" w:lineRule="auto"/>
        <w:ind w:left="0" w:firstLine="480" w:firstLineChars="200"/>
        <w:rPr>
          <w:rFonts w:hint="eastAsia" w:hAnsi="宋体" w:cs="宋体"/>
          <w:sz w:val="24"/>
          <w:szCs w:val="24"/>
          <w:lang w:bidi="en-US"/>
        </w:rPr>
      </w:pPr>
      <w:r>
        <w:rPr>
          <w:rFonts w:hint="eastAsia" w:hAnsi="宋体" w:cs="宋体"/>
          <w:sz w:val="24"/>
          <w:szCs w:val="24"/>
          <w:lang w:bidi="en-US"/>
        </w:rPr>
        <w:t>附录B（资料性） 食药物质膏方配方风险评估参考记录表的设置，为企业开展配方前置风险评估提供了工具模板。风险维度的设置（致敏风险、霉变氧化风险、分层返砂风险、体质偏颇风险、工业化加工风险）涵盖了膏方产品开发的主要风险点。</w:t>
      </w:r>
    </w:p>
    <w:p w14:paraId="1B8C6FE5">
      <w:pPr>
        <w:tabs>
          <w:tab w:val="left" w:pos="1815"/>
        </w:tabs>
        <w:spacing w:line="360" w:lineRule="auto"/>
        <w:rPr>
          <w:rFonts w:hint="eastAsia" w:ascii="黑体" w:hAnsi="黑体" w:eastAsia="黑体"/>
          <w:sz w:val="28"/>
          <w:szCs w:val="28"/>
          <w:lang w:eastAsia="zh-CN"/>
        </w:rPr>
      </w:pPr>
      <w:r>
        <w:rPr>
          <w:rFonts w:hint="eastAsia" w:ascii="黑体" w:hAnsi="黑体" w:eastAsia="黑体"/>
          <w:sz w:val="28"/>
          <w:szCs w:val="28"/>
          <w:lang w:eastAsia="zh-CN"/>
        </w:rPr>
        <w:t>四、标准中如果涉及专利，应有明确的知识产权说明</w:t>
      </w:r>
    </w:p>
    <w:p w14:paraId="75AD6108">
      <w:pPr>
        <w:pStyle w:val="4"/>
        <w:spacing w:before="0" w:after="0" w:line="360" w:lineRule="auto"/>
        <w:ind w:left="220" w:leftChars="100" w:firstLine="240" w:firstLineChars="100"/>
        <w:rPr>
          <w:rFonts w:hint="eastAsia" w:hAnsi="宋体" w:cs="宋体"/>
          <w:sz w:val="24"/>
          <w:szCs w:val="24"/>
          <w:lang w:bidi="en-US"/>
        </w:rPr>
      </w:pPr>
      <w:r>
        <w:rPr>
          <w:rFonts w:hint="eastAsia" w:hAnsi="宋体" w:cs="宋体"/>
          <w:sz w:val="24"/>
          <w:szCs w:val="24"/>
          <w:lang w:bidi="en-US"/>
        </w:rPr>
        <w:t>本文件不涉及专利及知识产权问题。</w:t>
      </w:r>
    </w:p>
    <w:p w14:paraId="17705CA1">
      <w:pPr>
        <w:tabs>
          <w:tab w:val="left" w:pos="1815"/>
        </w:tabs>
        <w:spacing w:before="156" w:beforeLines="50" w:after="156" w:afterLines="50"/>
        <w:rPr>
          <w:rFonts w:hint="eastAsia" w:ascii="黑体" w:hAnsi="黑体" w:eastAsia="黑体"/>
          <w:sz w:val="28"/>
          <w:szCs w:val="28"/>
          <w:lang w:eastAsia="zh-CN"/>
        </w:rPr>
      </w:pPr>
      <w:r>
        <w:rPr>
          <w:rFonts w:hint="eastAsia" w:ascii="黑体" w:hAnsi="黑体" w:eastAsia="黑体"/>
          <w:sz w:val="28"/>
          <w:szCs w:val="28"/>
          <w:lang w:eastAsia="zh-CN"/>
        </w:rPr>
        <w:t>五、采用国际标准和国外先进标准情况，与国际、国内同类标准水平的对比情况</w:t>
      </w:r>
    </w:p>
    <w:p w14:paraId="54DF9A46">
      <w:pPr>
        <w:pStyle w:val="4"/>
        <w:spacing w:line="360" w:lineRule="auto"/>
        <w:ind w:left="0" w:firstLine="480" w:firstLineChars="200"/>
        <w:rPr>
          <w:rFonts w:hint="eastAsia" w:hAnsi="宋体" w:cs="宋体"/>
          <w:b/>
          <w:bCs/>
          <w:sz w:val="24"/>
          <w:szCs w:val="24"/>
          <w:lang w:bidi="en-US"/>
        </w:rPr>
      </w:pPr>
      <w:r>
        <w:rPr>
          <w:rFonts w:hAnsi="宋体" w:cs="宋体"/>
          <w:b/>
          <w:bCs/>
          <w:sz w:val="24"/>
          <w:szCs w:val="24"/>
          <w:lang w:bidi="en-US"/>
        </w:rPr>
        <w:t>（一）国内情况</w:t>
      </w:r>
    </w:p>
    <w:p w14:paraId="212E4872">
      <w:pPr>
        <w:pStyle w:val="4"/>
        <w:spacing w:line="360" w:lineRule="auto"/>
        <w:ind w:left="0" w:firstLine="480" w:firstLineChars="200"/>
        <w:rPr>
          <w:rFonts w:hint="eastAsia" w:hAnsi="宋体" w:cs="宋体"/>
          <w:sz w:val="24"/>
          <w:szCs w:val="24"/>
          <w:lang w:bidi="en-US"/>
        </w:rPr>
      </w:pPr>
      <w:r>
        <w:rPr>
          <w:rFonts w:hAnsi="宋体" w:cs="宋体"/>
          <w:sz w:val="24"/>
          <w:szCs w:val="24"/>
          <w:lang w:bidi="en-US"/>
        </w:rPr>
        <w:t>已有GB/T 46939《中医体质分类与判定》等基础标准，但无针对药食同源膏方的专用产品开发标准。</w:t>
      </w:r>
    </w:p>
    <w:p w14:paraId="079E0F2A">
      <w:pPr>
        <w:pStyle w:val="4"/>
        <w:spacing w:line="360" w:lineRule="auto"/>
        <w:ind w:left="0" w:firstLine="480" w:firstLineChars="200"/>
        <w:rPr>
          <w:rFonts w:hint="eastAsia" w:hAnsi="宋体" w:cs="宋体"/>
          <w:sz w:val="24"/>
          <w:szCs w:val="24"/>
          <w:lang w:bidi="en-US"/>
        </w:rPr>
      </w:pPr>
      <w:r>
        <w:rPr>
          <w:rFonts w:hAnsi="宋体" w:cs="宋体"/>
          <w:sz w:val="24"/>
          <w:szCs w:val="24"/>
          <w:lang w:bidi="en-US"/>
        </w:rPr>
        <w:t>现有膏方标准多集中于传统中药膏方（如《中医膏方临床应用与制备工艺规范》（DB32/T 4870）），未单独区分药食同源类别，且未与体质学深度绑定。</w:t>
      </w:r>
    </w:p>
    <w:p w14:paraId="55B87840">
      <w:pPr>
        <w:pStyle w:val="4"/>
        <w:spacing w:line="360" w:lineRule="auto"/>
        <w:ind w:left="0" w:firstLine="480" w:firstLineChars="200"/>
        <w:rPr>
          <w:rFonts w:hint="eastAsia" w:hAnsi="宋体" w:cs="宋体"/>
          <w:sz w:val="24"/>
          <w:szCs w:val="24"/>
          <w:lang w:bidi="en-US"/>
        </w:rPr>
      </w:pPr>
      <w:r>
        <w:rPr>
          <w:rFonts w:hAnsi="宋体" w:cs="宋体"/>
          <w:sz w:val="24"/>
          <w:szCs w:val="24"/>
          <w:lang w:bidi="en-US"/>
        </w:rPr>
        <w:t>部分团体标准（如《药食同源及药膳配方食品质量要求》）未涵盖膏方形态及体质适配要求。</w:t>
      </w:r>
    </w:p>
    <w:p w14:paraId="20EA1FB8">
      <w:pPr>
        <w:pStyle w:val="4"/>
        <w:spacing w:line="360" w:lineRule="auto"/>
        <w:ind w:left="0" w:firstLine="480" w:firstLineChars="200"/>
        <w:rPr>
          <w:rFonts w:hint="eastAsia" w:hAnsi="宋体" w:cs="宋体"/>
          <w:b/>
          <w:bCs/>
          <w:sz w:val="24"/>
          <w:szCs w:val="24"/>
          <w:lang w:bidi="en-US"/>
        </w:rPr>
      </w:pPr>
      <w:r>
        <w:rPr>
          <w:rFonts w:hAnsi="宋体" w:cs="宋体"/>
          <w:b/>
          <w:bCs/>
          <w:sz w:val="24"/>
          <w:szCs w:val="24"/>
          <w:lang w:bidi="en-US"/>
        </w:rPr>
        <w:t>（二）国际情况</w:t>
      </w:r>
    </w:p>
    <w:p w14:paraId="0EC2F1D4">
      <w:pPr>
        <w:pStyle w:val="4"/>
        <w:spacing w:line="360" w:lineRule="auto"/>
        <w:ind w:left="0" w:firstLine="480" w:firstLineChars="200"/>
        <w:rPr>
          <w:rFonts w:hint="eastAsia" w:ascii="黑体" w:hAnsi="黑体" w:eastAsia="黑体"/>
          <w:sz w:val="28"/>
          <w:szCs w:val="28"/>
        </w:rPr>
      </w:pPr>
      <w:r>
        <w:rPr>
          <w:rFonts w:hAnsi="宋体" w:cs="宋体"/>
          <w:sz w:val="24"/>
          <w:szCs w:val="24"/>
          <w:lang w:bidi="en-US"/>
        </w:rPr>
        <w:t>国际上无直接对应的标准，但ISO/TC 249（中医药技术委员会）已发布部分中药产品标准。日本、韩国虽有类似汉方膏滋类产品，但未建立基于体质的分型开发规范。</w:t>
      </w:r>
      <w:r>
        <w:rPr>
          <w:rFonts w:hAnsi="宋体" w:cs="宋体"/>
          <w:sz w:val="24"/>
          <w:szCs w:val="24"/>
          <w:lang w:bidi="en-US"/>
        </w:rPr>
        <w:cr/>
      </w:r>
      <w:r>
        <w:rPr>
          <w:rFonts w:hint="eastAsia" w:ascii="黑体" w:hAnsi="黑体" w:eastAsia="黑体"/>
          <w:sz w:val="28"/>
          <w:szCs w:val="28"/>
        </w:rPr>
        <w:t>六、与有关现行法律、法规和强制性国家标准的关系</w:t>
      </w:r>
    </w:p>
    <w:p w14:paraId="67C3FF6C">
      <w:pPr>
        <w:tabs>
          <w:tab w:val="left" w:pos="1815"/>
        </w:tabs>
        <w:spacing w:before="156" w:beforeLines="50" w:after="156" w:afterLines="50"/>
        <w:ind w:firstLine="480" w:firstLineChars="200"/>
        <w:rPr>
          <w:rFonts w:hint="eastAsia" w:eastAsia="宋体"/>
          <w:sz w:val="24"/>
          <w:szCs w:val="24"/>
          <w:lang w:eastAsia="zh-CN"/>
        </w:rPr>
      </w:pPr>
      <w:r>
        <w:rPr>
          <w:rFonts w:eastAsia="宋体"/>
          <w:sz w:val="24"/>
          <w:szCs w:val="24"/>
          <w:lang w:eastAsia="zh-CN"/>
        </w:rPr>
        <w:t>本文件与相关法律、法规、规章及相关标准协调一致，没有冲突。</w:t>
      </w:r>
    </w:p>
    <w:p w14:paraId="652AAEEB">
      <w:pPr>
        <w:tabs>
          <w:tab w:val="left" w:pos="1815"/>
        </w:tabs>
        <w:spacing w:before="156" w:beforeLines="50" w:after="156" w:afterLines="50"/>
        <w:rPr>
          <w:rFonts w:hint="eastAsia" w:ascii="黑体" w:hAnsi="黑体" w:eastAsia="黑体"/>
          <w:sz w:val="28"/>
          <w:szCs w:val="28"/>
          <w:lang w:eastAsia="zh-CN"/>
        </w:rPr>
      </w:pPr>
      <w:r>
        <w:rPr>
          <w:rFonts w:hint="eastAsia" w:ascii="黑体" w:hAnsi="黑体" w:eastAsia="黑体"/>
          <w:sz w:val="28"/>
          <w:szCs w:val="28"/>
          <w:lang w:eastAsia="zh-CN"/>
        </w:rPr>
        <w:t>七、重大分歧意见的处理经过和依据</w:t>
      </w:r>
    </w:p>
    <w:p w14:paraId="318561A9">
      <w:pPr>
        <w:tabs>
          <w:tab w:val="left" w:pos="1815"/>
        </w:tabs>
        <w:spacing w:before="156" w:beforeLines="50" w:after="156" w:afterLines="50"/>
        <w:ind w:firstLine="480" w:firstLineChars="200"/>
        <w:rPr>
          <w:rFonts w:hint="eastAsia" w:eastAsia="宋体"/>
          <w:sz w:val="24"/>
          <w:szCs w:val="24"/>
          <w:lang w:eastAsia="zh-CN"/>
        </w:rPr>
      </w:pPr>
      <w:r>
        <w:rPr>
          <w:rFonts w:hint="eastAsia" w:eastAsia="宋体"/>
          <w:sz w:val="24"/>
          <w:szCs w:val="24"/>
          <w:lang w:eastAsia="zh-CN"/>
        </w:rPr>
        <w:t>本文件在制定过程中未出现重大分歧意见。</w:t>
      </w:r>
    </w:p>
    <w:p w14:paraId="650066A3">
      <w:pPr>
        <w:tabs>
          <w:tab w:val="left" w:pos="1815"/>
        </w:tabs>
        <w:spacing w:before="156" w:beforeLines="50" w:after="156" w:afterLines="50"/>
        <w:rPr>
          <w:rFonts w:hint="eastAsia" w:ascii="黑体" w:hAnsi="黑体" w:eastAsia="黑体"/>
          <w:sz w:val="28"/>
          <w:szCs w:val="28"/>
          <w:lang w:eastAsia="zh-CN"/>
        </w:rPr>
      </w:pPr>
      <w:r>
        <w:rPr>
          <w:rFonts w:hint="eastAsia" w:ascii="黑体" w:hAnsi="黑体" w:eastAsia="黑体"/>
          <w:sz w:val="28"/>
          <w:szCs w:val="28"/>
          <w:lang w:eastAsia="zh-CN"/>
        </w:rPr>
        <w:t>八、贯彻标准的要求和措施建议</w:t>
      </w:r>
    </w:p>
    <w:p w14:paraId="5B6E57AD">
      <w:pPr>
        <w:tabs>
          <w:tab w:val="left" w:pos="1815"/>
        </w:tabs>
        <w:spacing w:before="156" w:beforeLines="50" w:after="156" w:afterLines="50"/>
        <w:ind w:firstLine="480" w:firstLineChars="200"/>
        <w:rPr>
          <w:rFonts w:hint="eastAsia" w:eastAsia="宋体"/>
          <w:sz w:val="24"/>
          <w:szCs w:val="24"/>
          <w:lang w:eastAsia="zh-CN"/>
        </w:rPr>
      </w:pPr>
      <w:r>
        <w:rPr>
          <w:rFonts w:hint="eastAsia" w:eastAsia="宋体"/>
          <w:sz w:val="24"/>
          <w:szCs w:val="24"/>
          <w:lang w:eastAsia="zh-CN"/>
        </w:rPr>
        <w:t>本文件发布后，应</w:t>
      </w:r>
      <w:r>
        <w:rPr>
          <w:rFonts w:eastAsia="宋体"/>
          <w:sz w:val="24"/>
          <w:szCs w:val="24"/>
          <w:lang w:eastAsia="zh-CN"/>
        </w:rPr>
        <w:t>向相关企业进行宣传、贯彻，推荐执行该</w:t>
      </w:r>
      <w:r>
        <w:rPr>
          <w:rFonts w:hint="eastAsia" w:eastAsia="宋体"/>
          <w:sz w:val="24"/>
          <w:szCs w:val="24"/>
          <w:lang w:eastAsia="zh-CN"/>
        </w:rPr>
        <w:t>文件。</w:t>
      </w:r>
    </w:p>
    <w:p w14:paraId="3326673C">
      <w:pPr>
        <w:tabs>
          <w:tab w:val="left" w:pos="1815"/>
        </w:tabs>
        <w:spacing w:before="156" w:beforeLines="50" w:after="156" w:afterLines="50"/>
        <w:rPr>
          <w:rFonts w:hint="eastAsia" w:ascii="黑体" w:hAnsi="黑体" w:eastAsia="黑体"/>
          <w:sz w:val="28"/>
          <w:szCs w:val="28"/>
          <w:lang w:eastAsia="zh-CN"/>
        </w:rPr>
      </w:pPr>
      <w:r>
        <w:rPr>
          <w:rFonts w:hint="eastAsia" w:ascii="黑体" w:hAnsi="黑体" w:eastAsia="黑体"/>
          <w:sz w:val="28"/>
          <w:szCs w:val="28"/>
          <w:lang w:eastAsia="zh-CN"/>
        </w:rPr>
        <w:t>九、其他应当说明的事项</w:t>
      </w:r>
    </w:p>
    <w:p w14:paraId="652DFFCA">
      <w:pPr>
        <w:tabs>
          <w:tab w:val="left" w:pos="1815"/>
        </w:tabs>
        <w:spacing w:before="156" w:beforeLines="50" w:after="156" w:afterLines="50"/>
        <w:ind w:firstLine="480" w:firstLineChars="200"/>
        <w:rPr>
          <w:rFonts w:hint="eastAsia" w:eastAsia="宋体"/>
          <w:sz w:val="24"/>
          <w:szCs w:val="24"/>
          <w:lang w:eastAsia="zh-CN"/>
        </w:rPr>
      </w:pPr>
      <w:r>
        <w:rPr>
          <w:rFonts w:hint="eastAsia" w:eastAsia="宋体"/>
          <w:sz w:val="24"/>
          <w:szCs w:val="24"/>
          <w:lang w:eastAsia="zh-CN"/>
        </w:rPr>
        <w:t>无</w:t>
      </w:r>
      <w:r>
        <w:rPr>
          <w:rFonts w:eastAsia="宋体"/>
          <w:sz w:val="24"/>
          <w:szCs w:val="24"/>
          <w:lang w:eastAsia="zh-CN"/>
        </w:rPr>
        <w:t>。</w:t>
      </w:r>
    </w:p>
    <w:p w14:paraId="4C2B3FEC">
      <w:bookmarkStart w:id="0" w:name="_GoBack"/>
      <w:bookmarkEnd w:id="0"/>
    </w:p>
    <w:sectPr>
      <w:pgSz w:w="11906" w:h="16838"/>
      <w:pgMar w:top="1440" w:right="1797" w:bottom="1440" w:left="1797"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8D022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Times New Roman" w:cs="宋体"/>
      <w:sz w:val="22"/>
      <w:szCs w:val="22"/>
      <w:lang w:val="en-US" w:eastAsia="en-US" w:bidi="en-US"/>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paragraph" w:customStyle="1" w:styleId="4">
    <w:name w:val="二级无"/>
    <w:basedOn w:val="5"/>
    <w:qFormat/>
    <w:uiPriority w:val="0"/>
    <w:pPr>
      <w:tabs>
        <w:tab w:val="left" w:pos="1440"/>
      </w:tabs>
      <w:spacing w:beforeLines="0" w:afterLines="0"/>
    </w:pPr>
    <w:rPr>
      <w:rFonts w:ascii="宋体" w:eastAsia="宋体"/>
    </w:rPr>
  </w:style>
  <w:style w:type="paragraph" w:customStyle="1" w:styleId="5">
    <w:name w:val="二级条标题"/>
    <w:basedOn w:val="6"/>
    <w:next w:val="7"/>
    <w:qFormat/>
    <w:uiPriority w:val="0"/>
    <w:pPr>
      <w:tabs>
        <w:tab w:val="left" w:pos="1440"/>
      </w:tabs>
      <w:spacing w:before="50" w:after="50"/>
      <w:ind w:left="284"/>
      <w:outlineLvl w:val="3"/>
    </w:pPr>
  </w:style>
  <w:style w:type="paragraph" w:customStyle="1" w:styleId="6">
    <w:name w:val="一级条标题"/>
    <w:next w:val="7"/>
    <w:qFormat/>
    <w:uiPriority w:val="0"/>
    <w:pPr>
      <w:tabs>
        <w:tab w:val="left" w:pos="1440"/>
      </w:tabs>
      <w:spacing w:beforeLines="50" w:afterLines="50"/>
      <w:ind w:left="1440" w:hanging="720"/>
      <w:outlineLvl w:val="2"/>
    </w:pPr>
    <w:rPr>
      <w:rFonts w:ascii="黑体" w:hAnsi="Times New Roman" w:eastAsia="黑体" w:cs="Times New Roman"/>
      <w:sz w:val="21"/>
      <w:szCs w:val="21"/>
      <w:lang w:val="en-US" w:eastAsia="zh-CN" w:bidi="ar-SA"/>
    </w:rPr>
  </w:style>
  <w:style w:type="paragraph" w:customStyle="1" w:styleId="7">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2026-10-13T07:37:45Z</dcterms:created>
  <dc:creator>27553</dc:creator>
  <cp:lastModifiedBy>Y 。</cp:lastModifiedBy>
  <dcterms:modified xsi:type="dcterms:W3CDTF">2026-10-13T07:38:27Z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eyJoZGlkIjoiYTZlZWMwMDA4YzA5Nzc5ZWJjMDMzNjA2MWZjYzUyY2YiLCJ1c2VySWQiOiIyMDE1NjUxMzUifQ==</vt:lpwstr>
  </property>
  <property fmtid="{D5CDD505-2E9C-101B-9397-08002B2CF9AE}" pid="4" name="ICV">
    <vt:lpwstr>32D0C5EAA91144658C923F7D080BB235_12</vt:lpwstr>
  </property>
</Properties>
</file>