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B21A2">
      <w:pPr>
        <w:autoSpaceDE w:val="0"/>
        <w:autoSpaceDN w:val="0"/>
        <w:adjustRightInd w:val="0"/>
        <w:ind w:firstLine="602"/>
        <w:jc w:val="center"/>
        <w:outlineLvl w:val="0"/>
        <w:rPr>
          <w:rFonts w:ascii="黑体" w:hAnsi="黑体" w:eastAsia="黑体"/>
          <w:b/>
          <w:bCs/>
          <w:sz w:val="30"/>
          <w:szCs w:val="30"/>
        </w:rPr>
      </w:pPr>
      <w:bookmarkStart w:id="0" w:name="OLE_LINK1"/>
      <w:bookmarkStart w:id="1" w:name="OLE_LINK2"/>
    </w:p>
    <w:p w14:paraId="3550DFBD">
      <w:pPr>
        <w:autoSpaceDE w:val="0"/>
        <w:autoSpaceDN w:val="0"/>
        <w:adjustRightInd w:val="0"/>
        <w:jc w:val="both"/>
        <w:outlineLvl w:val="0"/>
        <w:rPr>
          <w:rFonts w:ascii="黑体" w:hAnsi="黑体" w:eastAsia="黑体"/>
          <w:b/>
          <w:bCs/>
          <w:sz w:val="30"/>
          <w:szCs w:val="30"/>
        </w:rPr>
      </w:pPr>
    </w:p>
    <w:p w14:paraId="60563A2F">
      <w:pPr>
        <w:autoSpaceDE w:val="0"/>
        <w:autoSpaceDN w:val="0"/>
        <w:adjustRightInd w:val="0"/>
        <w:ind w:firstLine="602"/>
        <w:jc w:val="center"/>
        <w:outlineLvl w:val="0"/>
        <w:rPr>
          <w:rFonts w:ascii="黑体" w:hAnsi="黑体" w:eastAsia="黑体"/>
          <w:b/>
          <w:bCs/>
          <w:sz w:val="30"/>
          <w:szCs w:val="30"/>
        </w:rPr>
      </w:pPr>
    </w:p>
    <w:p w14:paraId="15A41824">
      <w:pPr>
        <w:autoSpaceDE w:val="0"/>
        <w:autoSpaceDN w:val="0"/>
        <w:adjustRightInd w:val="0"/>
        <w:ind w:firstLine="602"/>
        <w:jc w:val="center"/>
        <w:outlineLvl w:val="0"/>
        <w:rPr>
          <w:rFonts w:ascii="黑体" w:hAnsi="黑体" w:eastAsia="黑体"/>
          <w:b/>
          <w:bCs/>
          <w:sz w:val="30"/>
          <w:szCs w:val="30"/>
        </w:rPr>
      </w:pPr>
    </w:p>
    <w:p w14:paraId="2A6E7864">
      <w:pPr>
        <w:autoSpaceDE w:val="0"/>
        <w:autoSpaceDN w:val="0"/>
        <w:adjustRightInd w:val="0"/>
        <w:ind w:firstLine="0" w:firstLineChars="0"/>
        <w:outlineLvl w:val="0"/>
        <w:rPr>
          <w:rFonts w:ascii="黑体" w:hAnsi="黑体" w:eastAsia="黑体"/>
          <w:b/>
          <w:bCs/>
          <w:sz w:val="30"/>
          <w:szCs w:val="30"/>
        </w:rPr>
      </w:pPr>
    </w:p>
    <w:p w14:paraId="17E01D90">
      <w:pPr>
        <w:autoSpaceDE w:val="0"/>
        <w:autoSpaceDN w:val="0"/>
        <w:adjustRightInd w:val="0"/>
        <w:ind w:firstLine="602"/>
        <w:jc w:val="center"/>
        <w:outlineLvl w:val="0"/>
        <w:rPr>
          <w:rFonts w:ascii="黑体" w:hAnsi="黑体" w:eastAsia="黑体"/>
          <w:b/>
          <w:bCs/>
          <w:sz w:val="30"/>
          <w:szCs w:val="30"/>
        </w:rPr>
      </w:pPr>
    </w:p>
    <w:p w14:paraId="5D5CB989">
      <w:pPr>
        <w:autoSpaceDE w:val="0"/>
        <w:autoSpaceDN w:val="0"/>
        <w:adjustRightInd w:val="0"/>
        <w:ind w:firstLine="602"/>
        <w:jc w:val="center"/>
        <w:outlineLvl w:val="0"/>
        <w:rPr>
          <w:rFonts w:ascii="黑体" w:hAnsi="黑体" w:eastAsia="黑体"/>
          <w:b/>
          <w:bCs/>
          <w:sz w:val="30"/>
          <w:szCs w:val="30"/>
        </w:rPr>
      </w:pPr>
    </w:p>
    <w:p w14:paraId="25D6BE1E">
      <w:pPr>
        <w:pStyle w:val="15"/>
        <w:framePr w:w="0" w:hRule="auto" w:wrap="auto" w:vAnchor="margin" w:hAnchor="text" w:xAlign="left" w:yAlign="inline"/>
        <w:spacing w:line="300" w:lineRule="auto"/>
        <w:rPr>
          <w:rFonts w:ascii="宋体" w:hAnsi="宋体"/>
          <w:bCs/>
          <w:sz w:val="44"/>
          <w:szCs w:val="44"/>
        </w:rPr>
      </w:pPr>
      <w:r>
        <w:rPr>
          <w:rFonts w:hint="eastAsia" w:hAnsi="黑体"/>
          <w:bCs/>
          <w:sz w:val="44"/>
          <w:szCs w:val="44"/>
        </w:rPr>
        <w:t>团体</w:t>
      </w:r>
      <w:r>
        <w:rPr>
          <w:rFonts w:hAnsi="黑体"/>
          <w:bCs/>
          <w:sz w:val="44"/>
          <w:szCs w:val="44"/>
        </w:rPr>
        <w:t>标准</w:t>
      </w:r>
      <w:r>
        <w:rPr>
          <w:rFonts w:hint="eastAsia" w:hAnsi="黑体"/>
          <w:bCs/>
          <w:sz w:val="44"/>
          <w:szCs w:val="44"/>
        </w:rPr>
        <w:t>老年房颤的中西医结合治疗专家共识</w:t>
      </w:r>
      <w:r>
        <w:rPr>
          <w:rFonts w:hint="eastAsia" w:ascii="宋体" w:hAnsi="宋体"/>
          <w:bCs/>
          <w:sz w:val="44"/>
          <w:szCs w:val="44"/>
        </w:rPr>
        <w:t>(征求</w:t>
      </w:r>
      <w:r>
        <w:rPr>
          <w:rFonts w:ascii="宋体" w:hAnsi="宋体"/>
          <w:bCs/>
          <w:sz w:val="44"/>
          <w:szCs w:val="44"/>
        </w:rPr>
        <w:t>意见稿</w:t>
      </w:r>
      <w:r>
        <w:rPr>
          <w:rFonts w:hint="eastAsia" w:ascii="宋体" w:hAnsi="宋体"/>
          <w:bCs/>
          <w:sz w:val="44"/>
          <w:szCs w:val="44"/>
        </w:rPr>
        <w:t>)</w:t>
      </w:r>
    </w:p>
    <w:p w14:paraId="32C27136">
      <w:pPr>
        <w:autoSpaceDE w:val="0"/>
        <w:autoSpaceDN w:val="0"/>
        <w:adjustRightInd w:val="0"/>
        <w:ind w:firstLine="880"/>
        <w:outlineLvl w:val="0"/>
        <w:rPr>
          <w:rFonts w:ascii="黑体" w:hAnsi="黑体" w:eastAsia="黑体"/>
          <w:bCs/>
          <w:sz w:val="44"/>
          <w:szCs w:val="44"/>
        </w:rPr>
      </w:pPr>
      <w:r>
        <w:rPr>
          <w:rFonts w:hint="eastAsia" w:ascii="黑体" w:hAnsi="黑体" w:eastAsia="黑体"/>
          <w:bCs/>
          <w:sz w:val="44"/>
          <w:szCs w:val="44"/>
        </w:rPr>
        <w:t xml:space="preserve">         编制说明</w:t>
      </w:r>
    </w:p>
    <w:p w14:paraId="2B6A9507">
      <w:pPr>
        <w:autoSpaceDE w:val="0"/>
        <w:autoSpaceDN w:val="0"/>
        <w:adjustRightInd w:val="0"/>
        <w:ind w:firstLine="602"/>
        <w:jc w:val="center"/>
        <w:outlineLvl w:val="0"/>
        <w:rPr>
          <w:rFonts w:ascii="黑体" w:hAnsi="黑体" w:eastAsia="黑体"/>
          <w:b/>
          <w:bCs/>
          <w:sz w:val="30"/>
          <w:szCs w:val="30"/>
        </w:rPr>
      </w:pPr>
    </w:p>
    <w:p w14:paraId="0082C42F">
      <w:pPr>
        <w:autoSpaceDE w:val="0"/>
        <w:autoSpaceDN w:val="0"/>
        <w:adjustRightInd w:val="0"/>
        <w:ind w:firstLine="602"/>
        <w:jc w:val="center"/>
        <w:outlineLvl w:val="0"/>
        <w:rPr>
          <w:rFonts w:ascii="黑体" w:hAnsi="黑体" w:eastAsia="黑体"/>
          <w:b/>
          <w:bCs/>
          <w:sz w:val="30"/>
          <w:szCs w:val="30"/>
        </w:rPr>
      </w:pPr>
    </w:p>
    <w:p w14:paraId="23D55024">
      <w:pPr>
        <w:autoSpaceDE w:val="0"/>
        <w:autoSpaceDN w:val="0"/>
        <w:adjustRightInd w:val="0"/>
        <w:ind w:firstLine="602"/>
        <w:jc w:val="center"/>
        <w:outlineLvl w:val="0"/>
        <w:rPr>
          <w:rFonts w:ascii="黑体" w:hAnsi="黑体" w:eastAsia="黑体"/>
          <w:b/>
          <w:bCs/>
          <w:sz w:val="30"/>
          <w:szCs w:val="30"/>
        </w:rPr>
      </w:pPr>
    </w:p>
    <w:p w14:paraId="06B222D0">
      <w:pPr>
        <w:autoSpaceDE w:val="0"/>
        <w:autoSpaceDN w:val="0"/>
        <w:adjustRightInd w:val="0"/>
        <w:ind w:firstLine="0" w:firstLineChars="0"/>
        <w:outlineLvl w:val="0"/>
        <w:rPr>
          <w:rFonts w:ascii="黑体" w:hAnsi="黑体" w:eastAsia="黑体"/>
          <w:b/>
          <w:bCs/>
          <w:sz w:val="30"/>
          <w:szCs w:val="30"/>
        </w:rPr>
      </w:pPr>
    </w:p>
    <w:p w14:paraId="313AE0E4">
      <w:pPr>
        <w:autoSpaceDE w:val="0"/>
        <w:autoSpaceDN w:val="0"/>
        <w:adjustRightInd w:val="0"/>
        <w:ind w:firstLine="0" w:firstLineChars="0"/>
        <w:outlineLvl w:val="0"/>
        <w:rPr>
          <w:rFonts w:ascii="黑体" w:hAnsi="黑体" w:eastAsia="黑体"/>
          <w:b/>
          <w:bCs/>
          <w:sz w:val="30"/>
          <w:szCs w:val="30"/>
        </w:rPr>
      </w:pPr>
    </w:p>
    <w:p w14:paraId="144CCF47">
      <w:pPr>
        <w:autoSpaceDE w:val="0"/>
        <w:autoSpaceDN w:val="0"/>
        <w:adjustRightInd w:val="0"/>
        <w:ind w:firstLine="0" w:firstLineChars="0"/>
        <w:outlineLvl w:val="0"/>
        <w:rPr>
          <w:rFonts w:ascii="黑体" w:hAnsi="黑体" w:eastAsia="黑体"/>
          <w:b/>
          <w:bCs/>
          <w:sz w:val="30"/>
          <w:szCs w:val="30"/>
        </w:rPr>
      </w:pPr>
    </w:p>
    <w:p w14:paraId="20714D88">
      <w:pPr>
        <w:autoSpaceDE w:val="0"/>
        <w:autoSpaceDN w:val="0"/>
        <w:adjustRightInd w:val="0"/>
        <w:ind w:firstLine="560"/>
        <w:jc w:val="center"/>
        <w:outlineLvl w:val="0"/>
        <w:rPr>
          <w:rFonts w:hint="eastAsia"/>
        </w:rPr>
      </w:pPr>
    </w:p>
    <w:p w14:paraId="1B673A42">
      <w:pPr>
        <w:autoSpaceDE w:val="0"/>
        <w:autoSpaceDN w:val="0"/>
        <w:adjustRightInd w:val="0"/>
        <w:ind w:firstLine="560"/>
        <w:jc w:val="center"/>
        <w:outlineLvl w:val="0"/>
        <w:rPr>
          <w:rFonts w:hint="eastAsia"/>
        </w:rPr>
      </w:pPr>
      <w:sdt>
        <w:sdtPr>
          <w:tag w:val="NEW_STAND_NAME"/>
          <w:id w:val="147459501"/>
          <w:placeholder>
            <w:docPart w:val="{d4a75584-7196-43f6-92d1-9b1a38fba2d1}"/>
          </w:placeholder>
        </w:sdtPr>
        <w:sdtEndPr>
          <w:rPr>
            <w:rFonts w:hint="eastAsia"/>
          </w:rPr>
        </w:sdtEndPr>
        <w:sdtContent>
          <w:r>
            <w:rPr>
              <w:rFonts w:hint="eastAsia"/>
            </w:rPr>
            <w:t>老年房颤</w:t>
          </w:r>
          <w:r>
            <w:rPr>
              <w:rFonts w:hint="eastAsia"/>
              <w:lang w:val="en-US" w:eastAsia="zh-CN"/>
            </w:rPr>
            <w:t>的</w:t>
          </w:r>
          <w:r>
            <w:rPr>
              <w:rFonts w:hint="eastAsia"/>
            </w:rPr>
            <w:t>中西医结合治疗专家共识</w:t>
          </w:r>
        </w:sdtContent>
      </w:sdt>
      <w:r>
        <w:rPr>
          <w:rFonts w:hint="eastAsia"/>
        </w:rPr>
        <w:t>起草工作组</w:t>
      </w:r>
    </w:p>
    <w:p w14:paraId="148B3F84">
      <w:pPr>
        <w:autoSpaceDE w:val="0"/>
        <w:autoSpaceDN w:val="0"/>
        <w:adjustRightInd w:val="0"/>
        <w:ind w:firstLine="560"/>
        <w:jc w:val="center"/>
        <w:outlineLvl w:val="0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</w:p>
    <w:p w14:paraId="109FB1DE">
      <w:pPr>
        <w:autoSpaceDE w:val="0"/>
        <w:autoSpaceDN w:val="0"/>
        <w:adjustRightInd w:val="0"/>
        <w:ind w:firstLine="480"/>
        <w:jc w:val="center"/>
        <w:outlineLvl w:val="0"/>
        <w:rPr>
          <w:rFonts w:ascii="汉仪中黑简" w:eastAsia="汉仪中黑简"/>
          <w:b/>
          <w:sz w:val="36"/>
        </w:rPr>
      </w:pPr>
      <w:r>
        <w:rPr>
          <w:rFonts w:ascii="黑体" w:hAnsi="黑体" w:eastAsia="黑体"/>
          <w:bCs/>
          <w:sz w:val="24"/>
        </w:rPr>
        <w:br w:type="page"/>
      </w:r>
      <w:bookmarkEnd w:id="0"/>
      <w:bookmarkEnd w:id="1"/>
    </w:p>
    <w:p w14:paraId="6D85529F">
      <w:pPr>
        <w:autoSpaceDE w:val="0"/>
        <w:autoSpaceDN w:val="0"/>
        <w:adjustRightInd w:val="0"/>
        <w:ind w:firstLine="560"/>
        <w:jc w:val="left"/>
        <w:outlineLvl w:val="0"/>
        <w:rPr>
          <w:rFonts w:ascii="黑体" w:hAnsi="黑体" w:eastAsia="黑体"/>
          <w:szCs w:val="28"/>
        </w:rPr>
      </w:pPr>
      <w:r>
        <w:rPr>
          <w:rFonts w:ascii="黑体" w:hAnsi="黑体" w:eastAsia="黑体"/>
          <w:szCs w:val="28"/>
        </w:rPr>
        <w:t>一、工作简况</w:t>
      </w:r>
    </w:p>
    <w:p w14:paraId="789BE80C">
      <w:pPr>
        <w:autoSpaceDE w:val="0"/>
        <w:autoSpaceDN w:val="0"/>
        <w:adjustRightInd w:val="0"/>
        <w:ind w:firstLine="562"/>
        <w:jc w:val="left"/>
        <w:rPr>
          <w:rFonts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 xml:space="preserve">1. </w:t>
      </w:r>
      <w:r>
        <w:rPr>
          <w:rFonts w:ascii="宋体" w:hAnsi="宋体"/>
          <w:b/>
          <w:szCs w:val="28"/>
        </w:rPr>
        <w:t>任务来源</w:t>
      </w:r>
    </w:p>
    <w:p w14:paraId="3B87FFA7">
      <w:pPr>
        <w:ind w:firstLine="420" w:firstLineChars="150"/>
        <w:jc w:val="left"/>
        <w:rPr>
          <w:rFonts w:hint="eastAsia" w:ascii="宋体"/>
        </w:rPr>
      </w:pPr>
      <w:r>
        <w:rPr>
          <w:rFonts w:hint="eastAsia" w:ascii="宋体"/>
        </w:rPr>
        <w:t>本团体标准项目《</w:t>
      </w:r>
      <w:sdt>
        <w:sdtPr>
          <w:tag w:val="NEW_STAND_NAME"/>
          <w:id w:val="147453324"/>
          <w:placeholder>
            <w:docPart w:val="{8a2282fb-1ade-4696-8900-c9886b6974f4}"/>
          </w:placeholder>
        </w:sdtPr>
        <w:sdtEndPr>
          <w:rPr>
            <w:rFonts w:hint="eastAsia"/>
          </w:rPr>
        </w:sdtEndPr>
        <w:sdtContent>
          <w:r>
            <w:rPr>
              <w:rFonts w:hint="eastAsia"/>
            </w:rPr>
            <w:t>老年房颤</w:t>
          </w:r>
          <w:r>
            <w:rPr>
              <w:rFonts w:hint="eastAsia"/>
              <w:lang w:val="en-US" w:eastAsia="zh-CN"/>
            </w:rPr>
            <w:t>的</w:t>
          </w:r>
          <w:r>
            <w:rPr>
              <w:rFonts w:hint="eastAsia"/>
            </w:rPr>
            <w:t>中西医结合治疗专家共识</w:t>
          </w:r>
        </w:sdtContent>
      </w:sdt>
      <w:r>
        <w:rPr>
          <w:rFonts w:hint="eastAsia" w:ascii="宋体"/>
        </w:rPr>
        <w:t>》由中国</w:t>
      </w:r>
      <w:r>
        <w:rPr>
          <w:rFonts w:hint="eastAsia" w:ascii="宋体"/>
          <w:lang w:val="en-US" w:eastAsia="zh-CN"/>
        </w:rPr>
        <w:t>中医药研究促进会</w:t>
      </w:r>
      <w:r>
        <w:rPr>
          <w:rFonts w:hint="eastAsia" w:ascii="宋体"/>
        </w:rPr>
        <w:t>于202</w:t>
      </w:r>
      <w:r>
        <w:rPr>
          <w:rFonts w:hint="eastAsia" w:ascii="宋体"/>
          <w:lang w:val="en-US" w:eastAsia="zh-CN"/>
        </w:rPr>
        <w:t>5</w:t>
      </w:r>
      <w:r>
        <w:rPr>
          <w:rFonts w:hint="eastAsia" w:ascii="宋体"/>
        </w:rPr>
        <w:t>年</w:t>
      </w:r>
      <w:r>
        <w:rPr>
          <w:rFonts w:hint="eastAsia" w:ascii="宋体"/>
          <w:lang w:val="en-US" w:eastAsia="zh-CN"/>
        </w:rPr>
        <w:t>12月 12</w:t>
      </w:r>
      <w:r>
        <w:rPr>
          <w:rFonts w:hint="eastAsia" w:ascii="宋体"/>
        </w:rPr>
        <w:t>日审核批准立项并发布团体标准立项公告，本团体标准（以下简称本标准）由</w:t>
      </w:r>
      <w:r>
        <w:rPr>
          <w:rFonts w:hint="eastAsia" w:ascii="宋体"/>
          <w:lang w:val="en-US" w:eastAsia="zh-CN"/>
        </w:rPr>
        <w:t>陕西中医药大学第二附属医院</w:t>
      </w:r>
      <w:r>
        <w:rPr>
          <w:rFonts w:hint="eastAsia" w:ascii="宋体"/>
        </w:rPr>
        <w:t>提出，由中国</w:t>
      </w:r>
      <w:r>
        <w:rPr>
          <w:rFonts w:hint="eastAsia" w:ascii="宋体"/>
          <w:lang w:val="en-US" w:eastAsia="zh-CN"/>
        </w:rPr>
        <w:t>中医药研究促进会</w:t>
      </w:r>
      <w:r>
        <w:rPr>
          <w:rFonts w:hint="eastAsia" w:ascii="宋体"/>
        </w:rPr>
        <w:t>归口。</w:t>
      </w:r>
    </w:p>
    <w:p w14:paraId="1A69B758">
      <w:pPr>
        <w:numPr>
          <w:ilvl w:val="0"/>
          <w:numId w:val="2"/>
        </w:numPr>
        <w:autoSpaceDE w:val="0"/>
        <w:autoSpaceDN w:val="0"/>
        <w:adjustRightInd w:val="0"/>
        <w:ind w:left="0" w:leftChars="0" w:firstLine="562" w:firstLineChars="200"/>
        <w:jc w:val="left"/>
        <w:rPr>
          <w:rFonts w:hint="eastAsia"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>编制背景和意义</w:t>
      </w:r>
    </w:p>
    <w:p w14:paraId="3D9CD7C1">
      <w:pPr>
        <w:numPr>
          <w:ilvl w:val="0"/>
          <w:numId w:val="0"/>
        </w:numPr>
        <w:autoSpaceDE w:val="0"/>
        <w:autoSpaceDN w:val="0"/>
        <w:adjustRightInd w:val="0"/>
        <w:ind w:left="0" w:leftChars="0" w:firstLine="560" w:firstLineChars="200"/>
        <w:jc w:val="left"/>
        <w:rPr>
          <w:rFonts w:hint="default" w:ascii="宋体"/>
          <w:lang w:val="en-US" w:eastAsia="zh-CN"/>
        </w:rPr>
      </w:pPr>
      <w:r>
        <w:rPr>
          <w:rFonts w:hint="eastAsia" w:ascii="宋体"/>
        </w:rPr>
        <w:t>心房颤动</w:t>
      </w:r>
      <w:r>
        <w:rPr>
          <w:rFonts w:hint="eastAsia" w:ascii="宋体"/>
          <w:lang w:eastAsia="zh-CN"/>
        </w:rPr>
        <w:t>（</w:t>
      </w:r>
      <w:r>
        <w:rPr>
          <w:rFonts w:hint="eastAsia" w:ascii="宋体"/>
        </w:rPr>
        <w:t>房颤</w:t>
      </w:r>
      <w:r>
        <w:rPr>
          <w:rFonts w:hint="eastAsia" w:ascii="宋体"/>
          <w:lang w:eastAsia="zh-CN"/>
        </w:rPr>
        <w:t>）</w:t>
      </w:r>
      <w:r>
        <w:rPr>
          <w:rFonts w:hint="eastAsia" w:ascii="宋体"/>
        </w:rPr>
        <w:t>是指心房呈现无序电活动，导致心房机械功能出现障碍， 房颤是心血管死亡及全因死亡的独立危险因素，房颤最常见的并发症是脑卒  中、血栓栓塞及心力衰竭(简称心衰),也是房颤最严重的并发症。依据病因可分为瓣膜性房颤与非瓣膜性房颤。相关数据统计，我国成人房颤患病率为 0.7%～1.6%,其中非瓣膜性房颤占70%～80%</w:t>
      </w:r>
      <w:r>
        <w:rPr>
          <w:rFonts w:hint="eastAsia" w:ascii="宋体"/>
          <w:lang w:eastAsia="zh-CN"/>
        </w:rPr>
        <w:t>，</w:t>
      </w:r>
      <w:r>
        <w:rPr>
          <w:rFonts w:hint="eastAsia" w:ascii="宋体"/>
        </w:rPr>
        <w:t>且随年龄增长，房颤患病率急剧上升。中医认为</w:t>
      </w:r>
      <w:r>
        <w:rPr>
          <w:rFonts w:hint="eastAsia" w:ascii="宋体"/>
          <w:lang w:eastAsia="zh-CN"/>
        </w:rPr>
        <w:t>，</w:t>
      </w:r>
      <w:r>
        <w:rPr>
          <w:rFonts w:hint="eastAsia" w:ascii="宋体"/>
        </w:rPr>
        <w:t>房颤属于“心悸”“怔忡”范畴，其病机复杂，与心、肝、 脾、肾等脏腑均有关，在房颤的临床治疗中具有显著的疗效。中医药在房颤</w:t>
      </w:r>
      <w:r>
        <w:rPr>
          <w:rFonts w:hint="eastAsia" w:ascii="宋体"/>
          <w:lang w:val="en-US" w:eastAsia="zh-CN"/>
        </w:rPr>
        <w:t>治疗</w:t>
      </w:r>
      <w:r>
        <w:rPr>
          <w:rFonts w:hint="eastAsia" w:ascii="宋体"/>
        </w:rPr>
        <w:t>疗中的核心优势在于其“整体观念”与“多靶点干预”的整合效应，中医药通 过靶向电生理重构、抑制心房肌结构重构、调控神经内分泌与炎症、改善血管功能与血栓风险等多维度调控机制实现对房颤的协同治疗。中医药的“辨证论治”理念与现代医学的个体化治疗高度契合，基于对中医证候的精准分型，为复杂房颤患者的个体化管理提供了强有力的依据。目前国内有“老年心房颤动诊治中国专家共识”</w:t>
      </w:r>
      <w:r>
        <w:rPr>
          <w:rFonts w:hint="eastAsia" w:ascii="宋体"/>
          <w:lang w:eastAsia="zh-CN"/>
        </w:rPr>
        <w:t>，</w:t>
      </w:r>
      <w:r>
        <w:rPr>
          <w:rFonts w:hint="eastAsia" w:ascii="宋体"/>
        </w:rPr>
        <w:t>但都只涉及现代医学的治疗，没有中医和中西医结合治疗老年房颤的相关研究，对中西医结合治疗房颤的推广和用具有较高的研究意义和应用价值。</w:t>
      </w:r>
      <w:r>
        <w:rPr>
          <w:rFonts w:hint="eastAsia" w:ascii="宋体"/>
          <w:lang w:val="en-US" w:eastAsia="zh-CN"/>
        </w:rPr>
        <w:t>通过本共识的制定，能够明确老年房颤的诊断标准、辨证论治原则，提高临床疗效，改善患者的临床症状，提高生活质量，减轻患者、家庭及社会的经济和社会负担。</w:t>
      </w:r>
    </w:p>
    <w:p w14:paraId="4DB4D983">
      <w:pPr>
        <w:ind w:firstLine="422" w:firstLineChars="150"/>
        <w:jc w:val="left"/>
        <w:rPr>
          <w:rFonts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>3</w:t>
      </w:r>
      <w:r>
        <w:rPr>
          <w:rFonts w:ascii="宋体" w:hAnsi="宋体"/>
          <w:b/>
          <w:szCs w:val="28"/>
        </w:rPr>
        <w:t>. 工作过程</w:t>
      </w:r>
      <w:r>
        <w:rPr>
          <w:rFonts w:hint="eastAsia" w:ascii="宋体" w:hAnsi="宋体"/>
          <w:b/>
          <w:szCs w:val="28"/>
        </w:rPr>
        <w:t>及安排</w:t>
      </w:r>
    </w:p>
    <w:p w14:paraId="7D5C568D">
      <w:pPr>
        <w:autoSpaceDE w:val="0"/>
        <w:autoSpaceDN w:val="0"/>
        <w:adjustRightInd w:val="0"/>
        <w:ind w:firstLine="560"/>
        <w:jc w:val="left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1）标准立项</w:t>
      </w:r>
    </w:p>
    <w:p w14:paraId="4A953EB0">
      <w:pPr>
        <w:pStyle w:val="17"/>
        <w:snapToGrid w:val="0"/>
        <w:ind w:firstLine="560"/>
        <w:rPr>
          <w:rFonts w:ascii="Times New Roman" w:hAnsi="宋体" w:eastAsia="宋体" w:cs="Times New Roman"/>
          <w:kern w:val="2"/>
          <w:sz w:val="28"/>
          <w:szCs w:val="21"/>
          <w:lang w:val="en-US" w:eastAsia="zh-CN" w:bidi="ar-SA"/>
        </w:rPr>
      </w:pP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202</w:t>
      </w:r>
      <w:r>
        <w:rPr>
          <w:rFonts w:hint="eastAsia" w:hAnsi="宋体" w:cs="Times New Roman"/>
          <w:kern w:val="2"/>
          <w:sz w:val="28"/>
          <w:szCs w:val="21"/>
          <w:lang w:val="en-US" w:eastAsia="zh-CN" w:bidi="ar-SA"/>
        </w:rPr>
        <w:t>5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年</w:t>
      </w:r>
      <w:r>
        <w:rPr>
          <w:rFonts w:hint="eastAsia" w:hAnsi="宋体" w:cs="Times New Roman"/>
          <w:kern w:val="2"/>
          <w:sz w:val="28"/>
          <w:szCs w:val="21"/>
          <w:lang w:val="en-US" w:eastAsia="zh-CN" w:bidi="ar-SA"/>
        </w:rPr>
        <w:t>12月起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，通过开展大量文献分析、理论研究，</w:t>
      </w:r>
      <w:r>
        <w:rPr>
          <w:rFonts w:hint="eastAsia" w:hAnsi="宋体" w:cs="Times New Roman"/>
          <w:kern w:val="2"/>
          <w:sz w:val="28"/>
          <w:szCs w:val="21"/>
          <w:lang w:val="en-US" w:eastAsia="zh-CN" w:bidi="ar-SA"/>
        </w:rPr>
        <w:t>陕西中医药大学第二附属医院张欢主任医师牵头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完成了《</w:t>
      </w:r>
      <w:sdt>
        <w:sdtPr>
          <w:tag w:val="NEW_STAND_NAME"/>
          <w:id w:val="147451031"/>
          <w:placeholder>
            <w:docPart w:val="{8d811923-60d8-45dc-a70e-7bbbfbb2c1ca}"/>
          </w:placeholder>
        </w:sdtPr>
        <w:sdtEndPr>
          <w:rPr>
            <w:rFonts w:hint="eastAsia"/>
          </w:rPr>
        </w:sdtEndPr>
        <w:sdtContent>
          <w:sdt>
            <w:sdtPr>
              <w:tag w:val="NEW_STAND_NAME"/>
              <w:id w:val="147474281"/>
              <w:placeholder>
                <w:docPart w:val="{773db002-9c3d-4434-9b0e-fa52a2bc557a}"/>
              </w:placeholder>
            </w:sdtPr>
            <w:sdtEndPr>
              <w:rPr>
                <w:rFonts w:hint="eastAsia"/>
              </w:rPr>
            </w:sdtEndPr>
            <w:sdtContent>
              <w:r>
                <w:rPr>
                  <w:rFonts w:hint="eastAsia"/>
                </w:rPr>
                <w:t>老年房颤的中西医结合治疗专家共识</w:t>
              </w:r>
            </w:sdtContent>
          </w:sdt>
        </w:sdtContent>
      </w:sdt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》项目立项申请工作，</w:t>
      </w:r>
      <w:r>
        <w:rPr>
          <w:rFonts w:hint="eastAsia" w:ascii="宋体"/>
        </w:rPr>
        <w:t>中国</w:t>
      </w:r>
      <w:r>
        <w:rPr>
          <w:rFonts w:hint="eastAsia" w:ascii="宋体"/>
          <w:lang w:val="en-US" w:eastAsia="zh-CN"/>
        </w:rPr>
        <w:t>中医药研究促进会</w:t>
      </w:r>
      <w:r>
        <w:rPr>
          <w:rFonts w:ascii="Times New Roman" w:hAnsi="宋体" w:eastAsia="宋体" w:cs="Times New Roman"/>
          <w:kern w:val="2"/>
          <w:sz w:val="28"/>
          <w:szCs w:val="21"/>
          <w:lang w:val="en-US" w:eastAsia="zh-CN" w:bidi="ar-SA"/>
        </w:rPr>
        <w:t>组织了团体标准立项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评审</w:t>
      </w:r>
      <w:r>
        <w:rPr>
          <w:rFonts w:ascii="Times New Roman" w:hAnsi="宋体" w:eastAsia="宋体" w:cs="Times New Roman"/>
          <w:kern w:val="2"/>
          <w:sz w:val="28"/>
          <w:szCs w:val="21"/>
          <w:lang w:val="en-US" w:eastAsia="zh-CN" w:bidi="ar-SA"/>
        </w:rPr>
        <w:t>，经专家评议、研究论证，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经</w:t>
      </w:r>
      <w:r>
        <w:rPr>
          <w:rFonts w:hint="eastAsia" w:ascii="宋体"/>
        </w:rPr>
        <w:t>中国</w:t>
      </w:r>
      <w:r>
        <w:rPr>
          <w:rFonts w:hint="eastAsia" w:ascii="宋体"/>
          <w:lang w:val="en-US" w:eastAsia="zh-CN"/>
        </w:rPr>
        <w:t>中医药研究促进会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立项评估</w:t>
      </w:r>
      <w:r>
        <w:rPr>
          <w:rFonts w:ascii="Times New Roman" w:hAnsi="宋体" w:eastAsia="宋体" w:cs="Times New Roman"/>
          <w:kern w:val="2"/>
          <w:sz w:val="28"/>
          <w:szCs w:val="21"/>
          <w:lang w:val="en-US" w:eastAsia="zh-CN" w:bidi="ar-SA"/>
        </w:rPr>
        <w:t>通过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，于202</w:t>
      </w:r>
      <w:r>
        <w:rPr>
          <w:rFonts w:hint="eastAsia" w:hAnsi="宋体" w:cs="Times New Roman"/>
          <w:kern w:val="2"/>
          <w:sz w:val="28"/>
          <w:szCs w:val="21"/>
          <w:lang w:val="en-US" w:eastAsia="zh-CN" w:bidi="ar-SA"/>
        </w:rPr>
        <w:t>5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年</w:t>
      </w:r>
      <w:r>
        <w:rPr>
          <w:rFonts w:hint="eastAsia" w:hAnsi="宋体" w:cs="Times New Roman"/>
          <w:kern w:val="2"/>
          <w:sz w:val="28"/>
          <w:szCs w:val="21"/>
          <w:lang w:val="en-US" w:eastAsia="zh-CN" w:bidi="ar-SA"/>
        </w:rPr>
        <w:t>12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月</w:t>
      </w:r>
      <w:r>
        <w:rPr>
          <w:rFonts w:hint="eastAsia" w:hAnsi="宋体" w:cs="Times New Roman"/>
          <w:kern w:val="2"/>
          <w:sz w:val="28"/>
          <w:szCs w:val="21"/>
          <w:lang w:val="en-US" w:eastAsia="zh-CN" w:bidi="ar-SA"/>
        </w:rPr>
        <w:t>12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日发文批准团体标准立项。</w:t>
      </w:r>
    </w:p>
    <w:p w14:paraId="38E8F184">
      <w:pPr>
        <w:autoSpaceDE w:val="0"/>
        <w:autoSpaceDN w:val="0"/>
        <w:adjustRightInd w:val="0"/>
        <w:ind w:firstLine="560"/>
        <w:jc w:val="left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2）标准起草阶段</w:t>
      </w:r>
    </w:p>
    <w:p w14:paraId="22DDDB66">
      <w:pPr>
        <w:numPr>
          <w:ilvl w:val="0"/>
          <w:numId w:val="0"/>
        </w:numPr>
        <w:autoSpaceDE w:val="0"/>
        <w:autoSpaceDN w:val="0"/>
        <w:adjustRightInd w:val="0"/>
        <w:ind w:firstLine="560" w:firstLineChars="200"/>
        <w:jc w:val="left"/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</w:pPr>
      <w:r>
        <w:rPr>
          <w:rFonts w:hint="eastAsia" w:ascii="宋体" w:hAnsi="宋体"/>
          <w:szCs w:val="28"/>
        </w:rPr>
        <w:t>202</w:t>
      </w:r>
      <w:r>
        <w:rPr>
          <w:rFonts w:hint="eastAsia" w:ascii="宋体" w:hAnsi="宋体"/>
          <w:szCs w:val="28"/>
          <w:lang w:val="en-US" w:eastAsia="zh-CN"/>
        </w:rPr>
        <w:t>5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年</w:t>
      </w:r>
      <w:r>
        <w:rPr>
          <w:rFonts w:hint="eastAsia" w:hAnsi="宋体" w:cs="Times New Roman"/>
          <w:kern w:val="2"/>
          <w:sz w:val="28"/>
          <w:szCs w:val="21"/>
          <w:lang w:val="en-US" w:eastAsia="zh-CN" w:bidi="ar-SA"/>
        </w:rPr>
        <w:t>12月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，由</w:t>
      </w:r>
      <w:r>
        <w:rPr>
          <w:rFonts w:hint="eastAsia" w:hAnsi="宋体" w:cs="Times New Roman"/>
          <w:kern w:val="2"/>
          <w:sz w:val="28"/>
          <w:szCs w:val="21"/>
          <w:lang w:val="en-US" w:eastAsia="zh-CN" w:bidi="ar-SA"/>
        </w:rPr>
        <w:t>陕西中医药大学第二附属医院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组织召开</w:t>
      </w:r>
      <w:r>
        <w:rPr>
          <w:rFonts w:ascii="Times New Roman" w:hAnsi="宋体" w:eastAsia="宋体" w:cs="Times New Roman"/>
          <w:kern w:val="2"/>
          <w:sz w:val="28"/>
          <w:szCs w:val="21"/>
          <w:lang w:val="en-US" w:eastAsia="zh-CN" w:bidi="ar-SA"/>
        </w:rPr>
        <w:t>了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本项目团体</w:t>
      </w:r>
      <w:r>
        <w:rPr>
          <w:rFonts w:ascii="Times New Roman" w:hAnsi="宋体" w:eastAsia="宋体" w:cs="Times New Roman"/>
          <w:kern w:val="2"/>
          <w:sz w:val="28"/>
          <w:szCs w:val="21"/>
          <w:lang w:val="en-US" w:eastAsia="zh-CN" w:bidi="ar-SA"/>
        </w:rPr>
        <w:t>标准启动会，会议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上</w:t>
      </w:r>
      <w:r>
        <w:rPr>
          <w:rFonts w:ascii="Times New Roman" w:hAnsi="宋体" w:eastAsia="宋体" w:cs="Times New Roman"/>
          <w:kern w:val="2"/>
          <w:sz w:val="28"/>
          <w:szCs w:val="21"/>
          <w:lang w:val="en-US" w:eastAsia="zh-CN" w:bidi="ar-SA"/>
        </w:rPr>
        <w:t>成立了</w:t>
      </w:r>
      <w:r>
        <w:rPr>
          <w:rFonts w:hint="eastAsia" w:hAnsi="宋体" w:cs="Times New Roman"/>
          <w:kern w:val="2"/>
          <w:sz w:val="28"/>
          <w:szCs w:val="21"/>
          <w:lang w:val="en-US" w:eastAsia="zh-CN" w:bidi="ar-SA"/>
        </w:rPr>
        <w:t>由陕西中医药大学、陕西中医药大学第二附属医院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等单位组成的标准起草工作组，会议经与会单位充分讨论</w:t>
      </w:r>
      <w:r>
        <w:rPr>
          <w:rFonts w:ascii="Times New Roman" w:hAnsi="宋体" w:eastAsia="宋体" w:cs="Times New Roman"/>
          <w:kern w:val="2"/>
          <w:sz w:val="28"/>
          <w:szCs w:val="21"/>
          <w:lang w:val="en-US" w:eastAsia="zh-CN" w:bidi="ar-SA"/>
        </w:rPr>
        <w:t>确定</w:t>
      </w:r>
      <w:r>
        <w:rPr>
          <w:rFonts w:hint="eastAsia" w:hAnsi="宋体" w:cs="Times New Roman"/>
          <w:kern w:val="2"/>
          <w:sz w:val="28"/>
          <w:szCs w:val="21"/>
          <w:lang w:val="en-US" w:eastAsia="zh-CN" w:bidi="ar-SA"/>
        </w:rPr>
        <w:t>参考立项评审会专家意见修改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本</w:t>
      </w:r>
      <w:r>
        <w:rPr>
          <w:rFonts w:ascii="Times New Roman" w:hAnsi="宋体" w:eastAsia="宋体" w:cs="Times New Roman"/>
          <w:kern w:val="2"/>
          <w:sz w:val="28"/>
          <w:szCs w:val="21"/>
          <w:lang w:val="en-US" w:eastAsia="zh-CN" w:bidi="ar-SA"/>
        </w:rPr>
        <w:t>标准的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项目</w:t>
      </w:r>
      <w:r>
        <w:rPr>
          <w:rFonts w:ascii="Times New Roman" w:hAnsi="宋体" w:eastAsia="宋体" w:cs="Times New Roman"/>
          <w:kern w:val="2"/>
          <w:sz w:val="28"/>
          <w:szCs w:val="21"/>
          <w:lang w:val="en-US" w:eastAsia="zh-CN" w:bidi="ar-SA"/>
        </w:rPr>
        <w:t>名称</w:t>
      </w:r>
      <w:r>
        <w:rPr>
          <w:rFonts w:hint="eastAsia" w:hAnsi="宋体" w:cs="Times New Roman"/>
          <w:kern w:val="2"/>
          <w:sz w:val="28"/>
          <w:szCs w:val="21"/>
          <w:lang w:val="en-US" w:eastAsia="zh-CN" w:bidi="ar-SA"/>
        </w:rPr>
        <w:t>为</w:t>
      </w:r>
      <w:sdt>
        <w:sdtPr>
          <w:tag w:val="NEW_STAND_NAME"/>
          <w:id w:val="147452446"/>
          <w:placeholder>
            <w:docPart w:val="{aab0cf4f-ecd2-44b7-b2e4-7e7974d9a578}"/>
          </w:placeholder>
        </w:sdtPr>
        <w:sdtEndPr>
          <w:rPr>
            <w:rFonts w:hint="eastAsia"/>
          </w:rPr>
        </w:sdtEndPr>
        <w:sdtContent>
          <w:r>
            <w:rPr>
              <w:rFonts w:hint="eastAsia"/>
              <w:lang w:val="en-US" w:eastAsia="zh-CN"/>
            </w:rPr>
            <w:t>《</w:t>
          </w:r>
          <w:sdt>
            <w:sdtPr>
              <w:tag w:val="NEW_STAND_NAME"/>
              <w:id w:val="147453430"/>
              <w:placeholder>
                <w:docPart w:val="{e2b6964f-ed91-4781-830f-f40af64f97f3}"/>
              </w:placeholder>
            </w:sdtPr>
            <w:sdtEndPr>
              <w:rPr>
                <w:rFonts w:hint="eastAsia"/>
              </w:rPr>
            </w:sdtEndPr>
            <w:sdtContent>
              <w:r>
                <w:rPr>
                  <w:rFonts w:hint="eastAsia"/>
                </w:rPr>
                <w:t>老年房颤</w:t>
              </w:r>
              <w:r>
                <w:rPr>
                  <w:rFonts w:hint="eastAsia"/>
                  <w:lang w:val="en-US" w:eastAsia="zh-CN"/>
                </w:rPr>
                <w:t>的</w:t>
              </w:r>
              <w:r>
                <w:rPr>
                  <w:rFonts w:hint="eastAsia"/>
                </w:rPr>
                <w:t>中西医结合治疗专家共识</w:t>
              </w:r>
            </w:sdtContent>
          </w:sdt>
        </w:sdtContent>
      </w:sdt>
      <w:r>
        <w:rPr>
          <w:rFonts w:hint="eastAsia" w:ascii="宋体"/>
        </w:rPr>
        <w:t>》</w:t>
      </w:r>
      <w:r>
        <w:rPr>
          <w:rFonts w:hint="eastAsia" w:ascii="宋体"/>
          <w:lang w:val="en-US" w:eastAsia="zh-CN"/>
        </w:rPr>
        <w:t>并确定了本指南的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主要内容及框架结构。</w:t>
      </w:r>
    </w:p>
    <w:p w14:paraId="6E885915">
      <w:pPr>
        <w:numPr>
          <w:ilvl w:val="0"/>
          <w:numId w:val="0"/>
        </w:numPr>
        <w:adjustRightInd w:val="0"/>
        <w:snapToGrid w:val="0"/>
        <w:spacing w:line="360" w:lineRule="auto"/>
        <w:ind w:firstLine="560" w:firstLineChars="200"/>
        <w:rPr>
          <w:rFonts w:hint="default"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</w:pPr>
      <w:r>
        <w:rPr>
          <w:rFonts w:hint="eastAsia"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标准启动会后标准起草组</w:t>
      </w:r>
      <w:r>
        <w:rPr>
          <w:rFonts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开展了标准</w:t>
      </w:r>
      <w:r>
        <w:rPr>
          <w:rFonts w:hint="eastAsia"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文本</w:t>
      </w:r>
      <w:r>
        <w:rPr>
          <w:rFonts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的</w:t>
      </w:r>
      <w:r>
        <w:rPr>
          <w:rFonts w:hint="eastAsia"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相关文献</w:t>
      </w:r>
      <w:r>
        <w:rPr>
          <w:rFonts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采集</w:t>
      </w:r>
      <w:r>
        <w:rPr>
          <w:rFonts w:hint="eastAsia"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分析</w:t>
      </w:r>
      <w:r>
        <w:rPr>
          <w:rFonts w:hint="eastAsia" w:ascii="Helvetica" w:hAnsi="Helvetica" w:cs="Helvetica"/>
          <w:color w:val="000000"/>
          <w:kern w:val="2"/>
          <w:sz w:val="28"/>
          <w:szCs w:val="24"/>
          <w:lang w:val="en-US" w:eastAsia="zh-CN" w:bidi="ar-SA"/>
        </w:rPr>
        <w:t>，对老年房颤的西医研究进展进行系统梳理，明确了老年房颤（心悸）</w:t>
      </w:r>
      <w:r>
        <w:rPr>
          <w:rFonts w:hint="eastAsia"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的中医证候诊断、辨证论治</w:t>
      </w:r>
      <w:r>
        <w:rPr>
          <w:rFonts w:hint="eastAsia" w:ascii="Helvetica" w:hAnsi="Helvetica" w:cs="Helvetica"/>
          <w:color w:val="000000"/>
          <w:kern w:val="2"/>
          <w:sz w:val="28"/>
          <w:szCs w:val="24"/>
          <w:lang w:val="en-US" w:eastAsia="zh-CN" w:bidi="ar-SA"/>
        </w:rPr>
        <w:t>等内容，初步形成了</w:t>
      </w:r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《</w:t>
      </w:r>
      <w:sdt>
        <w:sdtPr>
          <w:tag w:val="NEW_STAND_NAME"/>
          <w:id w:val="147472920"/>
          <w:placeholder>
            <w:docPart w:val="{420f05a9-f508-403e-afb3-ef1793ef9fb9}"/>
          </w:placeholder>
        </w:sdtPr>
        <w:sdtEndPr>
          <w:rPr>
            <w:rFonts w:hint="eastAsia"/>
          </w:rPr>
        </w:sdtEndPr>
        <w:sdtContent>
          <w:sdt>
            <w:sdtPr>
              <w:tag w:val="NEW_STAND_NAME"/>
              <w:id w:val="147472398"/>
              <w:placeholder>
                <w:docPart w:val="{631be875-4780-45d0-ba63-3d33a4afe10d}"/>
              </w:placeholder>
            </w:sdtPr>
            <w:sdtEndPr>
              <w:rPr>
                <w:rFonts w:hint="eastAsia"/>
              </w:rPr>
            </w:sdtEndPr>
            <w:sdtContent>
              <w:sdt>
                <w:sdtPr>
                  <w:tag w:val="NEW_STAND_NAME"/>
                  <w:id w:val="147455850"/>
                  <w:placeholder>
                    <w:docPart w:val="{8b67e69f-fe6a-4f18-9389-df14830bf123}"/>
                  </w:placeholder>
                </w:sdtPr>
                <w:sdtEndPr>
                  <w:rPr>
                    <w:rFonts w:hint="eastAsia"/>
                  </w:rPr>
                </w:sdtEndPr>
                <w:sdtContent>
                  <w:r>
                    <w:rPr>
                      <w:rFonts w:hint="eastAsia"/>
                    </w:rPr>
                    <w:t>老年房颤</w:t>
                  </w:r>
                  <w:r>
                    <w:rPr>
                      <w:rFonts w:hint="eastAsia"/>
                      <w:lang w:val="en-US" w:eastAsia="zh-CN"/>
                    </w:rPr>
                    <w:t>的</w:t>
                  </w:r>
                  <w:r>
                    <w:rPr>
                      <w:rFonts w:hint="eastAsia"/>
                    </w:rPr>
                    <w:t>中西医结合治疗专家共识</w:t>
                  </w:r>
                </w:sdtContent>
              </w:sdt>
            </w:sdtContent>
          </w:sdt>
        </w:sdtContent>
      </w:sdt>
      <w:r>
        <w:rPr>
          <w:rFonts w:hint="eastAsia" w:ascii="Times New Roman" w:hAnsi="宋体" w:eastAsia="宋体" w:cs="Times New Roman"/>
          <w:kern w:val="2"/>
          <w:sz w:val="28"/>
          <w:szCs w:val="21"/>
          <w:lang w:val="en-US" w:eastAsia="zh-CN" w:bidi="ar-SA"/>
        </w:rPr>
        <w:t>》</w:t>
      </w:r>
      <w:r>
        <w:rPr>
          <w:rFonts w:hint="eastAsia" w:hAnsi="宋体" w:cs="Times New Roman"/>
          <w:kern w:val="2"/>
          <w:sz w:val="28"/>
          <w:szCs w:val="21"/>
          <w:lang w:val="en-US" w:eastAsia="zh-CN" w:bidi="ar-SA"/>
        </w:rPr>
        <w:t>草案。</w:t>
      </w:r>
    </w:p>
    <w:p w14:paraId="640603E0">
      <w:pPr>
        <w:numPr>
          <w:ilvl w:val="0"/>
          <w:numId w:val="0"/>
        </w:numPr>
        <w:adjustRightInd w:val="0"/>
        <w:snapToGrid w:val="0"/>
        <w:spacing w:line="360" w:lineRule="auto"/>
        <w:ind w:firstLine="560" w:firstLineChars="200"/>
        <w:rPr>
          <w:rFonts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</w:pPr>
      <w:r>
        <w:rPr>
          <w:rFonts w:hint="eastAsia"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标准编制期间召开了标准起草工作会议，积极了解吸纳起草组参与单位的研究及应用成果，并在发起单位</w:t>
      </w:r>
      <w:r>
        <w:rPr>
          <w:rFonts w:hint="eastAsia" w:ascii="Helvetica" w:hAnsi="Helvetica" w:cs="Helvetica"/>
          <w:color w:val="000000"/>
          <w:kern w:val="2"/>
          <w:sz w:val="28"/>
          <w:szCs w:val="24"/>
          <w:lang w:val="en-US" w:eastAsia="zh-CN" w:bidi="ar-SA"/>
        </w:rPr>
        <w:t>陕西中医药大学第二附属医院</w:t>
      </w:r>
      <w:r>
        <w:rPr>
          <w:rFonts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的</w:t>
      </w:r>
      <w:r>
        <w:rPr>
          <w:rFonts w:hint="eastAsia"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统一指导下，标准起草工作组成员</w:t>
      </w:r>
      <w:r>
        <w:rPr>
          <w:rFonts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单位</w:t>
      </w:r>
      <w:r>
        <w:rPr>
          <w:rFonts w:hint="eastAsia"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对标准文本内容经过了多次修改完善并与有关</w:t>
      </w:r>
      <w:r>
        <w:rPr>
          <w:rFonts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专家</w:t>
      </w:r>
      <w:r>
        <w:rPr>
          <w:rFonts w:hint="eastAsia"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进行了多次沟通及咨询，在此基础上形成了标准征求意见稿及编制说明</w:t>
      </w:r>
      <w:r>
        <w:rPr>
          <w:rFonts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等附件，提交</w:t>
      </w:r>
      <w:r>
        <w:rPr>
          <w:rFonts w:hint="eastAsia"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中国中医药研究促进会</w:t>
      </w:r>
      <w:r>
        <w:rPr>
          <w:rFonts w:ascii="Helvetica" w:hAnsi="Helvetica" w:eastAsia="宋体" w:cs="Helvetica"/>
          <w:color w:val="000000"/>
          <w:kern w:val="2"/>
          <w:sz w:val="28"/>
          <w:szCs w:val="24"/>
          <w:lang w:val="en-US" w:eastAsia="zh-CN" w:bidi="ar-SA"/>
        </w:rPr>
        <w:t>对外征求意见。</w:t>
      </w:r>
    </w:p>
    <w:p w14:paraId="1DEFC95C">
      <w:pPr>
        <w:ind w:firstLine="560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3）征求意见阶段</w:t>
      </w:r>
    </w:p>
    <w:p w14:paraId="761DDCE8">
      <w:pPr>
        <w:ind w:firstLine="560"/>
        <w:rPr>
          <w:rFonts w:ascii="宋体" w:hAnsi="宋体"/>
          <w:szCs w:val="28"/>
        </w:rPr>
      </w:pPr>
      <w:r>
        <w:rPr>
          <w:rFonts w:ascii="宋体" w:hAnsi="宋体"/>
          <w:szCs w:val="28"/>
        </w:rPr>
        <w:t>…</w:t>
      </w:r>
    </w:p>
    <w:p w14:paraId="6B6D40CB">
      <w:pPr>
        <w:ind w:firstLine="560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4）召开审查会</w:t>
      </w:r>
    </w:p>
    <w:p w14:paraId="77A561C2">
      <w:pPr>
        <w:ind w:firstLine="560"/>
        <w:rPr>
          <w:rFonts w:ascii="宋体" w:hAnsi="宋体"/>
          <w:szCs w:val="28"/>
        </w:rPr>
      </w:pPr>
      <w:r>
        <w:rPr>
          <w:rFonts w:ascii="宋体" w:hAnsi="宋体"/>
          <w:szCs w:val="28"/>
        </w:rPr>
        <w:t>…</w:t>
      </w:r>
    </w:p>
    <w:p w14:paraId="7C6C2F0B">
      <w:pPr>
        <w:ind w:firstLine="560"/>
        <w:rPr>
          <w:rFonts w:ascii="宋体" w:hAnsi="宋体"/>
          <w:szCs w:val="28"/>
        </w:rPr>
      </w:pPr>
      <w:r>
        <w:rPr>
          <w:rFonts w:ascii="宋体" w:hAnsi="宋体"/>
          <w:szCs w:val="28"/>
        </w:rPr>
        <w:t>5）标准报批</w:t>
      </w:r>
    </w:p>
    <w:p w14:paraId="62949E19">
      <w:pPr>
        <w:ind w:firstLine="560"/>
        <w:rPr>
          <w:rFonts w:ascii="宋体" w:hAnsi="宋体"/>
          <w:szCs w:val="28"/>
        </w:rPr>
      </w:pPr>
      <w:r>
        <w:rPr>
          <w:rFonts w:ascii="宋体" w:hAnsi="宋体"/>
          <w:szCs w:val="28"/>
        </w:rPr>
        <w:t>…</w:t>
      </w:r>
    </w:p>
    <w:p w14:paraId="2B2194AA">
      <w:pPr>
        <w:ind w:firstLine="560"/>
        <w:rPr>
          <w:rFonts w:hint="default" w:eastAsia="宋体"/>
          <w:lang w:val="en-US" w:eastAsia="zh-CN"/>
        </w:rPr>
      </w:pPr>
      <w:r>
        <w:rPr>
          <w:rFonts w:hint="eastAsia"/>
        </w:rPr>
        <w:t xml:space="preserve">4. </w:t>
      </w:r>
      <w:r>
        <w:rPr>
          <w:rFonts w:hint="eastAsia"/>
          <w:b/>
        </w:rPr>
        <w:t>起草单位</w:t>
      </w:r>
      <w:r>
        <w:rPr>
          <w:rFonts w:hint="eastAsia"/>
          <w:b/>
          <w:lang w:val="en-US" w:eastAsia="zh-CN"/>
        </w:rPr>
        <w:t>及参与专家</w:t>
      </w:r>
    </w:p>
    <w:p w14:paraId="0B687E24">
      <w:pPr>
        <w:rPr>
          <w:rFonts w:hint="eastAsia"/>
          <w:sz w:val="28"/>
          <w:szCs w:val="28"/>
        </w:rPr>
      </w:pPr>
      <w:r>
        <w:rPr>
          <w:rFonts w:hint="eastAsia"/>
        </w:rPr>
        <w:t>1）本标准</w:t>
      </w:r>
      <w:r>
        <w:rPr>
          <w:rFonts w:hint="eastAsia"/>
          <w:lang w:val="en-US" w:eastAsia="zh-CN"/>
        </w:rPr>
        <w:t>发起</w:t>
      </w:r>
      <w:r>
        <w:t>单位</w:t>
      </w:r>
      <w:r>
        <w:rPr>
          <w:rFonts w:hint="eastAsia"/>
          <w:lang w:val="en-US" w:eastAsia="zh-CN"/>
        </w:rPr>
        <w:t>为</w:t>
      </w:r>
      <w:r>
        <w:rPr>
          <w:rFonts w:hint="eastAsia"/>
          <w:sz w:val="28"/>
          <w:szCs w:val="28"/>
          <w:lang w:val="en-US" w:eastAsia="zh-CN"/>
        </w:rPr>
        <w:t>陕西中医药大学第二附属医院</w:t>
      </w:r>
    </w:p>
    <w:p w14:paraId="52DC121B">
      <w:pPr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</w:rPr>
        <w:t>2）本标准主要起草人</w:t>
      </w:r>
      <w:r>
        <w:rPr>
          <w:rFonts w:hint="eastAsia"/>
          <w:lang w:val="en-US" w:eastAsia="zh-CN"/>
        </w:rPr>
        <w:t>包括</w:t>
      </w:r>
      <w:r>
        <w:rPr>
          <w:rFonts w:hint="eastAsia"/>
          <w:sz w:val="28"/>
          <w:szCs w:val="28"/>
          <w:lang w:val="en-US" w:eastAsia="zh-CN"/>
        </w:rPr>
        <w:t>张欢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  <w:lang w:val="en-US" w:eastAsia="zh-CN"/>
        </w:rPr>
        <w:t>陕西中医药大学第二附属医院</w:t>
      </w:r>
      <w:r>
        <w:rPr>
          <w:rFonts w:hint="eastAsia"/>
          <w:sz w:val="28"/>
          <w:szCs w:val="28"/>
        </w:rPr>
        <w:t>）、</w:t>
      </w:r>
      <w:r>
        <w:rPr>
          <w:rFonts w:hint="eastAsia"/>
          <w:sz w:val="28"/>
          <w:szCs w:val="28"/>
          <w:lang w:val="en-US" w:eastAsia="zh-CN"/>
        </w:rPr>
        <w:t>齐婧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  <w:lang w:val="en-US" w:eastAsia="zh-CN"/>
        </w:rPr>
        <w:t>贵州中医药大学、陕西中医药大学第二附属医院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  <w:lang w:val="en-US" w:eastAsia="zh-CN"/>
        </w:rPr>
        <w:t>苏谨（郑州大学第一附属医院）、丁世平（郑州</w:t>
      </w:r>
      <w:bookmarkStart w:id="2" w:name="_GoBack"/>
      <w:bookmarkEnd w:id="2"/>
      <w:r>
        <w:rPr>
          <w:rFonts w:hint="eastAsia"/>
          <w:sz w:val="28"/>
          <w:szCs w:val="28"/>
          <w:lang w:val="en-US" w:eastAsia="zh-CN"/>
        </w:rPr>
        <w:t>市中医院(郑州中医针灸研究院发展中心））、聂安政（郑州大学第一附属医院）、田刚（河南省人民医院）、张文宗（河南省中医院）、尹德春（哈尔滨医科大学第一附属医院）、张鹏（徐州市中心医院）、郝艳娇（陕西中医药大学第二附属医院）、李雪萍（成都中医药大学附属医院）、王戈（北京中医药大学第三附属医院）、刘学政（天津中医药大学第一附属医院）、罗斌（北京中医药大学第三附属医院）、刘大胜（中国中医科学院中医临床基础医学研究所）、任惠锋（陕西中医药大学第二附属医院）、刘明贺（解放军总医院第三医学中心）、白皛（解放军总医院第三医学中心）</w:t>
      </w:r>
    </w:p>
    <w:p w14:paraId="06F5397C">
      <w:pPr>
        <w:autoSpaceDE w:val="0"/>
        <w:autoSpaceDN w:val="0"/>
        <w:adjustRightInd w:val="0"/>
        <w:ind w:firstLine="560"/>
        <w:jc w:val="left"/>
        <w:outlineLvl w:val="0"/>
        <w:rPr>
          <w:rFonts w:ascii="黑体" w:hAnsi="黑体" w:eastAsia="黑体"/>
          <w:szCs w:val="28"/>
        </w:rPr>
      </w:pPr>
      <w:r>
        <w:rPr>
          <w:rFonts w:ascii="黑体" w:hAnsi="黑体" w:eastAsia="黑体"/>
          <w:szCs w:val="28"/>
        </w:rPr>
        <w:t>二、标准技术内容</w:t>
      </w:r>
    </w:p>
    <w:p w14:paraId="2E75395A">
      <w:pPr>
        <w:ind w:firstLine="562"/>
        <w:rPr>
          <w:rFonts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>1.标准编制文件依据</w:t>
      </w:r>
    </w:p>
    <w:p w14:paraId="487E5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92" w:beforeLines="50"/>
        <w:ind w:firstLine="560"/>
        <w:textAlignment w:val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本标准为新制定标准，标准编制时主要依据：本标准草案的编写格式按照新发布的GB/T 1.1-2020《标准化工作导则 第1部分：标准化文件的结构和起草规则》起草。</w:t>
      </w:r>
    </w:p>
    <w:p w14:paraId="19D72A1E">
      <w:pPr>
        <w:autoSpaceDE w:val="0"/>
        <w:autoSpaceDN w:val="0"/>
        <w:adjustRightInd w:val="0"/>
        <w:ind w:firstLine="562"/>
        <w:jc w:val="left"/>
        <w:rPr>
          <w:rFonts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>2.技术内容说明</w:t>
      </w:r>
    </w:p>
    <w:p w14:paraId="716EC5ED">
      <w:pPr>
        <w:autoSpaceDE w:val="0"/>
        <w:autoSpaceDN w:val="0"/>
        <w:adjustRightInd w:val="0"/>
        <w:ind w:firstLine="562"/>
        <w:jc w:val="left"/>
        <w:rPr>
          <w:rFonts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>2.1 范围</w:t>
      </w:r>
    </w:p>
    <w:p w14:paraId="0FCD35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560" w:firstLineChars="200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本共识适用于60周岁以上心房颤动人群的中西医结合诊治。</w:t>
      </w:r>
    </w:p>
    <w:p w14:paraId="377A3E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560" w:firstLineChars="200"/>
        <w:textAlignment w:val="auto"/>
        <w:rPr>
          <w:rFonts w:hint="eastAsia" w:eastAsia="宋体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本共识适合心血管内科、中医科、中西医结合科、全科医学科、老年病科相关科室临床医师使用。</w:t>
      </w:r>
    </w:p>
    <w:p w14:paraId="7F0C3A20">
      <w:pPr>
        <w:pStyle w:val="17"/>
        <w:numPr>
          <w:ilvl w:val="1"/>
          <w:numId w:val="3"/>
        </w:numPr>
        <w:autoSpaceDE w:val="0"/>
        <w:autoSpaceDN w:val="0"/>
        <w:adjustRightInd w:val="0"/>
        <w:ind w:firstLineChars="0"/>
        <w:jc w:val="left"/>
        <w:rPr>
          <w:rFonts w:ascii="宋体" w:hAnsi="宋体"/>
          <w:b/>
          <w:szCs w:val="28"/>
        </w:rPr>
      </w:pPr>
      <w:r>
        <w:rPr>
          <w:rFonts w:hint="eastAsia" w:ascii="宋体" w:hAnsi="宋体"/>
          <w:b/>
          <w:szCs w:val="28"/>
        </w:rPr>
        <w:t xml:space="preserve"> 术语定义</w:t>
      </w:r>
    </w:p>
    <w:p w14:paraId="18734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92" w:beforeLines="50"/>
        <w:ind w:firstLine="560"/>
        <w:textAlignment w:val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本标准对</w:t>
      </w:r>
      <w:r>
        <w:rPr>
          <w:rFonts w:hint="default" w:ascii="Times New Roman" w:hAnsi="Times New Roman" w:cs="Times New Roman"/>
        </w:rPr>
        <w:t>老年房颤</w:t>
      </w:r>
      <w:r>
        <w:rPr>
          <w:rFonts w:hint="eastAsia" w:cs="Times New Roman"/>
          <w:lang w:val="en-US" w:eastAsia="zh-CN"/>
        </w:rPr>
        <w:t>的</w:t>
      </w:r>
      <w:r>
        <w:rPr>
          <w:rFonts w:hint="eastAsia" w:eastAsia="宋体"/>
          <w:lang w:val="en-US" w:eastAsia="zh-CN"/>
        </w:rPr>
        <w:t>术语做了界定表述。</w:t>
      </w:r>
    </w:p>
    <w:p w14:paraId="696BF228">
      <w:pPr>
        <w:tabs>
          <w:tab w:val="left" w:pos="1275"/>
        </w:tabs>
        <w:ind w:firstLine="562"/>
        <w:rPr>
          <w:rFonts w:hint="default" w:asciiTheme="minorEastAsia" w:hAnsiTheme="minorEastAsia" w:eastAsiaTheme="minorEastAsia"/>
          <w:b/>
          <w:lang w:val="en-US" w:eastAsia="zh-CN"/>
        </w:rPr>
      </w:pPr>
      <w:r>
        <w:rPr>
          <w:rFonts w:hint="eastAsia" w:asciiTheme="minorEastAsia" w:hAnsiTheme="minorEastAsia" w:eastAsiaTheme="minorEastAsia"/>
          <w:b/>
          <w:lang w:val="en-US" w:eastAsia="zh-CN"/>
        </w:rPr>
        <w:t>3</w:t>
      </w:r>
      <w:r>
        <w:rPr>
          <w:rFonts w:hint="eastAsia" w:asciiTheme="minorEastAsia" w:hAnsiTheme="minorEastAsia" w:eastAsiaTheme="minorEastAsia"/>
          <w:b/>
        </w:rPr>
        <w:t xml:space="preserve"> </w:t>
      </w:r>
      <w:r>
        <w:rPr>
          <w:rFonts w:hint="eastAsia" w:asciiTheme="minorEastAsia" w:hAnsiTheme="minorEastAsia" w:eastAsiaTheme="minorEastAsia"/>
          <w:b/>
          <w:lang w:val="en-US" w:eastAsia="zh-CN"/>
        </w:rPr>
        <w:t>诊断标准</w:t>
      </w:r>
    </w:p>
    <w:p w14:paraId="1EFD7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92" w:beforeLines="50"/>
        <w:ind w:firstLine="560"/>
        <w:textAlignment w:val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对</w:t>
      </w:r>
      <w:r>
        <w:rPr>
          <w:rFonts w:hint="default" w:eastAsia="宋体"/>
          <w:lang w:val="en-US" w:eastAsia="zh-CN"/>
        </w:rPr>
        <w:t>老年房颤</w:t>
      </w:r>
      <w:r>
        <w:rPr>
          <w:rFonts w:hint="eastAsia" w:eastAsia="宋体"/>
          <w:lang w:val="en-US" w:eastAsia="zh-CN"/>
        </w:rPr>
        <w:t>的分类、特点、临床表现、</w:t>
      </w:r>
      <w:r>
        <w:rPr>
          <w:rFonts w:hint="eastAsia"/>
          <w:lang w:val="en-US" w:eastAsia="zh-CN"/>
        </w:rPr>
        <w:t>常见危险因素管理、</w:t>
      </w:r>
      <w:r>
        <w:rPr>
          <w:rFonts w:hint="eastAsia" w:eastAsia="宋体"/>
          <w:lang w:val="en-US" w:eastAsia="zh-CN"/>
        </w:rPr>
        <w:t>实验室检查、管理</w:t>
      </w:r>
      <w:r>
        <w:rPr>
          <w:rFonts w:hint="eastAsia"/>
          <w:lang w:val="en-US" w:eastAsia="zh-CN"/>
        </w:rPr>
        <w:t>策略</w:t>
      </w:r>
      <w:r>
        <w:rPr>
          <w:rFonts w:hint="eastAsia" w:eastAsia="宋体"/>
          <w:lang w:val="en-US" w:eastAsia="zh-CN"/>
        </w:rPr>
        <w:t>、西医治疗、中医证候诊断标准、辨证论治</w:t>
      </w:r>
      <w:r>
        <w:rPr>
          <w:rFonts w:hint="eastAsia"/>
          <w:lang w:val="en-US" w:eastAsia="zh-CN"/>
        </w:rPr>
        <w:t>、预防与调摄</w:t>
      </w:r>
      <w:r>
        <w:rPr>
          <w:rFonts w:hint="eastAsia" w:eastAsia="宋体"/>
          <w:lang w:val="en-US" w:eastAsia="zh-CN"/>
        </w:rPr>
        <w:t>等做了规定。</w:t>
      </w:r>
    </w:p>
    <w:p w14:paraId="196B1FB4">
      <w:pPr>
        <w:tabs>
          <w:tab w:val="left" w:pos="1275"/>
        </w:tabs>
        <w:ind w:firstLine="560" w:firstLineChars="0"/>
        <w:rPr>
          <w:rFonts w:hint="default"/>
          <w:position w:val="-24"/>
          <w:lang w:val="en-US" w:eastAsia="zh-CN"/>
        </w:rPr>
      </w:pPr>
      <w:r>
        <w:rPr>
          <w:rFonts w:hint="eastAsia" w:asciiTheme="minorEastAsia" w:hAnsiTheme="minorEastAsia" w:eastAsiaTheme="minorEastAsia"/>
          <w:b/>
          <w:lang w:val="en-US" w:eastAsia="zh-CN"/>
        </w:rPr>
        <w:t>4. 辨证分型</w:t>
      </w:r>
    </w:p>
    <w:p w14:paraId="191420AB">
      <w:pPr>
        <w:numPr>
          <w:ilvl w:val="0"/>
          <w:numId w:val="0"/>
        </w:numPr>
        <w:adjustRightInd w:val="0"/>
        <w:snapToGrid w:val="0"/>
        <w:spacing w:line="360" w:lineRule="auto"/>
        <w:ind w:firstLine="560" w:firstLineChars="20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对气阴两虚证</w:t>
      </w:r>
      <w:r>
        <w:rPr>
          <w:rFonts w:hint="eastAsia"/>
          <w:lang w:val="en-US" w:eastAsia="zh-CN"/>
        </w:rPr>
        <w:t>、</w:t>
      </w:r>
      <w:r>
        <w:rPr>
          <w:rFonts w:hint="eastAsia" w:eastAsia="宋体"/>
          <w:lang w:val="en-US" w:eastAsia="zh-CN"/>
        </w:rPr>
        <w:t>心脾两虚证</w:t>
      </w:r>
      <w:r>
        <w:rPr>
          <w:rFonts w:hint="eastAsia"/>
          <w:lang w:val="en-US" w:eastAsia="zh-CN"/>
        </w:rPr>
        <w:t>、</w:t>
      </w:r>
      <w:r>
        <w:rPr>
          <w:rFonts w:hint="eastAsia" w:eastAsia="宋体"/>
          <w:lang w:val="en-US" w:eastAsia="zh-CN"/>
        </w:rPr>
        <w:t>痰热内扰证</w:t>
      </w:r>
      <w:r>
        <w:rPr>
          <w:rFonts w:hint="eastAsia"/>
          <w:lang w:val="en-US" w:eastAsia="zh-CN"/>
        </w:rPr>
        <w:t>、</w:t>
      </w:r>
      <w:r>
        <w:rPr>
          <w:rFonts w:hint="eastAsia" w:eastAsia="宋体"/>
          <w:lang w:val="en-US" w:eastAsia="zh-CN"/>
        </w:rPr>
        <w:t>心阳不振证</w:t>
      </w:r>
      <w:r>
        <w:rPr>
          <w:rFonts w:hint="eastAsia"/>
          <w:lang w:val="en-US" w:eastAsia="zh-CN"/>
        </w:rPr>
        <w:t>、</w:t>
      </w:r>
      <w:r>
        <w:rPr>
          <w:rFonts w:hint="eastAsia" w:eastAsia="宋体"/>
          <w:lang w:val="en-US" w:eastAsia="zh-CN"/>
        </w:rPr>
        <w:t>气虚血瘀证</w:t>
      </w:r>
      <w:r>
        <w:rPr>
          <w:rFonts w:hint="eastAsia"/>
          <w:lang w:val="en-US" w:eastAsia="zh-CN"/>
        </w:rPr>
        <w:t>、</w:t>
      </w:r>
      <w:r>
        <w:rPr>
          <w:rFonts w:hint="eastAsia" w:eastAsia="宋体"/>
          <w:lang w:val="en-US" w:eastAsia="zh-CN"/>
        </w:rPr>
        <w:t>心胆气虚证的</w:t>
      </w:r>
      <w:r>
        <w:rPr>
          <w:rFonts w:hint="eastAsia"/>
          <w:lang w:val="en-US" w:eastAsia="zh-CN"/>
        </w:rPr>
        <w:t>辨证论治</w:t>
      </w:r>
      <w:r>
        <w:rPr>
          <w:rFonts w:hint="eastAsia" w:eastAsia="宋体"/>
          <w:lang w:val="en-US" w:eastAsia="zh-CN"/>
        </w:rPr>
        <w:t>特点做了界定。</w:t>
      </w:r>
    </w:p>
    <w:p w14:paraId="5869BE62">
      <w:pPr>
        <w:autoSpaceDE w:val="0"/>
        <w:autoSpaceDN w:val="0"/>
        <w:adjustRightInd w:val="0"/>
        <w:ind w:firstLine="560"/>
        <w:jc w:val="left"/>
        <w:outlineLvl w:val="0"/>
        <w:rPr>
          <w:rFonts w:hint="eastAsia" w:ascii="黑体" w:hAnsi="黑体" w:eastAsia="黑体"/>
          <w:szCs w:val="28"/>
          <w:lang w:val="en-US" w:eastAsia="zh-CN"/>
        </w:rPr>
      </w:pPr>
      <w:r>
        <w:rPr>
          <w:rFonts w:ascii="黑体" w:hAnsi="黑体" w:eastAsia="黑体"/>
          <w:szCs w:val="28"/>
        </w:rPr>
        <w:t>三、</w:t>
      </w:r>
      <w:r>
        <w:rPr>
          <w:rFonts w:hint="eastAsia" w:ascii="黑体" w:hAnsi="黑体" w:eastAsia="黑体"/>
          <w:szCs w:val="28"/>
        </w:rPr>
        <w:t>标准预期的社会</w:t>
      </w:r>
      <w:r>
        <w:rPr>
          <w:rFonts w:hint="eastAsia" w:ascii="黑体" w:hAnsi="黑体" w:eastAsia="黑体"/>
          <w:szCs w:val="28"/>
          <w:lang w:val="en-US" w:eastAsia="zh-CN"/>
        </w:rPr>
        <w:t>效益</w:t>
      </w:r>
    </w:p>
    <w:p w14:paraId="490BED44">
      <w:pPr>
        <w:pStyle w:val="30"/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cs="Times New Roman"/>
          <w:kern w:val="2"/>
          <w:position w:val="-24"/>
          <w:sz w:val="28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position w:val="-24"/>
          <w:sz w:val="28"/>
          <w:szCs w:val="24"/>
          <w:lang w:val="en-US" w:eastAsia="zh-CN" w:bidi="ar-SA"/>
        </w:rPr>
        <w:t>本团体标准的制定与实施，</w:t>
      </w:r>
      <w:r>
        <w:rPr>
          <w:rFonts w:hint="eastAsia" w:ascii="Times New Roman" w:hAnsi="Times New Roman" w:cs="Times New Roman"/>
          <w:kern w:val="2"/>
          <w:position w:val="-24"/>
          <w:sz w:val="28"/>
          <w:szCs w:val="24"/>
          <w:lang w:val="en-US" w:eastAsia="zh-CN" w:bidi="ar-SA"/>
        </w:rPr>
        <w:t>具备良好的社会价值。该共识使中西医结合治疗老年房颤的理论体系更为丰富，规范了老年房颤的中医临床辨证论治工作，同时推动了中西医协同诊疗老年房颤的进程，提升了老年房颤中西医结合治疗的规范性与临床疗效。 　</w:t>
      </w:r>
    </w:p>
    <w:p w14:paraId="3F832C17">
      <w:pPr>
        <w:numPr>
          <w:ilvl w:val="0"/>
          <w:numId w:val="4"/>
        </w:numPr>
        <w:autoSpaceDE w:val="0"/>
        <w:autoSpaceDN w:val="0"/>
        <w:adjustRightInd w:val="0"/>
        <w:ind w:firstLine="560"/>
        <w:jc w:val="left"/>
        <w:rPr>
          <w:rFonts w:hint="eastAsia" w:ascii="黑体" w:hAnsi="黑体" w:eastAsia="黑体"/>
          <w:szCs w:val="28"/>
        </w:rPr>
      </w:pPr>
      <w:r>
        <w:rPr>
          <w:rFonts w:hint="eastAsia" w:ascii="黑体" w:hAnsi="黑体" w:eastAsia="黑体"/>
          <w:szCs w:val="28"/>
        </w:rPr>
        <w:t>采用国际标准或国外文件的程度及水平的简要说明</w:t>
      </w:r>
    </w:p>
    <w:p w14:paraId="34399646">
      <w:pPr>
        <w:ind w:firstLine="560"/>
        <w:rPr>
          <w:rFonts w:hint="eastAsia"/>
          <w:szCs w:val="28"/>
          <w:lang w:val="en-US" w:eastAsia="zh-CN"/>
        </w:rPr>
      </w:pPr>
      <w:r>
        <w:rPr>
          <w:rFonts w:hint="eastAsia"/>
          <w:szCs w:val="28"/>
          <w:lang w:val="en-US" w:eastAsia="zh-CN"/>
        </w:rPr>
        <w:t>无。</w:t>
      </w:r>
    </w:p>
    <w:p w14:paraId="73E25090">
      <w:pPr>
        <w:autoSpaceDE w:val="0"/>
        <w:autoSpaceDN w:val="0"/>
        <w:adjustRightInd w:val="0"/>
        <w:ind w:firstLine="560"/>
        <w:jc w:val="left"/>
        <w:outlineLvl w:val="0"/>
        <w:rPr>
          <w:rFonts w:ascii="黑体" w:hAnsi="黑体" w:eastAsia="黑体"/>
          <w:szCs w:val="28"/>
        </w:rPr>
      </w:pPr>
      <w:r>
        <w:rPr>
          <w:rFonts w:ascii="黑体" w:hAnsi="黑体" w:eastAsia="黑体"/>
          <w:szCs w:val="28"/>
        </w:rPr>
        <w:t>五、重大分歧意见的处理经过和依据</w:t>
      </w:r>
    </w:p>
    <w:p w14:paraId="002D577A">
      <w:pPr>
        <w:autoSpaceDE w:val="0"/>
        <w:autoSpaceDN w:val="0"/>
        <w:adjustRightInd w:val="0"/>
        <w:ind w:firstLine="560"/>
        <w:jc w:val="left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本标准在制定过程中无重大分歧性意见。</w:t>
      </w:r>
    </w:p>
    <w:p w14:paraId="2CF81D9B">
      <w:pPr>
        <w:ind w:firstLine="560"/>
        <w:rPr>
          <w:rFonts w:ascii="黑体" w:hAnsi="黑体" w:eastAsia="黑体"/>
          <w:bCs/>
          <w:szCs w:val="28"/>
        </w:rPr>
      </w:pPr>
      <w:r>
        <w:rPr>
          <w:rFonts w:hint="eastAsia" w:ascii="黑体" w:hAnsi="黑体" w:eastAsia="黑体"/>
          <w:bCs/>
          <w:szCs w:val="28"/>
        </w:rPr>
        <w:t>六、涉及专利的有关说明</w:t>
      </w:r>
    </w:p>
    <w:p w14:paraId="594C8D91">
      <w:pPr>
        <w:ind w:firstLine="560"/>
        <w:rPr>
          <w:szCs w:val="28"/>
        </w:rPr>
      </w:pPr>
      <w:r>
        <w:rPr>
          <w:rFonts w:hint="eastAsia"/>
          <w:szCs w:val="28"/>
        </w:rPr>
        <w:t>本标准不涉及专利。</w:t>
      </w:r>
    </w:p>
    <w:p w14:paraId="63ED3EE6">
      <w:pPr>
        <w:autoSpaceDE w:val="0"/>
        <w:autoSpaceDN w:val="0"/>
        <w:adjustRightInd w:val="0"/>
        <w:ind w:firstLine="560"/>
        <w:jc w:val="left"/>
        <w:outlineLvl w:val="0"/>
        <w:rPr>
          <w:rFonts w:ascii="黑体" w:hAnsi="黑体" w:eastAsia="黑体"/>
          <w:szCs w:val="28"/>
        </w:rPr>
      </w:pPr>
      <w:r>
        <w:rPr>
          <w:rFonts w:hint="eastAsia" w:ascii="黑体" w:hAnsi="黑体" w:eastAsia="黑体"/>
          <w:szCs w:val="28"/>
          <w:lang w:val="en-US" w:eastAsia="zh-CN"/>
        </w:rPr>
        <w:t>七</w:t>
      </w:r>
      <w:r>
        <w:rPr>
          <w:rFonts w:ascii="黑体" w:hAnsi="黑体" w:eastAsia="黑体"/>
          <w:szCs w:val="28"/>
        </w:rPr>
        <w:t>、其</w:t>
      </w:r>
      <w:r>
        <w:rPr>
          <w:rFonts w:hint="eastAsia" w:ascii="黑体" w:hAnsi="黑体" w:eastAsia="黑体"/>
          <w:szCs w:val="28"/>
        </w:rPr>
        <w:t>他</w:t>
      </w:r>
      <w:r>
        <w:rPr>
          <w:rFonts w:ascii="黑体" w:hAnsi="黑体" w:eastAsia="黑体"/>
          <w:szCs w:val="28"/>
        </w:rPr>
        <w:t>应予说明的事项</w:t>
      </w:r>
    </w:p>
    <w:p w14:paraId="75A673A9">
      <w:pPr>
        <w:autoSpaceDE w:val="0"/>
        <w:autoSpaceDN w:val="0"/>
        <w:adjustRightInd w:val="0"/>
        <w:ind w:firstLine="560"/>
        <w:jc w:val="left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无。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9923" w:h="15593"/>
      <w:pgMar w:top="1440" w:right="1080" w:bottom="1440" w:left="1080" w:header="156" w:footer="597" w:gutter="0"/>
      <w:pgNumType w:start="0"/>
      <w:cols w:space="720" w:num="1"/>
      <w:titlePg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中黑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C012C">
    <w:pPr>
      <w:pStyle w:val="4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9</w:t>
    </w:r>
    <w:r>
      <w:fldChar w:fldCharType="end"/>
    </w:r>
  </w:p>
  <w:p w14:paraId="08B5778D">
    <w:pPr>
      <w:pStyle w:val="4"/>
      <w:tabs>
        <w:tab w:val="right" w:pos="8789"/>
        <w:tab w:val="center" w:pos="8931"/>
        <w:tab w:val="clear" w:pos="4153"/>
        <w:tab w:val="clear" w:pos="8306"/>
      </w:tabs>
      <w:ind w:right="-285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6EA5C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86194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A10AE">
    <w:pPr>
      <w:ind w:firstLine="5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D2865">
    <w:pPr>
      <w:ind w:firstLine="5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8C0EF">
    <w:pPr>
      <w:ind w:firstLine="5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C65146"/>
    <w:multiLevelType w:val="singleLevel"/>
    <w:tmpl w:val="EAC65146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44C50F90"/>
    <w:multiLevelType w:val="multilevel"/>
    <w:tmpl w:val="44C50F90"/>
    <w:lvl w:ilvl="0" w:tentative="0">
      <w:start w:val="1"/>
      <w:numFmt w:val="lowerLetter"/>
      <w:pStyle w:val="24"/>
      <w:lvlText w:val="%1)"/>
      <w:lvlJc w:val="left"/>
      <w:pPr>
        <w:tabs>
          <w:tab w:val="left" w:pos="839"/>
        </w:tabs>
        <w:ind w:left="839" w:hanging="419"/>
      </w:pPr>
      <w:rPr>
        <w:rFonts w:hint="eastAsia" w:ascii="宋体" w:hAnsi="宋体" w:eastAsia="宋体"/>
        <w:b w:val="0"/>
        <w:i w:val="0"/>
        <w:sz w:val="20"/>
        <w:szCs w:val="21"/>
      </w:rPr>
    </w:lvl>
    <w:lvl w:ilvl="1" w:tentative="0">
      <w:start w:val="1"/>
      <w:numFmt w:val="decimal"/>
      <w:lvlText w:val="%2)"/>
      <w:lvlJc w:val="left"/>
      <w:pPr>
        <w:tabs>
          <w:tab w:val="left" w:pos="1259"/>
        </w:tabs>
        <w:ind w:left="1259" w:hanging="420"/>
      </w:pPr>
      <w:rPr>
        <w:rFonts w:hint="eastAsia" w:ascii="宋体" w:hAnsi="宋体" w:eastAsia="宋体"/>
        <w:b w:val="0"/>
        <w:i w:val="0"/>
        <w:sz w:val="20"/>
      </w:rPr>
    </w:lvl>
    <w:lvl w:ilvl="2" w:tentative="0">
      <w:start w:val="1"/>
      <w:numFmt w:val="decimal"/>
      <w:lvlText w:val="(%3)"/>
      <w:lvlJc w:val="left"/>
      <w:pPr>
        <w:tabs>
          <w:tab w:val="left" w:pos="0"/>
        </w:tabs>
        <w:ind w:left="1678" w:hanging="419"/>
      </w:pPr>
      <w:rPr>
        <w:rFonts w:hint="eastAsia" w:ascii="宋体" w:hAnsi="宋体" w:eastAsia="宋体"/>
        <w:b w:val="0"/>
        <w:i w:val="0"/>
        <w:sz w:val="20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098"/>
        </w:tabs>
        <w:ind w:left="2098" w:hanging="420"/>
      </w:pPr>
      <w:rPr>
        <w:rFonts w:hint="default" w:ascii="宋体" w:hAnsi="宋体"/>
      </w:rPr>
    </w:lvl>
    <w:lvl w:ilvl="4" w:tentative="0">
      <w:start w:val="1"/>
      <w:numFmt w:val="lowerLetter"/>
      <w:lvlText w:val="%5)"/>
      <w:lvlJc w:val="left"/>
      <w:pPr>
        <w:tabs>
          <w:tab w:val="left" w:pos="1271"/>
        </w:tabs>
        <w:ind w:left="1271" w:hanging="419"/>
      </w:pPr>
      <w:rPr>
        <w:rFonts w:hint="default" w:ascii="宋体" w:hAnsi="宋体"/>
      </w:rPr>
    </w:lvl>
    <w:lvl w:ilvl="5" w:tentative="0">
      <w:start w:val="1"/>
      <w:numFmt w:val="lowerRoman"/>
      <w:lvlText w:val="%6."/>
      <w:lvlJc w:val="right"/>
      <w:pPr>
        <w:tabs>
          <w:tab w:val="left" w:pos="2942"/>
        </w:tabs>
        <w:ind w:left="2937" w:hanging="420"/>
      </w:pPr>
      <w:rPr>
        <w:rFonts w:hint="default" w:ascii="宋体" w:hAnsi="宋体"/>
      </w:rPr>
    </w:lvl>
    <w:lvl w:ilvl="6" w:tentative="0">
      <w:start w:val="1"/>
      <w:numFmt w:val="decimal"/>
      <w:lvlText w:val="%7."/>
      <w:lvlJc w:val="left"/>
      <w:pPr>
        <w:tabs>
          <w:tab w:val="left" w:pos="3362"/>
        </w:tabs>
        <w:ind w:left="3356" w:hanging="414"/>
      </w:pPr>
      <w:rPr>
        <w:rFonts w:hint="default" w:ascii="宋体" w:hAnsi="宋体"/>
      </w:rPr>
    </w:lvl>
    <w:lvl w:ilvl="7" w:tentative="0">
      <w:start w:val="1"/>
      <w:numFmt w:val="lowerLetter"/>
      <w:lvlText w:val="%8)"/>
      <w:lvlJc w:val="left"/>
      <w:pPr>
        <w:tabs>
          <w:tab w:val="left" w:pos="3781"/>
        </w:tabs>
        <w:ind w:left="3776" w:hanging="414"/>
      </w:pPr>
      <w:rPr>
        <w:rFonts w:hint="default" w:ascii="宋体" w:hAnsi="宋体"/>
      </w:rPr>
    </w:lvl>
    <w:lvl w:ilvl="8" w:tentative="0">
      <w:start w:val="1"/>
      <w:numFmt w:val="lowerRoman"/>
      <w:lvlText w:val="%9."/>
      <w:lvlJc w:val="right"/>
      <w:pPr>
        <w:tabs>
          <w:tab w:val="left" w:pos="4201"/>
        </w:tabs>
        <w:ind w:left="4201" w:hanging="420"/>
      </w:pPr>
      <w:rPr>
        <w:rFonts w:hint="default" w:ascii="宋体" w:hAnsi="宋体"/>
      </w:rPr>
    </w:lvl>
  </w:abstractNum>
  <w:abstractNum w:abstractNumId="2">
    <w:nsid w:val="5E48277C"/>
    <w:multiLevelType w:val="singleLevel"/>
    <w:tmpl w:val="5E48277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801133A"/>
    <w:multiLevelType w:val="multilevel"/>
    <w:tmpl w:val="7801133A"/>
    <w:lvl w:ilvl="0" w:tentative="0">
      <w:start w:val="2"/>
      <w:numFmt w:val="decimal"/>
      <w:lvlText w:val="%1"/>
      <w:lvlJc w:val="left"/>
      <w:pPr>
        <w:ind w:left="432" w:hanging="432"/>
      </w:pPr>
      <w:rPr>
        <w:rFonts w:hint="default"/>
      </w:rPr>
    </w:lvl>
    <w:lvl w:ilvl="1" w:tentative="0">
      <w:start w:val="2"/>
      <w:numFmt w:val="decimal"/>
      <w:lvlText w:val="%1.%2"/>
      <w:lvlJc w:val="left"/>
      <w:pPr>
        <w:ind w:left="992" w:hanging="432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184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276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332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42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480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572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628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4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NhYzk2NjdkNzE3ZjM0MDllNTZkZTZlMGYzZGI1YjEifQ=="/>
  </w:docVars>
  <w:rsids>
    <w:rsidRoot w:val="00482ECF"/>
    <w:rsid w:val="000018F5"/>
    <w:rsid w:val="00004C42"/>
    <w:rsid w:val="0000543B"/>
    <w:rsid w:val="00016453"/>
    <w:rsid w:val="000200F3"/>
    <w:rsid w:val="000220CE"/>
    <w:rsid w:val="000255E9"/>
    <w:rsid w:val="00026DB9"/>
    <w:rsid w:val="00030A9B"/>
    <w:rsid w:val="000362DC"/>
    <w:rsid w:val="0004370A"/>
    <w:rsid w:val="00045124"/>
    <w:rsid w:val="000525B5"/>
    <w:rsid w:val="0005604C"/>
    <w:rsid w:val="00057818"/>
    <w:rsid w:val="000578DD"/>
    <w:rsid w:val="00057F8B"/>
    <w:rsid w:val="000604F8"/>
    <w:rsid w:val="00070873"/>
    <w:rsid w:val="0008403A"/>
    <w:rsid w:val="000860D1"/>
    <w:rsid w:val="000863A6"/>
    <w:rsid w:val="00086D5B"/>
    <w:rsid w:val="00090E72"/>
    <w:rsid w:val="00091034"/>
    <w:rsid w:val="0009233A"/>
    <w:rsid w:val="0009714B"/>
    <w:rsid w:val="000B0E53"/>
    <w:rsid w:val="000D164B"/>
    <w:rsid w:val="000E14E8"/>
    <w:rsid w:val="000E17DC"/>
    <w:rsid w:val="000E2719"/>
    <w:rsid w:val="000F160F"/>
    <w:rsid w:val="000F2D33"/>
    <w:rsid w:val="000F4ACB"/>
    <w:rsid w:val="000F5F2A"/>
    <w:rsid w:val="00100EB5"/>
    <w:rsid w:val="00102DAA"/>
    <w:rsid w:val="001058E3"/>
    <w:rsid w:val="00105A87"/>
    <w:rsid w:val="0011260B"/>
    <w:rsid w:val="00114046"/>
    <w:rsid w:val="001175A6"/>
    <w:rsid w:val="001204DA"/>
    <w:rsid w:val="0012170D"/>
    <w:rsid w:val="0012330F"/>
    <w:rsid w:val="00123476"/>
    <w:rsid w:val="00123496"/>
    <w:rsid w:val="00125B80"/>
    <w:rsid w:val="0013190B"/>
    <w:rsid w:val="001341D3"/>
    <w:rsid w:val="00134BC0"/>
    <w:rsid w:val="00135275"/>
    <w:rsid w:val="00136328"/>
    <w:rsid w:val="0014128C"/>
    <w:rsid w:val="001414F4"/>
    <w:rsid w:val="00143BD9"/>
    <w:rsid w:val="001510A6"/>
    <w:rsid w:val="00151CCE"/>
    <w:rsid w:val="00152D2B"/>
    <w:rsid w:val="001569C7"/>
    <w:rsid w:val="00166FB6"/>
    <w:rsid w:val="001672D0"/>
    <w:rsid w:val="001759EC"/>
    <w:rsid w:val="001820B4"/>
    <w:rsid w:val="001924EC"/>
    <w:rsid w:val="001A057D"/>
    <w:rsid w:val="001C2F2A"/>
    <w:rsid w:val="001E00EC"/>
    <w:rsid w:val="001E3EC7"/>
    <w:rsid w:val="001E62DE"/>
    <w:rsid w:val="001F0207"/>
    <w:rsid w:val="00201CB8"/>
    <w:rsid w:val="00203F74"/>
    <w:rsid w:val="00205899"/>
    <w:rsid w:val="0022372C"/>
    <w:rsid w:val="00223D2D"/>
    <w:rsid w:val="00250AA6"/>
    <w:rsid w:val="00253FEB"/>
    <w:rsid w:val="002547E1"/>
    <w:rsid w:val="00254B55"/>
    <w:rsid w:val="002566DA"/>
    <w:rsid w:val="00264450"/>
    <w:rsid w:val="00274B8C"/>
    <w:rsid w:val="00274FC3"/>
    <w:rsid w:val="002803A7"/>
    <w:rsid w:val="00280F4E"/>
    <w:rsid w:val="002818EB"/>
    <w:rsid w:val="00281F21"/>
    <w:rsid w:val="00283693"/>
    <w:rsid w:val="00284611"/>
    <w:rsid w:val="00294F6C"/>
    <w:rsid w:val="002A7B59"/>
    <w:rsid w:val="002B1C69"/>
    <w:rsid w:val="002B2E35"/>
    <w:rsid w:val="002C2493"/>
    <w:rsid w:val="002C60CF"/>
    <w:rsid w:val="002D6927"/>
    <w:rsid w:val="002D6A3B"/>
    <w:rsid w:val="002E0CF0"/>
    <w:rsid w:val="002E0D37"/>
    <w:rsid w:val="002E17CA"/>
    <w:rsid w:val="002E7039"/>
    <w:rsid w:val="002F6D71"/>
    <w:rsid w:val="003036DF"/>
    <w:rsid w:val="00303899"/>
    <w:rsid w:val="003145BF"/>
    <w:rsid w:val="003161F9"/>
    <w:rsid w:val="0032280D"/>
    <w:rsid w:val="003342B1"/>
    <w:rsid w:val="00340D06"/>
    <w:rsid w:val="00344A12"/>
    <w:rsid w:val="0035189D"/>
    <w:rsid w:val="003526BC"/>
    <w:rsid w:val="00353E31"/>
    <w:rsid w:val="00360711"/>
    <w:rsid w:val="003625B0"/>
    <w:rsid w:val="003670EC"/>
    <w:rsid w:val="00373454"/>
    <w:rsid w:val="00375BB0"/>
    <w:rsid w:val="00376C28"/>
    <w:rsid w:val="00384524"/>
    <w:rsid w:val="0039079C"/>
    <w:rsid w:val="00392B0E"/>
    <w:rsid w:val="0039676A"/>
    <w:rsid w:val="00396F3A"/>
    <w:rsid w:val="003A1046"/>
    <w:rsid w:val="003A1FA6"/>
    <w:rsid w:val="003B047B"/>
    <w:rsid w:val="003B1063"/>
    <w:rsid w:val="003B1212"/>
    <w:rsid w:val="003B1978"/>
    <w:rsid w:val="003B27FC"/>
    <w:rsid w:val="003B7BC9"/>
    <w:rsid w:val="003C3A5F"/>
    <w:rsid w:val="003C4419"/>
    <w:rsid w:val="003C50D2"/>
    <w:rsid w:val="003C668B"/>
    <w:rsid w:val="003D6793"/>
    <w:rsid w:val="003E0510"/>
    <w:rsid w:val="003E0983"/>
    <w:rsid w:val="003F0CEA"/>
    <w:rsid w:val="0040132E"/>
    <w:rsid w:val="00404210"/>
    <w:rsid w:val="00404F1D"/>
    <w:rsid w:val="004139C9"/>
    <w:rsid w:val="00416700"/>
    <w:rsid w:val="004206B1"/>
    <w:rsid w:val="00426492"/>
    <w:rsid w:val="00430BC2"/>
    <w:rsid w:val="00441C80"/>
    <w:rsid w:val="00441DD1"/>
    <w:rsid w:val="00443654"/>
    <w:rsid w:val="004457F4"/>
    <w:rsid w:val="00445B6D"/>
    <w:rsid w:val="004563D0"/>
    <w:rsid w:val="00457F30"/>
    <w:rsid w:val="00460A37"/>
    <w:rsid w:val="004658C3"/>
    <w:rsid w:val="0046704C"/>
    <w:rsid w:val="00467E6C"/>
    <w:rsid w:val="00471750"/>
    <w:rsid w:val="00474233"/>
    <w:rsid w:val="004752FD"/>
    <w:rsid w:val="00476F1C"/>
    <w:rsid w:val="00482ECF"/>
    <w:rsid w:val="00486D4D"/>
    <w:rsid w:val="00486F9A"/>
    <w:rsid w:val="004926F3"/>
    <w:rsid w:val="0049798F"/>
    <w:rsid w:val="004A49DD"/>
    <w:rsid w:val="004A7F68"/>
    <w:rsid w:val="004B0580"/>
    <w:rsid w:val="004B09FE"/>
    <w:rsid w:val="004B22FE"/>
    <w:rsid w:val="004B7B94"/>
    <w:rsid w:val="004C4A7B"/>
    <w:rsid w:val="004D1E4E"/>
    <w:rsid w:val="004D56C9"/>
    <w:rsid w:val="004E1DCF"/>
    <w:rsid w:val="004E470C"/>
    <w:rsid w:val="004E4AF5"/>
    <w:rsid w:val="004E7580"/>
    <w:rsid w:val="004E77C0"/>
    <w:rsid w:val="004F5AE1"/>
    <w:rsid w:val="004F6129"/>
    <w:rsid w:val="00504AC5"/>
    <w:rsid w:val="005127FD"/>
    <w:rsid w:val="00513501"/>
    <w:rsid w:val="0052058A"/>
    <w:rsid w:val="00520D20"/>
    <w:rsid w:val="00523217"/>
    <w:rsid w:val="00527833"/>
    <w:rsid w:val="00556F99"/>
    <w:rsid w:val="00563021"/>
    <w:rsid w:val="00564418"/>
    <w:rsid w:val="00565566"/>
    <w:rsid w:val="00566CE4"/>
    <w:rsid w:val="005704E9"/>
    <w:rsid w:val="00575673"/>
    <w:rsid w:val="0058480C"/>
    <w:rsid w:val="00587CC3"/>
    <w:rsid w:val="00595E6B"/>
    <w:rsid w:val="005A24D5"/>
    <w:rsid w:val="005A31A9"/>
    <w:rsid w:val="005A40B8"/>
    <w:rsid w:val="005B46BC"/>
    <w:rsid w:val="005B4AA9"/>
    <w:rsid w:val="005C5FE7"/>
    <w:rsid w:val="005D03BF"/>
    <w:rsid w:val="005D2662"/>
    <w:rsid w:val="005D56E7"/>
    <w:rsid w:val="005D6136"/>
    <w:rsid w:val="005E59F3"/>
    <w:rsid w:val="005F5939"/>
    <w:rsid w:val="00600655"/>
    <w:rsid w:val="006010BE"/>
    <w:rsid w:val="00610F27"/>
    <w:rsid w:val="00613225"/>
    <w:rsid w:val="0061507E"/>
    <w:rsid w:val="00633957"/>
    <w:rsid w:val="00641033"/>
    <w:rsid w:val="00651665"/>
    <w:rsid w:val="0065510C"/>
    <w:rsid w:val="0065637B"/>
    <w:rsid w:val="0066024E"/>
    <w:rsid w:val="00663706"/>
    <w:rsid w:val="00663AA2"/>
    <w:rsid w:val="006762D0"/>
    <w:rsid w:val="006839FE"/>
    <w:rsid w:val="00686322"/>
    <w:rsid w:val="00687D35"/>
    <w:rsid w:val="00692160"/>
    <w:rsid w:val="006930C3"/>
    <w:rsid w:val="0069793D"/>
    <w:rsid w:val="006A00F1"/>
    <w:rsid w:val="006A1B0F"/>
    <w:rsid w:val="006A7FEC"/>
    <w:rsid w:val="006B3600"/>
    <w:rsid w:val="006C0B9F"/>
    <w:rsid w:val="006C4CBA"/>
    <w:rsid w:val="006C4CE3"/>
    <w:rsid w:val="006D158B"/>
    <w:rsid w:val="006E18BF"/>
    <w:rsid w:val="006E209A"/>
    <w:rsid w:val="006F279C"/>
    <w:rsid w:val="006F39C1"/>
    <w:rsid w:val="00710105"/>
    <w:rsid w:val="00710280"/>
    <w:rsid w:val="00713619"/>
    <w:rsid w:val="007169ED"/>
    <w:rsid w:val="00721E22"/>
    <w:rsid w:val="007245F9"/>
    <w:rsid w:val="007258AD"/>
    <w:rsid w:val="00725BDE"/>
    <w:rsid w:val="007311F4"/>
    <w:rsid w:val="0073318D"/>
    <w:rsid w:val="00740603"/>
    <w:rsid w:val="007411FB"/>
    <w:rsid w:val="00750BB6"/>
    <w:rsid w:val="00752EA9"/>
    <w:rsid w:val="0076075F"/>
    <w:rsid w:val="00763410"/>
    <w:rsid w:val="007700DC"/>
    <w:rsid w:val="00773BB7"/>
    <w:rsid w:val="0077614F"/>
    <w:rsid w:val="0078171E"/>
    <w:rsid w:val="00787871"/>
    <w:rsid w:val="00795C69"/>
    <w:rsid w:val="007A72B9"/>
    <w:rsid w:val="007B0407"/>
    <w:rsid w:val="007B2707"/>
    <w:rsid w:val="007B43B9"/>
    <w:rsid w:val="007C0743"/>
    <w:rsid w:val="007D099E"/>
    <w:rsid w:val="007D5944"/>
    <w:rsid w:val="007D66B3"/>
    <w:rsid w:val="007E582D"/>
    <w:rsid w:val="007E7E83"/>
    <w:rsid w:val="007F2E43"/>
    <w:rsid w:val="007F6631"/>
    <w:rsid w:val="00801011"/>
    <w:rsid w:val="00811C98"/>
    <w:rsid w:val="00813E57"/>
    <w:rsid w:val="00815C6F"/>
    <w:rsid w:val="0082764E"/>
    <w:rsid w:val="00841310"/>
    <w:rsid w:val="008416E6"/>
    <w:rsid w:val="00845F19"/>
    <w:rsid w:val="008553A9"/>
    <w:rsid w:val="00861569"/>
    <w:rsid w:val="00881F84"/>
    <w:rsid w:val="00882626"/>
    <w:rsid w:val="00885BA8"/>
    <w:rsid w:val="00892CFE"/>
    <w:rsid w:val="008A1A5C"/>
    <w:rsid w:val="008B2458"/>
    <w:rsid w:val="008C3529"/>
    <w:rsid w:val="008C38D5"/>
    <w:rsid w:val="008C6737"/>
    <w:rsid w:val="008D0DBE"/>
    <w:rsid w:val="008D5A64"/>
    <w:rsid w:val="008D7176"/>
    <w:rsid w:val="00900515"/>
    <w:rsid w:val="00912865"/>
    <w:rsid w:val="00913348"/>
    <w:rsid w:val="00916853"/>
    <w:rsid w:val="00930C1F"/>
    <w:rsid w:val="009325E0"/>
    <w:rsid w:val="00936F01"/>
    <w:rsid w:val="00941A7E"/>
    <w:rsid w:val="009514F1"/>
    <w:rsid w:val="00952D75"/>
    <w:rsid w:val="00964E80"/>
    <w:rsid w:val="00971B3B"/>
    <w:rsid w:val="00972639"/>
    <w:rsid w:val="009747E5"/>
    <w:rsid w:val="00974D86"/>
    <w:rsid w:val="009827AD"/>
    <w:rsid w:val="00993336"/>
    <w:rsid w:val="009978A1"/>
    <w:rsid w:val="009A6E7A"/>
    <w:rsid w:val="009B0602"/>
    <w:rsid w:val="009C4061"/>
    <w:rsid w:val="009C7DEC"/>
    <w:rsid w:val="009D0EBA"/>
    <w:rsid w:val="009D289A"/>
    <w:rsid w:val="009D45C6"/>
    <w:rsid w:val="009D54A6"/>
    <w:rsid w:val="009D6A16"/>
    <w:rsid w:val="009D6BF6"/>
    <w:rsid w:val="009E1513"/>
    <w:rsid w:val="009E4637"/>
    <w:rsid w:val="009F5B6F"/>
    <w:rsid w:val="00A02387"/>
    <w:rsid w:val="00A04963"/>
    <w:rsid w:val="00A14931"/>
    <w:rsid w:val="00A1499D"/>
    <w:rsid w:val="00A15429"/>
    <w:rsid w:val="00A16307"/>
    <w:rsid w:val="00A16348"/>
    <w:rsid w:val="00A23941"/>
    <w:rsid w:val="00A308DA"/>
    <w:rsid w:val="00A405EB"/>
    <w:rsid w:val="00A4395A"/>
    <w:rsid w:val="00A468D6"/>
    <w:rsid w:val="00A603C9"/>
    <w:rsid w:val="00A63DC9"/>
    <w:rsid w:val="00A659F1"/>
    <w:rsid w:val="00A676E3"/>
    <w:rsid w:val="00A72EDA"/>
    <w:rsid w:val="00A80CD4"/>
    <w:rsid w:val="00A8117F"/>
    <w:rsid w:val="00A85C26"/>
    <w:rsid w:val="00A9195C"/>
    <w:rsid w:val="00AA0841"/>
    <w:rsid w:val="00AA1C23"/>
    <w:rsid w:val="00AB08C6"/>
    <w:rsid w:val="00AB1EA6"/>
    <w:rsid w:val="00AB4552"/>
    <w:rsid w:val="00AC31FE"/>
    <w:rsid w:val="00AD3486"/>
    <w:rsid w:val="00AD3A65"/>
    <w:rsid w:val="00AD7F4A"/>
    <w:rsid w:val="00AE3EF9"/>
    <w:rsid w:val="00AE5476"/>
    <w:rsid w:val="00AE7438"/>
    <w:rsid w:val="00AF640E"/>
    <w:rsid w:val="00AF6EAD"/>
    <w:rsid w:val="00B1373E"/>
    <w:rsid w:val="00B13D73"/>
    <w:rsid w:val="00B22BAF"/>
    <w:rsid w:val="00B42BDE"/>
    <w:rsid w:val="00B47671"/>
    <w:rsid w:val="00B557BC"/>
    <w:rsid w:val="00B64929"/>
    <w:rsid w:val="00B6725F"/>
    <w:rsid w:val="00B74A5A"/>
    <w:rsid w:val="00B762B4"/>
    <w:rsid w:val="00B80489"/>
    <w:rsid w:val="00B82A3E"/>
    <w:rsid w:val="00B82FFD"/>
    <w:rsid w:val="00B90F3D"/>
    <w:rsid w:val="00B90F52"/>
    <w:rsid w:val="00B924C5"/>
    <w:rsid w:val="00BA1B95"/>
    <w:rsid w:val="00BA22EA"/>
    <w:rsid w:val="00BA4B2E"/>
    <w:rsid w:val="00BA528C"/>
    <w:rsid w:val="00BA56A8"/>
    <w:rsid w:val="00BB7B0F"/>
    <w:rsid w:val="00BC2946"/>
    <w:rsid w:val="00BC371C"/>
    <w:rsid w:val="00BD215B"/>
    <w:rsid w:val="00BE3D3C"/>
    <w:rsid w:val="00BF1F33"/>
    <w:rsid w:val="00BF41EA"/>
    <w:rsid w:val="00BF7D86"/>
    <w:rsid w:val="00C017B7"/>
    <w:rsid w:val="00C07E47"/>
    <w:rsid w:val="00C128D3"/>
    <w:rsid w:val="00C1773F"/>
    <w:rsid w:val="00C2013A"/>
    <w:rsid w:val="00C22992"/>
    <w:rsid w:val="00C31684"/>
    <w:rsid w:val="00C31688"/>
    <w:rsid w:val="00C316AD"/>
    <w:rsid w:val="00C3288E"/>
    <w:rsid w:val="00C35A85"/>
    <w:rsid w:val="00C40DA4"/>
    <w:rsid w:val="00C426FB"/>
    <w:rsid w:val="00C53A19"/>
    <w:rsid w:val="00C5543F"/>
    <w:rsid w:val="00C57113"/>
    <w:rsid w:val="00C647EB"/>
    <w:rsid w:val="00C73E68"/>
    <w:rsid w:val="00C87FCB"/>
    <w:rsid w:val="00C93F45"/>
    <w:rsid w:val="00C958A3"/>
    <w:rsid w:val="00C97438"/>
    <w:rsid w:val="00CA3931"/>
    <w:rsid w:val="00CA406A"/>
    <w:rsid w:val="00CA744F"/>
    <w:rsid w:val="00CB346C"/>
    <w:rsid w:val="00CC12D3"/>
    <w:rsid w:val="00CC448D"/>
    <w:rsid w:val="00CC4531"/>
    <w:rsid w:val="00CC73D9"/>
    <w:rsid w:val="00CC7A3A"/>
    <w:rsid w:val="00CD1BC7"/>
    <w:rsid w:val="00CD2098"/>
    <w:rsid w:val="00CD38BB"/>
    <w:rsid w:val="00CD6D3C"/>
    <w:rsid w:val="00CE2336"/>
    <w:rsid w:val="00CE3D57"/>
    <w:rsid w:val="00CE5BAA"/>
    <w:rsid w:val="00CE7482"/>
    <w:rsid w:val="00D015FB"/>
    <w:rsid w:val="00D15776"/>
    <w:rsid w:val="00D22898"/>
    <w:rsid w:val="00D26321"/>
    <w:rsid w:val="00D43821"/>
    <w:rsid w:val="00D539B7"/>
    <w:rsid w:val="00D55E76"/>
    <w:rsid w:val="00D65271"/>
    <w:rsid w:val="00D717EC"/>
    <w:rsid w:val="00D75905"/>
    <w:rsid w:val="00D76224"/>
    <w:rsid w:val="00D80510"/>
    <w:rsid w:val="00D8095C"/>
    <w:rsid w:val="00DB2D24"/>
    <w:rsid w:val="00DB4207"/>
    <w:rsid w:val="00DB7825"/>
    <w:rsid w:val="00DB7CC6"/>
    <w:rsid w:val="00DC1D3D"/>
    <w:rsid w:val="00DC69E7"/>
    <w:rsid w:val="00DD2E46"/>
    <w:rsid w:val="00DD4165"/>
    <w:rsid w:val="00DD71B3"/>
    <w:rsid w:val="00DE263D"/>
    <w:rsid w:val="00DE29D7"/>
    <w:rsid w:val="00DF2677"/>
    <w:rsid w:val="00DF27B8"/>
    <w:rsid w:val="00DF367F"/>
    <w:rsid w:val="00E00BBE"/>
    <w:rsid w:val="00E07CF3"/>
    <w:rsid w:val="00E1142F"/>
    <w:rsid w:val="00E13B0E"/>
    <w:rsid w:val="00E20778"/>
    <w:rsid w:val="00E27782"/>
    <w:rsid w:val="00E31357"/>
    <w:rsid w:val="00E32448"/>
    <w:rsid w:val="00E42E64"/>
    <w:rsid w:val="00E63645"/>
    <w:rsid w:val="00E63AB8"/>
    <w:rsid w:val="00E64833"/>
    <w:rsid w:val="00E67362"/>
    <w:rsid w:val="00E70D56"/>
    <w:rsid w:val="00E748F8"/>
    <w:rsid w:val="00E74E82"/>
    <w:rsid w:val="00E75144"/>
    <w:rsid w:val="00E777E0"/>
    <w:rsid w:val="00E820F2"/>
    <w:rsid w:val="00E838BB"/>
    <w:rsid w:val="00E8509D"/>
    <w:rsid w:val="00E8589D"/>
    <w:rsid w:val="00E868B0"/>
    <w:rsid w:val="00E93163"/>
    <w:rsid w:val="00E952DC"/>
    <w:rsid w:val="00EA0159"/>
    <w:rsid w:val="00EA03D0"/>
    <w:rsid w:val="00EA2FA6"/>
    <w:rsid w:val="00EC77AD"/>
    <w:rsid w:val="00EE511B"/>
    <w:rsid w:val="00EE69A9"/>
    <w:rsid w:val="00EF325E"/>
    <w:rsid w:val="00EF3CE4"/>
    <w:rsid w:val="00EF6354"/>
    <w:rsid w:val="00F00366"/>
    <w:rsid w:val="00F00BBC"/>
    <w:rsid w:val="00F01B84"/>
    <w:rsid w:val="00F037FB"/>
    <w:rsid w:val="00F04679"/>
    <w:rsid w:val="00F075B7"/>
    <w:rsid w:val="00F1735F"/>
    <w:rsid w:val="00F201E8"/>
    <w:rsid w:val="00F20F08"/>
    <w:rsid w:val="00F21E7E"/>
    <w:rsid w:val="00F40CA1"/>
    <w:rsid w:val="00F45317"/>
    <w:rsid w:val="00F45580"/>
    <w:rsid w:val="00F464B4"/>
    <w:rsid w:val="00F52895"/>
    <w:rsid w:val="00F5291D"/>
    <w:rsid w:val="00F52EBB"/>
    <w:rsid w:val="00F56310"/>
    <w:rsid w:val="00F62248"/>
    <w:rsid w:val="00F6636F"/>
    <w:rsid w:val="00F73CBD"/>
    <w:rsid w:val="00F84E96"/>
    <w:rsid w:val="00F9017F"/>
    <w:rsid w:val="00FA20EA"/>
    <w:rsid w:val="00FA217D"/>
    <w:rsid w:val="00FA556A"/>
    <w:rsid w:val="00FB1D20"/>
    <w:rsid w:val="00FB3D15"/>
    <w:rsid w:val="00FC0BBF"/>
    <w:rsid w:val="00FC1D46"/>
    <w:rsid w:val="00FD2DA3"/>
    <w:rsid w:val="00FD3125"/>
    <w:rsid w:val="00FD328F"/>
    <w:rsid w:val="00FD726C"/>
    <w:rsid w:val="00FE6557"/>
    <w:rsid w:val="00FF70D4"/>
    <w:rsid w:val="00FF7604"/>
    <w:rsid w:val="00FF7A1A"/>
    <w:rsid w:val="03E51F85"/>
    <w:rsid w:val="067845BE"/>
    <w:rsid w:val="06BC10F3"/>
    <w:rsid w:val="0C8748EC"/>
    <w:rsid w:val="0E45220C"/>
    <w:rsid w:val="14A412C3"/>
    <w:rsid w:val="16557DFE"/>
    <w:rsid w:val="176522C3"/>
    <w:rsid w:val="188A519D"/>
    <w:rsid w:val="1945415A"/>
    <w:rsid w:val="1BDC68CC"/>
    <w:rsid w:val="1D0D476C"/>
    <w:rsid w:val="1D1239E5"/>
    <w:rsid w:val="209D0D1F"/>
    <w:rsid w:val="20ED3C7A"/>
    <w:rsid w:val="22700284"/>
    <w:rsid w:val="22877591"/>
    <w:rsid w:val="25C428AA"/>
    <w:rsid w:val="26E06425"/>
    <w:rsid w:val="29493E47"/>
    <w:rsid w:val="29B33362"/>
    <w:rsid w:val="2B452AC9"/>
    <w:rsid w:val="2BAE2033"/>
    <w:rsid w:val="2DDB135C"/>
    <w:rsid w:val="30C916BD"/>
    <w:rsid w:val="31293F09"/>
    <w:rsid w:val="32194741"/>
    <w:rsid w:val="3361798A"/>
    <w:rsid w:val="34441F8D"/>
    <w:rsid w:val="367E0853"/>
    <w:rsid w:val="37D20E57"/>
    <w:rsid w:val="38417D8A"/>
    <w:rsid w:val="38EA21D0"/>
    <w:rsid w:val="3BD23034"/>
    <w:rsid w:val="3CFB7F43"/>
    <w:rsid w:val="3DEB4A20"/>
    <w:rsid w:val="41B839BA"/>
    <w:rsid w:val="477D66EB"/>
    <w:rsid w:val="49F00FDB"/>
    <w:rsid w:val="4C272DFE"/>
    <w:rsid w:val="501C796A"/>
    <w:rsid w:val="568A01D1"/>
    <w:rsid w:val="56CE4E27"/>
    <w:rsid w:val="5ABD6099"/>
    <w:rsid w:val="5B61236E"/>
    <w:rsid w:val="5B70435F"/>
    <w:rsid w:val="5F702B80"/>
    <w:rsid w:val="61684CB2"/>
    <w:rsid w:val="62AB5630"/>
    <w:rsid w:val="63273E9D"/>
    <w:rsid w:val="67110756"/>
    <w:rsid w:val="67DA7730"/>
    <w:rsid w:val="682D7860"/>
    <w:rsid w:val="685E210F"/>
    <w:rsid w:val="69DB32EB"/>
    <w:rsid w:val="69FB13AC"/>
    <w:rsid w:val="6E096F2F"/>
    <w:rsid w:val="6E5118C8"/>
    <w:rsid w:val="72223D55"/>
    <w:rsid w:val="763B3A90"/>
    <w:rsid w:val="7CCC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autoRedefine/>
    <w:qFormat/>
    <w:uiPriority w:val="0"/>
    <w:pPr>
      <w:spacing w:line="240" w:lineRule="auto"/>
      <w:ind w:left="1050" w:hanging="210"/>
      <w:jc w:val="left"/>
    </w:pPr>
    <w:rPr>
      <w:rFonts w:ascii="Calibri" w:hAnsi="Calibri"/>
      <w:sz w:val="20"/>
      <w:szCs w:val="20"/>
    </w:rPr>
  </w:style>
  <w:style w:type="paragraph" w:styleId="4">
    <w:name w:val="footer"/>
    <w:basedOn w:val="1"/>
    <w:link w:val="11"/>
    <w:autoRedefine/>
    <w:qFormat/>
    <w:uiPriority w:val="99"/>
    <w:pPr>
      <w:widowControl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5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Emphasis"/>
    <w:basedOn w:val="8"/>
    <w:qFormat/>
    <w:uiPriority w:val="20"/>
    <w:rPr>
      <w:i/>
      <w:iCs/>
    </w:rPr>
  </w:style>
  <w:style w:type="character" w:customStyle="1" w:styleId="11">
    <w:name w:val="页脚 字符"/>
    <w:link w:val="4"/>
    <w:qFormat/>
    <w:uiPriority w:val="99"/>
    <w:rPr>
      <w:sz w:val="18"/>
    </w:rPr>
  </w:style>
  <w:style w:type="character" w:customStyle="1" w:styleId="12">
    <w:name w:val="页脚 Char"/>
    <w:basedOn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段 Char"/>
    <w:link w:val="14"/>
    <w:qFormat/>
    <w:uiPriority w:val="0"/>
    <w:rPr>
      <w:rFonts w:ascii="宋体"/>
    </w:rPr>
  </w:style>
  <w:style w:type="paragraph" w:customStyle="1" w:styleId="14">
    <w:name w:val="段"/>
    <w:link w:val="13"/>
    <w:qFormat/>
    <w:uiPriority w:val="0"/>
    <w:pPr>
      <w:autoSpaceDE w:val="0"/>
      <w:autoSpaceDN w:val="0"/>
      <w:ind w:firstLine="200" w:firstLineChars="200"/>
      <w:jc w:val="both"/>
    </w:pPr>
    <w:rPr>
      <w:rFonts w:ascii="宋体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5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kern w:val="0"/>
      <w:sz w:val="52"/>
      <w:szCs w:val="20"/>
      <w:lang w:val="en-US" w:eastAsia="zh-CN" w:bidi="ar-SA"/>
    </w:rPr>
  </w:style>
  <w:style w:type="paragraph" w:customStyle="1" w:styleId="16">
    <w:name w:val="章标题"/>
    <w:next w:val="14"/>
    <w:link w:val="21"/>
    <w:qFormat/>
    <w:uiPriority w:val="0"/>
    <w:pPr>
      <w:spacing w:beforeLines="50" w:afterLines="50"/>
      <w:jc w:val="both"/>
      <w:outlineLvl w:val="1"/>
    </w:pPr>
    <w:rPr>
      <w:rFonts w:ascii="黑体" w:hAnsi="Times New Roman" w:eastAsia="黑体" w:cs="Times New Roman"/>
      <w:kern w:val="0"/>
      <w:sz w:val="21"/>
      <w:szCs w:val="20"/>
      <w:lang w:val="en-US" w:eastAsia="zh-CN" w:bidi="ar-SA"/>
    </w:rPr>
  </w:style>
  <w:style w:type="paragraph" w:styleId="17">
    <w:name w:val="List Paragraph"/>
    <w:basedOn w:val="1"/>
    <w:qFormat/>
    <w:uiPriority w:val="34"/>
    <w:pPr>
      <w:ind w:firstLine="420"/>
    </w:pPr>
  </w:style>
  <w:style w:type="paragraph" w:customStyle="1" w:styleId="18">
    <w:name w:val="正文表标题"/>
    <w:next w:val="14"/>
    <w:qFormat/>
    <w:uiPriority w:val="0"/>
    <w:pPr>
      <w:tabs>
        <w:tab w:val="left" w:pos="360"/>
      </w:tabs>
      <w:spacing w:beforeLines="50" w:afterLines="50"/>
      <w:ind w:left="3544"/>
      <w:jc w:val="center"/>
    </w:pPr>
    <w:rPr>
      <w:rFonts w:ascii="黑体" w:hAnsi="Times New Roman" w:eastAsia="黑体" w:cs="Times New Roman"/>
      <w:kern w:val="0"/>
      <w:sz w:val="21"/>
      <w:szCs w:val="20"/>
      <w:lang w:val="en-US" w:eastAsia="zh-CN" w:bidi="ar-SA"/>
    </w:rPr>
  </w:style>
  <w:style w:type="character" w:customStyle="1" w:styleId="19">
    <w:name w:val="fontstyle01"/>
    <w:basedOn w:val="8"/>
    <w:qFormat/>
    <w:uiPriority w:val="0"/>
    <w:rPr>
      <w:rFonts w:hint="eastAsia" w:ascii="黑体" w:hAnsi="黑体" w:eastAsia="黑体"/>
      <w:color w:val="000000"/>
      <w:sz w:val="28"/>
      <w:szCs w:val="28"/>
    </w:rPr>
  </w:style>
  <w:style w:type="character" w:customStyle="1" w:styleId="20">
    <w:name w:val="fontstyle1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</w:rPr>
  </w:style>
  <w:style w:type="character" w:customStyle="1" w:styleId="21">
    <w:name w:val="章标题 字符"/>
    <w:link w:val="16"/>
    <w:qFormat/>
    <w:uiPriority w:val="0"/>
    <w:rPr>
      <w:rFonts w:ascii="黑体" w:hAnsi="Times New Roman" w:eastAsia="黑体" w:cs="Times New Roman"/>
      <w:kern w:val="0"/>
      <w:szCs w:val="20"/>
    </w:rPr>
  </w:style>
  <w:style w:type="paragraph" w:customStyle="1" w:styleId="22">
    <w:name w:val="标准文件_段"/>
    <w:link w:val="23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character" w:customStyle="1" w:styleId="23">
    <w:name w:val="标准文件_段 Char"/>
    <w:link w:val="22"/>
    <w:qFormat/>
    <w:locked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24">
    <w:name w:val="字母编号列项（一级）"/>
    <w:qFormat/>
    <w:uiPriority w:val="0"/>
    <w:pPr>
      <w:numPr>
        <w:ilvl w:val="0"/>
        <w:numId w:val="1"/>
      </w:numPr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character" w:customStyle="1" w:styleId="25">
    <w:name w:val="一级条标题 Char"/>
    <w:link w:val="26"/>
    <w:qFormat/>
    <w:uiPriority w:val="99"/>
    <w:rPr>
      <w:rFonts w:ascii="黑体" w:eastAsia="黑体"/>
    </w:rPr>
  </w:style>
  <w:style w:type="paragraph" w:customStyle="1" w:styleId="26">
    <w:name w:val="一级条标题"/>
    <w:basedOn w:val="16"/>
    <w:next w:val="14"/>
    <w:link w:val="25"/>
    <w:qFormat/>
    <w:uiPriority w:val="99"/>
    <w:pPr>
      <w:spacing w:beforeLines="0" w:afterLines="0"/>
      <w:outlineLvl w:val="2"/>
    </w:pPr>
    <w:rPr>
      <w:rFonts w:hAnsiTheme="minorHAnsi" w:cstheme="minorBidi"/>
      <w:kern w:val="2"/>
      <w:szCs w:val="22"/>
    </w:rPr>
  </w:style>
  <w:style w:type="paragraph" w:customStyle="1" w:styleId="27">
    <w:name w:val="二级条标题"/>
    <w:basedOn w:val="1"/>
    <w:next w:val="14"/>
    <w:qFormat/>
    <w:uiPriority w:val="0"/>
    <w:pPr>
      <w:widowControl/>
      <w:spacing w:line="240" w:lineRule="auto"/>
      <w:outlineLvl w:val="3"/>
    </w:pPr>
    <w:rPr>
      <w:rFonts w:ascii="黑体" w:eastAsia="黑体"/>
      <w:kern w:val="0"/>
      <w:sz w:val="21"/>
      <w:szCs w:val="20"/>
    </w:rPr>
  </w:style>
  <w:style w:type="paragraph" w:customStyle="1" w:styleId="28">
    <w:name w:val="数字编号列项（二级）"/>
    <w:qFormat/>
    <w:uiPriority w:val="0"/>
    <w:pPr>
      <w:tabs>
        <w:tab w:val="left" w:pos="1259"/>
      </w:tabs>
      <w:ind w:left="1259" w:hanging="42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29">
    <w:name w:val="编号列项（三级）"/>
    <w:qFormat/>
    <w:uiPriority w:val="0"/>
    <w:pPr>
      <w:tabs>
        <w:tab w:val="left" w:pos="0"/>
      </w:tabs>
      <w:ind w:left="1678" w:hanging="419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30">
    <w:name w:val="纯文本1"/>
    <w:basedOn w:val="1"/>
    <w:qFormat/>
    <w:uiPriority w:val="0"/>
    <w:rPr>
      <w:rFonts w:ascii="宋体" w:hAnsi="Courier New" w:cs="Courier New"/>
      <w:kern w:val="0"/>
      <w:sz w:val="2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8a2282fb-1ade-4696-8900-c9886b6974f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a2282fb-1ade-4696-8900-c9886b6974f4}"/>
      </w:docPartPr>
      <w:docPartBody>
        <w:p w14:paraId="493200AB">
          <w:pPr>
            <w:pStyle w:val="2"/>
          </w:pPr>
          <w:r>
            <w:rPr>
              <w:rStyle w:val="3"/>
              <w:rFonts w:hint="eastAsia"/>
            </w:rPr>
            <w:t>单击或点击此处输入文字。</w:t>
          </w:r>
        </w:p>
      </w:docPartBody>
    </w:docPart>
    <w:docPart>
      <w:docPartPr>
        <w:name w:val="{8d811923-60d8-45dc-a70e-7bbbfbb2c1c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d811923-60d8-45dc-a70e-7bbbfbb2c1ca}"/>
      </w:docPartPr>
      <w:docPartBody>
        <w:p w14:paraId="476DFAEC">
          <w:pPr>
            <w:pStyle w:val="2"/>
          </w:pPr>
          <w:r>
            <w:rPr>
              <w:rStyle w:val="3"/>
              <w:rFonts w:hint="eastAsia"/>
            </w:rPr>
            <w:t>单击或点击此处输入文字。</w:t>
          </w:r>
        </w:p>
      </w:docPartBody>
    </w:docPart>
    <w:docPart>
      <w:docPartPr>
        <w:name w:val="{773db002-9c3d-4434-9b0e-fa52a2bc557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73db002-9c3d-4434-9b0e-fa52a2bc557a}"/>
      </w:docPartPr>
      <w:docPartBody>
        <w:p w14:paraId="645DCA09">
          <w:pPr>
            <w:pStyle w:val="2"/>
          </w:pPr>
          <w:r>
            <w:rPr>
              <w:rStyle w:val="3"/>
              <w:rFonts w:hint="eastAsia"/>
            </w:rPr>
            <w:t>单击或点击此处输入文字。</w:t>
          </w:r>
        </w:p>
      </w:docPartBody>
    </w:docPart>
    <w:docPart>
      <w:docPartPr>
        <w:name w:val="{aab0cf4f-ecd2-44b7-b2e4-7e7974d9a57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ab0cf4f-ecd2-44b7-b2e4-7e7974d9a578}"/>
      </w:docPartPr>
      <w:docPartBody>
        <w:p w14:paraId="15886102">
          <w:pPr>
            <w:pStyle w:val="2"/>
          </w:pPr>
          <w:r>
            <w:rPr>
              <w:rStyle w:val="3"/>
              <w:rFonts w:hint="eastAsia"/>
            </w:rPr>
            <w:t>单击或点击此处输入文字。</w:t>
          </w:r>
        </w:p>
      </w:docPartBody>
    </w:docPart>
    <w:docPart>
      <w:docPartPr>
        <w:name w:val="{420f05a9-f508-403e-afb3-ef1793ef9fb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20f05a9-f508-403e-afb3-ef1793ef9fb9}"/>
      </w:docPartPr>
      <w:docPartBody>
        <w:p w14:paraId="2B18945E">
          <w:pPr>
            <w:pStyle w:val="2"/>
          </w:pPr>
          <w:r>
            <w:rPr>
              <w:rStyle w:val="3"/>
              <w:rFonts w:hint="eastAsia"/>
            </w:rPr>
            <w:t>单击或点击此处输入文字。</w:t>
          </w:r>
        </w:p>
      </w:docPartBody>
    </w:docPart>
    <w:docPart>
      <w:docPartPr>
        <w:name w:val="{631be875-4780-45d0-ba63-3d33a4afe10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31be875-4780-45d0-ba63-3d33a4afe10d}"/>
      </w:docPartPr>
      <w:docPartBody>
        <w:p w14:paraId="50B0C0C1">
          <w:pPr>
            <w:pStyle w:val="2"/>
          </w:pPr>
          <w:r>
            <w:rPr>
              <w:rStyle w:val="3"/>
              <w:rFonts w:hint="eastAsia"/>
            </w:rPr>
            <w:t>单击或点击此处输入文字。</w:t>
          </w:r>
        </w:p>
      </w:docPartBody>
    </w:docPart>
    <w:docPart>
      <w:docPartPr>
        <w:name w:val="{d4a75584-7196-43f6-92d1-9b1a38fba2d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4a75584-7196-43f6-92d1-9b1a38fba2d1}"/>
      </w:docPartPr>
      <w:docPartBody>
        <w:p w14:paraId="1ECC9BE0">
          <w:pPr>
            <w:pStyle w:val="2"/>
          </w:pPr>
          <w:r>
            <w:rPr>
              <w:rStyle w:val="3"/>
              <w:rFonts w:hint="eastAsia"/>
            </w:rPr>
            <w:t>单击或点击此处输入文字。</w:t>
          </w:r>
        </w:p>
      </w:docPartBody>
    </w:docPart>
    <w:docPart>
      <w:docPartPr>
        <w:name w:val="{e2b6964f-ed91-4781-830f-f40af64f97f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2b6964f-ed91-4781-830f-f40af64f97f3}"/>
      </w:docPartPr>
      <w:docPartBody>
        <w:p w14:paraId="38679DC8">
          <w:pPr>
            <w:pStyle w:val="2"/>
          </w:pPr>
          <w:r>
            <w:rPr>
              <w:rStyle w:val="3"/>
              <w:rFonts w:hint="eastAsia"/>
            </w:rPr>
            <w:t>单击或点击此处输入文字。</w:t>
          </w:r>
        </w:p>
      </w:docPartBody>
    </w:docPart>
    <w:docPart>
      <w:docPartPr>
        <w:name w:val="{8b67e69f-fe6a-4f18-9389-df14830bf12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b67e69f-fe6a-4f18-9389-df14830bf123}"/>
      </w:docPartPr>
      <w:docPartBody>
        <w:p w14:paraId="446EB2F8">
          <w:pPr>
            <w:pStyle w:val="2"/>
          </w:pPr>
          <w:r>
            <w:rPr>
              <w:rStyle w:val="3"/>
              <w:rFonts w:hint="eastAsia"/>
            </w:rPr>
            <w:t>单击或点击此处输入文字。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5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1" w:name="Default Paragraph Font"/>
    <w:lsdException w:qFormat="1" w:unhideWhenUsed="0" w:uiPriority="99" w:name="Placeholder Text"/>
  </w:latentStyles>
  <w:style w:type="character" w:default="1" w:styleId="1">
    <w:name w:val="Default Paragraph Font"/>
    <w:autoRedefine/>
    <w:semiHidden/>
    <w:unhideWhenUsed/>
    <w:qFormat/>
    <w:uiPriority w:val="1"/>
  </w:style>
  <w:style w:type="paragraph" w:customStyle="1" w:styleId="2">
    <w:name w:val="761A369EAC164A3BAE913DD367D7677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styleId="3">
    <w:name w:val="Placeholder Text"/>
    <w:basedOn w:val="1"/>
    <w:autoRedefine/>
    <w:semiHidden/>
    <w:qFormat/>
    <w:uiPriority w:val="99"/>
    <w:rPr>
      <w:color w:val="808080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101C5C-CF09-4F4E-9ABB-75565D179B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1141</Words>
  <Characters>1176</Characters>
  <Lines>30</Lines>
  <Paragraphs>8</Paragraphs>
  <TotalTime>1</TotalTime>
  <ScaleCrop>false</ScaleCrop>
  <LinksUpToDate>false</LinksUpToDate>
  <CharactersWithSpaces>1194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2023-07-21T08:10:00Z</dcterms:created>
  <dc:creator>zhengy</dc:creator>
  <cp:lastModifiedBy>永屹_</cp:lastModifiedBy>
  <cp:lastPrinted>2022-04-07T01:55:00Z</cp:lastPrinted>
  <dcterms:modified xsi:type="dcterms:W3CDTF">2026-09-09T09:16:42Z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CBEBCBFA9D614012BA51BE5495EC2431_13</vt:lpwstr>
  </property>
  <property fmtid="{D5CDD505-2E9C-101B-9397-08002B2CF9AE}" pid="4" name="KSOTemplateDocerSaveRecord">
    <vt:lpwstr>eyJoZGlkIjoiZDVmZWIxNTkxZGViZDZjMjViM2NkMjY0MWMwMWYwNDMiLCJ1c2VySWQiOiI5ODY1NzI1NTUifQ==</vt:lpwstr>
  </property>
</Properties>
</file>