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1AED63">
      <w:pPr>
        <w:pStyle w:val="46"/>
        <w:framePr w:w="9566" w:h="2129" w:hRule="exact" w:wrap="around" w:vAnchor="page" w:hAnchor="page" w:x="1279" w:y="779"/>
        <w:rPr>
          <w:rFonts w:hint="eastAsia"/>
        </w:rPr>
      </w:pPr>
      <w:r>
        <w:rPr>
          <w:rFonts w:ascii="Times New Roman"/>
        </w:rPr>
        <w:t>ICS</w:t>
      </w:r>
      <w:r>
        <w:rPr>
          <w:rFonts w:hint="eastAsia" w:ascii="MS Gothic" w:hAnsi="MS Gothic" w:eastAsia="MS Gothic" w:cs="MS Gothic"/>
        </w:rPr>
        <w:t> </w:t>
      </w:r>
    </w:p>
    <w:p w14:paraId="16A3A82E">
      <w:pPr>
        <w:pStyle w:val="46"/>
        <w:framePr w:w="9566" w:h="2129" w:hRule="exact" w:wrap="around" w:vAnchor="page" w:hAnchor="page" w:x="1279" w:y="779"/>
        <w:rPr>
          <w:rFonts w:hint="eastAsia"/>
        </w:rPr>
      </w:pPr>
      <w:r>
        <w:rPr>
          <w:rFonts w:hint="eastAsia"/>
        </w:rPr>
        <w:t xml:space="preserve">CCS  </w:t>
      </w:r>
    </w:p>
    <w:p w14:paraId="2EEFFC50">
      <w:pPr>
        <w:pStyle w:val="46"/>
        <w:framePr w:w="9566" w:h="2129" w:hRule="exact" w:wrap="around" w:vAnchor="page" w:hAnchor="page" w:x="1279" w:y="779"/>
        <w:jc w:val="right"/>
      </w:pPr>
      <w:r>
        <w:rPr>
          <w:rStyle w:val="55"/>
          <w:rFonts w:hint="default" w:ascii="Times New Roman" w:hAnsi="Times New Roman" w:cs="Times New Roman"/>
          <w:sz w:val="96"/>
          <w:szCs w:val="96"/>
          <w:lang w:val="en-US" w:eastAsia="zh-CN"/>
        </w:rPr>
        <w:t>T/CRACM</w:t>
      </w:r>
    </w:p>
    <w:tbl>
      <w:tblPr>
        <w:tblStyle w:val="2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54"/>
      </w:tblGrid>
      <w:tr w14:paraId="381F5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4" w:type="dxa"/>
            <w:tcBorders>
              <w:top w:val="nil"/>
              <w:left w:val="nil"/>
              <w:bottom w:val="nil"/>
              <w:right w:val="nil"/>
            </w:tcBorders>
          </w:tcPr>
          <w:p w14:paraId="2F011085">
            <w:pPr>
              <w:pStyle w:val="46"/>
              <w:framePr w:w="9566" w:h="2129" w:hRule="exact" w:wrap="around" w:vAnchor="page" w:hAnchor="page" w:x="1279" w:y="779"/>
            </w:pPr>
            <w:r>
              <mc:AlternateContent>
                <mc:Choice Requires="wps">
                  <w:drawing>
                    <wp:anchor distT="0" distB="0" distL="114300" distR="114300" simplePos="0" relativeHeight="251660288" behindDoc="1" locked="0" layoutInCell="1" allowOverlap="1">
                      <wp:simplePos x="0" y="0"/>
                      <wp:positionH relativeFrom="column">
                        <wp:posOffset>-66675</wp:posOffset>
                      </wp:positionH>
                      <wp:positionV relativeFrom="paragraph">
                        <wp:posOffset>0</wp:posOffset>
                      </wp:positionV>
                      <wp:extent cx="866775" cy="198120"/>
                      <wp:effectExtent l="0" t="0" r="9525" b="11430"/>
                      <wp:wrapNone/>
                      <wp:docPr id="1" name="矩形 1"/>
                      <wp:cNvGraphicFramePr/>
                      <a:graphic xmlns:a="http://schemas.openxmlformats.org/drawingml/2006/main">
                        <a:graphicData uri="http://schemas.microsoft.com/office/word/2010/wordprocessingShape">
                          <wps:wsp>
                            <wps:cNvSpPr/>
                            <wps:spPr>
                              <a:xfrm>
                                <a:off x="0" y="0"/>
                                <a:ext cx="866775" cy="198120"/>
                              </a:xfrm>
                              <a:prstGeom prst="rect">
                                <a:avLst/>
                              </a:prstGeom>
                              <a:solidFill>
                                <a:srgbClr val="FFFFFF"/>
                              </a:solidFill>
                              <a:ln w="12700">
                                <a:noFill/>
                              </a:ln>
                            </wps:spPr>
                            <wps:bodyPr rot="0" vert="horz" wrap="square" lIns="91440" tIns="45720" rIns="91440" bIns="45720" anchor="t" anchorCtr="0"/>
                          </wps:wsp>
                        </a:graphicData>
                      </a:graphic>
                    </wp:anchor>
                  </w:drawing>
                </mc:Choice>
                <mc:Fallback>
                  <w:pict>
                    <v:rect id="_x0000_s1026" o:spid="_x0000_s1026" o:spt="1" style="position:absolute;left:0pt;margin-left:-5.25pt;margin-top:0pt;height:15.6pt;width:68.25pt;z-index:-251656192;mso-width-relative:page;mso-height-relative:page;" fillcolor="#FFFFFF" filled="t" stroked="f" coordsize="21600,21600" o:gfxdata="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Blw&#10;dBvWAAAABwEAAA8AAAAAAAAAAQAgAAAAIgAAAGRycy9kb3ducmV2LnhtbFBLAQIUABQAAAAIAIdO&#10;4kD3IQ1W7AEAAMsDAAAOAAAAAAAAAAEAIAAAACUBAABkcnMvZTJvRG9jLnhtbFBLBQYAAAAABgAG&#10;AFkBAACDBQAAAAA=&#10;">
                      <v:fill on="t" focussize="0,0"/>
                      <v:stroke on="f" weight="1pt"/>
                      <v:imagedata o:title=""/>
                      <o:lock v:ext="edit" aspectratio="f"/>
                    </v:rect>
                  </w:pict>
                </mc:Fallback>
              </mc:AlternateContent>
            </w:r>
          </w:p>
        </w:tc>
      </w:tr>
    </w:tbl>
    <w:p w14:paraId="0C2A7EC6">
      <w:pPr>
        <w:pStyle w:val="47"/>
        <w:framePr w:w="9416" w:x="1550" w:y="2856"/>
      </w:pPr>
      <w:r>
        <w:rPr>
          <w:rFonts w:hint="eastAsia"/>
        </w:rPr>
        <w:t>中国中医药研究促进会标准</w:t>
      </w:r>
    </w:p>
    <w:p w14:paraId="5ADD4B37">
      <w:pPr>
        <w:pStyle w:val="48"/>
        <w:framePr w:x="1984" w:y="3390"/>
        <w:rPr>
          <w:rFonts w:hAnsi="黑体"/>
        </w:rPr>
      </w:pPr>
      <w:r>
        <w:rPr>
          <w:rFonts w:ascii="黑体" w:hAnsi="宋体" w:eastAsia="黑体" w:cs="黑体"/>
          <w:b w:val="0"/>
          <w:color w:val="000000"/>
          <w:sz w:val="28"/>
          <w:szCs w:val="28"/>
        </w:rPr>
        <w:t>T/CRACM</w:t>
      </w:r>
      <w:r>
        <w:rPr>
          <w:rFonts w:hAnsi="黑体"/>
        </w:rPr>
        <w:t xml:space="preserve">/ </w:t>
      </w:r>
      <w:bookmarkStart w:id="0" w:name="StdNo1"/>
      <w:r>
        <w:rPr>
          <w:rFonts w:hAnsi="黑体"/>
        </w:rPr>
        <w:fldChar w:fldCharType="begin">
          <w:ffData>
            <w:enabled/>
            <w:calcOnExit w:val="0"/>
            <w:textInput/>
          </w:ffData>
        </w:fldChar>
      </w:r>
      <w:r>
        <w:rPr>
          <w:rFonts w:hAnsi="黑体"/>
        </w:rPr>
        <w:instrText xml:space="preserve"> FORMTEXT </w:instrText>
      </w:r>
      <w:r>
        <w:rPr>
          <w:rFonts w:hAnsi="黑体"/>
        </w:rPr>
        <w:fldChar w:fldCharType="separate"/>
      </w:r>
      <w:r>
        <w:rPr>
          <w:rFonts w:hAnsi="黑体"/>
        </w:rPr>
        <w:t>XXXXX</w:t>
      </w:r>
      <w:r>
        <w:rPr>
          <w:rFonts w:hAnsi="黑体"/>
        </w:rPr>
        <w:fldChar w:fldCharType="end"/>
      </w:r>
      <w:bookmarkEnd w:id="0"/>
      <w:r>
        <w:rPr>
          <w:rFonts w:hAnsi="黑体"/>
        </w:rPr>
        <w:t>—</w:t>
      </w:r>
      <w:bookmarkStart w:id="1" w:name="StdNo2"/>
      <w:r>
        <w:rPr>
          <w:rFonts w:hAnsi="黑体"/>
        </w:rPr>
        <w:fldChar w:fldCharType="begin">
          <w:ffData>
            <w:enabled/>
            <w:calcOnExit w:val="0"/>
            <w:textInput/>
          </w:ffData>
        </w:fldChar>
      </w:r>
      <w:r>
        <w:rPr>
          <w:rFonts w:hAnsi="黑体"/>
        </w:rPr>
        <w:instrText xml:space="preserve"> FORMTEXT </w:instrText>
      </w:r>
      <w:r>
        <w:rPr>
          <w:rFonts w:hAnsi="黑体"/>
        </w:rPr>
        <w:fldChar w:fldCharType="separate"/>
      </w:r>
      <w:r>
        <w:rPr>
          <w:rFonts w:hAnsi="黑体"/>
        </w:rPr>
        <w:t>XXXX</w:t>
      </w:r>
      <w:r>
        <w:rPr>
          <w:rFonts w:hAnsi="黑体"/>
        </w:rPr>
        <w:fldChar w:fldCharType="end"/>
      </w:r>
      <w:bookmarkEnd w:id="1"/>
    </w:p>
    <w:tbl>
      <w:tblPr>
        <w:tblStyle w:val="2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56"/>
      </w:tblGrid>
      <w:tr w14:paraId="19F3B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56" w:type="dxa"/>
            <w:tcBorders>
              <w:top w:val="nil"/>
              <w:left w:val="nil"/>
              <w:bottom w:val="nil"/>
              <w:right w:val="nil"/>
            </w:tcBorders>
          </w:tcPr>
          <w:p w14:paraId="74F8064E">
            <w:pPr>
              <w:pStyle w:val="49"/>
              <w:framePr w:x="1984" w:y="3390"/>
            </w:pPr>
            <w:bookmarkStart w:id="2" w:name="DT"/>
            <w:r>
              <w:fldChar w:fldCharType="begin">
                <w:ffData>
                  <w:enabled/>
                  <w:calcOnExit w:val="0"/>
                  <w:textInput/>
                </w:ffData>
              </w:fldChar>
            </w:r>
            <w:r>
              <w:instrText xml:space="preserve"> FORMTEXT </w:instrText>
            </w:r>
            <w:r>
              <w:fldChar w:fldCharType="separate"/>
            </w:r>
            <w:r>
              <w:t>     </w:t>
            </w:r>
            <w:r>
              <w:fldChar w:fldCharType="end"/>
            </w:r>
            <w:bookmarkEnd w:id="2"/>
          </w:p>
        </w:tc>
      </w:tr>
    </w:tbl>
    <w:p w14:paraId="318F811A">
      <w:pPr>
        <w:pStyle w:val="48"/>
        <w:framePr w:x="1984" w:y="3390"/>
        <w:rPr>
          <w:rFonts w:hAnsi="黑体"/>
        </w:rPr>
      </w:pPr>
    </w:p>
    <w:p w14:paraId="26483001">
      <w:pPr>
        <w:pStyle w:val="48"/>
        <w:framePr w:x="1984" w:y="3390"/>
        <w:rPr>
          <w:rFonts w:hAnsi="黑体"/>
        </w:rPr>
      </w:pPr>
    </w:p>
    <w:p w14:paraId="213272E1">
      <w:pPr>
        <w:pStyle w:val="50"/>
        <w:framePr w:x="1417" w:y="6153"/>
        <w:rPr>
          <w:rFonts w:hint="default" w:ascii="黑体" w:hAnsi="黑体" w:eastAsia="黑体" w:cs="黑体"/>
          <w:color w:val="000000"/>
          <w:spacing w:val="-6"/>
          <w:kern w:val="0"/>
          <w:sz w:val="52"/>
          <w:szCs w:val="52"/>
          <w:lang w:val="en-US" w:eastAsia="en-US" w:bidi="ar-SA"/>
        </w:rPr>
      </w:pPr>
      <w:r>
        <w:t>中国西部高原地区青少年脊柱侧弯预防与临床干预指南</w:t>
      </w:r>
    </w:p>
    <w:tbl>
      <w:tblPr>
        <w:tblStyle w:val="2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55"/>
      </w:tblGrid>
      <w:tr w14:paraId="5C1A6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855" w:type="dxa"/>
            <w:tcBorders>
              <w:top w:val="nil"/>
              <w:left w:val="nil"/>
              <w:bottom w:val="nil"/>
              <w:right w:val="nil"/>
            </w:tcBorders>
          </w:tcPr>
          <w:p w14:paraId="0D346761">
            <w:pPr>
              <w:pStyle w:val="52"/>
              <w:framePr w:x="1417" w:y="6153"/>
            </w:pPr>
            <w:r>
              <w:rPr>
                <w:rFonts w:hint="eastAsia" w:ascii="Times New Roman" w:hAnsi="Times New Roman" w:eastAsia="Times New Roman" w:cs="Times New Roman"/>
                <w:color w:val="000000"/>
                <w:kern w:val="0"/>
                <w:sz w:val="28"/>
                <w:szCs w:val="28"/>
                <w:lang w:val="en-US" w:eastAsia="en-US" w:bidi="ar-SA"/>
              </w:rPr>
              <mc:AlternateContent>
                <mc:Choice Requires="wps">
                  <w:drawing>
                    <wp:anchor distT="0" distB="0" distL="114300" distR="114300" simplePos="0" relativeHeight="251660288" behindDoc="1" locked="0" layoutInCell="1" allowOverlap="1">
                      <wp:simplePos x="0" y="0"/>
                      <wp:positionH relativeFrom="column">
                        <wp:posOffset>2200910</wp:posOffset>
                      </wp:positionH>
                      <wp:positionV relativeFrom="paragraph">
                        <wp:posOffset>4281805</wp:posOffset>
                      </wp:positionV>
                      <wp:extent cx="1905000" cy="254000"/>
                      <wp:effectExtent l="0" t="0" r="0" b="12700"/>
                      <wp:wrapNone/>
                      <wp:docPr id="2" name="矩形 2"/>
                      <wp:cNvGraphicFramePr/>
                      <a:graphic xmlns:a="http://schemas.openxmlformats.org/drawingml/2006/main">
                        <a:graphicData uri="http://schemas.microsoft.com/office/word/2010/wordprocessingShape">
                          <wps:wsp>
                            <wps:cNvSpPr/>
                            <wps:spPr>
                              <a:xfrm>
                                <a:off x="0" y="0"/>
                                <a:ext cx="1905000" cy="254000"/>
                              </a:xfrm>
                              <a:prstGeom prst="rect">
                                <a:avLst/>
                              </a:prstGeom>
                              <a:solidFill>
                                <a:srgbClr val="FFFFFF"/>
                              </a:solidFill>
                              <a:ln w="12700">
                                <a:noFill/>
                              </a:ln>
                            </wps:spPr>
                            <wps:bodyPr rot="0" vert="horz" wrap="square" lIns="91440" tIns="45720" rIns="91440" bIns="45720" anchor="t" anchorCtr="0"/>
                          </wps:wsp>
                        </a:graphicData>
                      </a:graphic>
                    </wp:anchor>
                  </w:drawing>
                </mc:Choice>
                <mc:Fallback>
                  <w:pict>
                    <v:rect id="_x0000_s1026" o:spid="_x0000_s1026" o:spt="1" style="position:absolute;left:0pt;margin-left:173.3pt;margin-top:337.15pt;height:20pt;width:150pt;z-index:-251656192;mso-width-relative:page;mso-height-relative:page;" fillcolor="#FFFFFF" filled="t" stroked="f" coordsize="21600,21600" o:gfxdata="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58p6D&#10;2AAAAAsBAAAPAAAAAAAAAAEAIAAAACIAAABkcnMvZG93bnJldi54bWxQSwECFAAUAAAACACHTuJA&#10;QA7wbugBAADMAwAADgAAAAAAAAABACAAAAAnAQAAZHJzL2Uyb0RvYy54bWxQSwUGAAAAAAYABgBZ&#10;AQAAgQUAAAAA&#10;">
                      <v:fill on="t" focussize="0,0"/>
                      <v:stroke on="f" weight="1pt"/>
                      <v:imagedata o:title=""/>
                      <o:lock v:ext="edit" aspectratio="f"/>
                    </v:rect>
                  </w:pict>
                </mc:Fallback>
              </mc:AlternateContent>
            </w:r>
            <w:r>
              <w:rPr>
                <w:rFonts w:hint="eastAsia" w:ascii="Times New Roman" w:hAnsi="Times New Roman" w:eastAsia="Times New Roman" w:cs="Times New Roman"/>
                <w:color w:val="000000"/>
                <w:kern w:val="0"/>
                <w:sz w:val="28"/>
                <w:szCs w:val="28"/>
                <w:lang w:val="en-US" w:eastAsia="zh-CN" w:bidi="ar-SA"/>
              </w:rPr>
              <w:t>Guideline for Prevention and Clinical Intervention of Adolescent Idiopathic Scoliosis in High-Altitude Areas of Western China</w:t>
            </w:r>
            <w:r>
              <w:fldChar w:fldCharType="begin">
                <w:ffData>
                  <w:enabled/>
                  <w:calcOnExit w:val="0"/>
                  <w:ddList/>
                </w:ffData>
              </w:fldChar>
            </w:r>
            <w:bookmarkStart w:id="3" w:name="LB"/>
            <w:r>
              <w:instrText xml:space="preserve"> FORMDROPDOWN </w:instrText>
            </w:r>
            <w:r>
              <w:fldChar w:fldCharType="separate"/>
            </w:r>
            <w:r>
              <w:fldChar w:fldCharType="end"/>
            </w:r>
            <w:bookmarkEnd w:id="3"/>
          </w:p>
        </w:tc>
      </w:tr>
      <w:tr w14:paraId="2FDCF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5" w:type="dxa"/>
            <w:tcBorders>
              <w:top w:val="nil"/>
              <w:left w:val="nil"/>
              <w:bottom w:val="nil"/>
              <w:right w:val="nil"/>
            </w:tcBorders>
          </w:tcPr>
          <w:p w14:paraId="7351CA45">
            <w:pPr>
              <w:pStyle w:val="54"/>
              <w:framePr w:x="1417" w:y="6153"/>
              <w:jc w:val="center"/>
              <w:rPr>
                <w:rFonts w:hint="eastAsia"/>
                <w:sz w:val="24"/>
                <w:szCs w:val="24"/>
                <w:lang w:eastAsia="zh-CN"/>
              </w:rPr>
            </w:pPr>
          </w:p>
          <w:p w14:paraId="7030B356">
            <w:pPr>
              <w:pStyle w:val="54"/>
              <w:framePr w:x="1417" w:y="6153"/>
              <w:jc w:val="center"/>
              <w:rPr>
                <w:rFonts w:hint="eastAsia"/>
                <w:sz w:val="24"/>
                <w:szCs w:val="24"/>
                <w:lang w:eastAsia="zh-CN"/>
              </w:rPr>
            </w:pPr>
          </w:p>
          <w:p w14:paraId="5C331523">
            <w:pPr>
              <w:pStyle w:val="51"/>
              <w:framePr w:x="1417" w:y="6153"/>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（征求意见稿）</w:t>
            </w:r>
          </w:p>
          <w:p w14:paraId="75BC6FC3">
            <w:pPr>
              <w:pStyle w:val="54"/>
              <w:framePr w:x="1417" w:y="6153"/>
              <w:jc w:val="center"/>
              <w:rPr>
                <w:rFonts w:hint="eastAsia"/>
                <w:sz w:val="24"/>
                <w:szCs w:val="24"/>
                <w:lang w:eastAsia="zh-CN"/>
              </w:rPr>
            </w:pPr>
          </w:p>
          <w:p w14:paraId="064DE7CB">
            <w:pPr>
              <w:pStyle w:val="51"/>
              <w:framePr w:x="1417" w:y="6153"/>
              <w:rPr>
                <w:rFonts w:hint="default" w:eastAsia="宋体" w:cs="Times New Roman"/>
                <w:color w:val="000000"/>
                <w:kern w:val="0"/>
                <w:sz w:val="28"/>
                <w:szCs w:val="28"/>
                <w:lang w:val="en-US" w:eastAsia="zh-CN" w:bidi="ar-SA"/>
              </w:rPr>
            </w:pPr>
            <w:r>
              <w:rPr>
                <w:rFonts w:hint="eastAsia" w:ascii="黑体" w:hAnsi="黑体" w:eastAsia="黑体" w:cs="黑体"/>
                <w:color w:val="000000"/>
                <w:kern w:val="0"/>
                <w:sz w:val="20"/>
                <w:szCs w:val="20"/>
                <w:lang w:val="en-US" w:eastAsia="zh-CN" w:bidi="ar-SA"/>
              </w:rPr>
              <w:t>在提交反馈意见时，请将您知道的相关专利连同支持性文件一并附上</w:t>
            </w:r>
            <w:r>
              <w:rPr>
                <w:rFonts w:hint="eastAsia" w:ascii="黑体" w:hAnsi="黑体" w:cs="黑体"/>
                <w:color w:val="000000"/>
                <w:kern w:val="0"/>
                <w:sz w:val="20"/>
                <w:szCs w:val="20"/>
                <w:lang w:val="en-US" w:eastAsia="zh-CN" w:bidi="ar-SA"/>
              </w:rPr>
              <w:t>。</w:t>
            </w:r>
          </w:p>
          <w:p w14:paraId="06DCF489">
            <w:pPr>
              <w:pStyle w:val="54"/>
              <w:framePr w:x="1417" w:y="6153"/>
            </w:pPr>
          </w:p>
        </w:tc>
      </w:tr>
    </w:tbl>
    <w:p w14:paraId="4085F893">
      <w:pPr>
        <w:pStyle w:val="44"/>
        <w:spacing w:line="240" w:lineRule="exact"/>
        <w:jc w:val="center"/>
        <w:rPr>
          <w:rFonts w:ascii="Times New Roman" w:hAnsi="Times New Roman" w:eastAsia="宋体"/>
          <w:lang w:val="zh-CN"/>
        </w:rPr>
      </w:pPr>
      <w:r>
        <w:rPr>
          <w:sz w:val="32"/>
        </w:rPr>
        <mc:AlternateContent>
          <mc:Choice Requires="wps">
            <w:drawing>
              <wp:anchor distT="0" distB="0" distL="114300" distR="114300" simplePos="0" relativeHeight="251661312" behindDoc="0" locked="0" layoutInCell="1" allowOverlap="1">
                <wp:simplePos x="0" y="0"/>
                <wp:positionH relativeFrom="column">
                  <wp:posOffset>-377190</wp:posOffset>
                </wp:positionH>
                <wp:positionV relativeFrom="paragraph">
                  <wp:posOffset>1849120</wp:posOffset>
                </wp:positionV>
                <wp:extent cx="6353175" cy="0"/>
                <wp:effectExtent l="0" t="0" r="0" b="0"/>
                <wp:wrapNone/>
                <wp:docPr id="3" name="直接连接符 3"/>
                <wp:cNvGraphicFramePr/>
                <a:graphic xmlns:a="http://schemas.openxmlformats.org/drawingml/2006/main">
                  <a:graphicData uri="http://schemas.microsoft.com/office/word/2010/wordprocessingShape">
                    <wps:wsp>
                      <wps:cNvCnPr/>
                      <wps:spPr>
                        <a:xfrm>
                          <a:off x="765810" y="2763520"/>
                          <a:ext cx="6353175" cy="0"/>
                        </a:xfrm>
                        <a:prstGeom prst="line">
                          <a:avLst/>
                        </a:prstGeom>
                      </wps:spPr>
                      <wps:style>
                        <a:lnRef idx="1">
                          <a:schemeClr val="dk1"/>
                        </a:lnRef>
                        <a:fillRef idx="0">
                          <a:schemeClr val="dk1"/>
                        </a:fillRef>
                        <a:effectRef idx="0">
                          <a:schemeClr val="dk1"/>
                        </a:effectRef>
                        <a:fontRef idx="minor">
                          <a:schemeClr val="tx1"/>
                        </a:fontRef>
                      </wps:style>
                      <wps:bodyPr rot="0" vert="horz" wrap="square" lIns="91440" tIns="45720" rIns="91440" bIns="45720" anchor="t" anchorCtr="0"/>
                    </wps:wsp>
                  </a:graphicData>
                </a:graphic>
              </wp:anchor>
            </w:drawing>
          </mc:Choice>
          <mc:Fallback>
            <w:pict>
              <v:line id="_x0000_s1026" o:spid="_x0000_s1026" o:spt="20" style="position:absolute;left:0pt;margin-left:-29.7pt;margin-top:145.6pt;height:0pt;width:500.25pt;z-index:251661312;mso-width-relative:page;mso-height-relative:page;" filled="f" stroked="t" coordsize="21600,21600" o:gfxdata="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v4syZ9gAAAALAQAADwAAAAAAAAABACAAAAAiAAAAZHJzL2Rvd25yZXYueG1sUEsBAhQAFAAAAAgA&#10;h07iQBNOWLElAgAAKwQAAA4AAAAAAAAAAQAgAAAAJwEAAGRycy9lMm9Eb2MueG1sUEsFBgAAAAAG&#10;AAYAWQEAAL4FAAAAAA==&#10;">
                <v:fill on="f" focussize="0,0"/>
                <v:stroke weight="0.5pt" color="#000000 [3200]" miterlimit="8" joinstyle="miter"/>
                <v:imagedata o:title=""/>
                <o:lock v:ext="edit" aspectratio="f"/>
              </v:line>
            </w:pict>
          </mc:Fallback>
        </mc:AlternateContent>
      </w:r>
    </w:p>
    <w:p w14:paraId="0AA1726B">
      <w:pPr>
        <w:pStyle w:val="44"/>
        <w:spacing w:line="240" w:lineRule="exact"/>
        <w:jc w:val="center"/>
        <w:rPr>
          <w:rFonts w:ascii="Times New Roman" w:hAnsi="Times New Roman" w:eastAsia="宋体"/>
          <w:lang w:val="zh-CN"/>
        </w:rPr>
      </w:pPr>
    </w:p>
    <w:p w14:paraId="2E5B3FD4">
      <w:pPr>
        <w:pStyle w:val="44"/>
        <w:spacing w:line="240" w:lineRule="exact"/>
        <w:jc w:val="center"/>
        <w:rPr>
          <w:rFonts w:ascii="Times New Roman" w:hAnsi="Times New Roman" w:eastAsia="宋体"/>
          <w:lang w:val="zh-CN"/>
        </w:rPr>
      </w:pPr>
    </w:p>
    <w:p w14:paraId="7E2FA683">
      <w:pPr>
        <w:pStyle w:val="44"/>
        <w:spacing w:line="240" w:lineRule="exact"/>
        <w:jc w:val="center"/>
        <w:rPr>
          <w:rFonts w:ascii="Times New Roman" w:hAnsi="Times New Roman" w:eastAsia="宋体"/>
          <w:lang w:val="zh-CN"/>
        </w:rPr>
      </w:pPr>
    </w:p>
    <w:p w14:paraId="7C8CBC9F">
      <w:pPr>
        <w:pStyle w:val="44"/>
        <w:spacing w:line="240" w:lineRule="exact"/>
        <w:jc w:val="both"/>
        <w:rPr>
          <w:rFonts w:ascii="Times New Roman" w:hAnsi="Times New Roman" w:eastAsia="宋体"/>
          <w:lang w:val="zh-CN"/>
        </w:rPr>
      </w:pPr>
    </w:p>
    <w:p w14:paraId="4E929DFD">
      <w:pPr>
        <w:pStyle w:val="44"/>
        <w:spacing w:line="240" w:lineRule="exact"/>
        <w:jc w:val="both"/>
        <w:rPr>
          <w:rFonts w:ascii="Times New Roman" w:hAnsi="Times New Roman" w:eastAsia="宋体"/>
          <w:lang w:val="zh-CN"/>
        </w:rPr>
      </w:pPr>
      <w:r>
        <w:rPr>
          <w:sz w:val="32"/>
        </w:rPr>
        <mc:AlternateContent>
          <mc:Choice Requires="wps">
            <w:drawing>
              <wp:anchor distT="0" distB="0" distL="114300" distR="114300" simplePos="0" relativeHeight="251662336" behindDoc="0" locked="0" layoutInCell="1" allowOverlap="1">
                <wp:simplePos x="0" y="0"/>
                <wp:positionH relativeFrom="column">
                  <wp:posOffset>-300990</wp:posOffset>
                </wp:positionH>
                <wp:positionV relativeFrom="paragraph">
                  <wp:posOffset>213995</wp:posOffset>
                </wp:positionV>
                <wp:extent cx="2181225" cy="438150"/>
                <wp:effectExtent l="0" t="0" r="13335" b="3810"/>
                <wp:wrapNone/>
                <wp:docPr id="4" name="文本框 4"/>
                <wp:cNvGraphicFramePr/>
                <a:graphic xmlns:a="http://schemas.openxmlformats.org/drawingml/2006/main">
                  <a:graphicData uri="http://schemas.microsoft.com/office/word/2010/wordprocessingShape">
                    <wps:wsp>
                      <wps:cNvSpPr txBox="1"/>
                      <wps:spPr>
                        <a:xfrm>
                          <a:off x="842010" y="9056370"/>
                          <a:ext cx="2181225" cy="4381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10EA07D">
                            <w:bookmarkStart w:id="87" w:name="FY"/>
                            <w:r>
                              <w:rPr>
                                <w:rFonts w:hint="eastAsia" w:ascii="黑体" w:hAnsi="黑体" w:eastAsia="黑体" w:cs="黑体"/>
                                <w:color w:val="000000"/>
                                <w:sz w:val="28"/>
                                <w:szCs w:val="28"/>
                              </w:rPr>
                              <w:fldChar w:fldCharType="begin">
                                <w:ffData>
                                  <w:enabled/>
                                  <w:calcOnExit w:val="0"/>
                                  <w:textInput/>
                                </w:ffData>
                              </w:fldChar>
                            </w:r>
                            <w:r>
                              <w:rPr>
                                <w:rFonts w:hint="eastAsia" w:ascii="黑体" w:hAnsi="黑体" w:eastAsia="黑体" w:cs="黑体"/>
                                <w:color w:val="000000"/>
                                <w:sz w:val="28"/>
                                <w:szCs w:val="28"/>
                              </w:rPr>
                              <w:instrText xml:space="preserve"> FORMTEXT </w:instrText>
                            </w:r>
                            <w:r>
                              <w:rPr>
                                <w:rFonts w:hint="eastAsia" w:ascii="黑体" w:hAnsi="黑体" w:eastAsia="黑体" w:cs="黑体"/>
                                <w:color w:val="000000"/>
                                <w:sz w:val="28"/>
                                <w:szCs w:val="28"/>
                              </w:rPr>
                              <w:fldChar w:fldCharType="separate"/>
                            </w:r>
                            <w:r>
                              <w:rPr>
                                <w:rFonts w:hint="eastAsia" w:ascii="黑体" w:hAnsi="黑体" w:eastAsia="黑体" w:cs="黑体"/>
                                <w:color w:val="000000"/>
                                <w:sz w:val="28"/>
                                <w:szCs w:val="28"/>
                              </w:rPr>
                              <w:t>XXXX</w:t>
                            </w:r>
                            <w:r>
                              <w:rPr>
                                <w:rFonts w:hint="eastAsia" w:ascii="黑体" w:hAnsi="黑体" w:eastAsia="黑体" w:cs="黑体"/>
                                <w:color w:val="000000"/>
                                <w:sz w:val="28"/>
                                <w:szCs w:val="28"/>
                              </w:rPr>
                              <w:fldChar w:fldCharType="end"/>
                            </w:r>
                            <w:bookmarkEnd w:id="87"/>
                            <w:r>
                              <w:rPr>
                                <w:rFonts w:hint="eastAsia" w:ascii="黑体" w:hAnsi="黑体" w:eastAsia="黑体" w:cs="黑体"/>
                                <w:color w:val="000000"/>
                                <w:sz w:val="28"/>
                                <w:szCs w:val="28"/>
                              </w:rPr>
                              <w:t xml:space="preserve"> - </w:t>
                            </w:r>
                            <w:r>
                              <w:rPr>
                                <w:rFonts w:hint="eastAsia" w:ascii="黑体" w:hAnsi="黑体" w:eastAsia="黑体" w:cs="黑体"/>
                                <w:color w:val="000000"/>
                                <w:sz w:val="28"/>
                                <w:szCs w:val="28"/>
                              </w:rPr>
                              <w:fldChar w:fldCharType="begin">
                                <w:ffData>
                                  <w:enabled/>
                                  <w:calcOnExit w:val="0"/>
                                  <w:textInput/>
                                </w:ffData>
                              </w:fldChar>
                            </w:r>
                            <w:r>
                              <w:rPr>
                                <w:rFonts w:hint="eastAsia" w:ascii="黑体" w:hAnsi="黑体" w:eastAsia="黑体" w:cs="黑体"/>
                                <w:color w:val="000000"/>
                                <w:sz w:val="28"/>
                                <w:szCs w:val="28"/>
                              </w:rPr>
                              <w:instrText xml:space="preserve"> FORMTEXT </w:instrText>
                            </w:r>
                            <w:r>
                              <w:rPr>
                                <w:rFonts w:hint="eastAsia" w:ascii="黑体" w:hAnsi="黑体" w:eastAsia="黑体" w:cs="黑体"/>
                                <w:color w:val="000000"/>
                                <w:sz w:val="28"/>
                                <w:szCs w:val="28"/>
                              </w:rPr>
                              <w:fldChar w:fldCharType="separate"/>
                            </w:r>
                            <w:r>
                              <w:rPr>
                                <w:rFonts w:hint="eastAsia" w:ascii="黑体" w:hAnsi="黑体" w:eastAsia="黑体" w:cs="黑体"/>
                                <w:color w:val="000000"/>
                                <w:sz w:val="28"/>
                                <w:szCs w:val="28"/>
                              </w:rPr>
                              <w:t>XX</w:t>
                            </w:r>
                            <w:r>
                              <w:rPr>
                                <w:rFonts w:hint="eastAsia" w:ascii="黑体" w:hAnsi="黑体" w:eastAsia="黑体" w:cs="黑体"/>
                                <w:color w:val="000000"/>
                                <w:sz w:val="28"/>
                                <w:szCs w:val="28"/>
                              </w:rPr>
                              <w:fldChar w:fldCharType="end"/>
                            </w:r>
                            <w:r>
                              <w:rPr>
                                <w:rFonts w:hint="eastAsia" w:ascii="黑体" w:hAnsi="黑体" w:eastAsia="黑体" w:cs="黑体"/>
                                <w:color w:val="000000"/>
                                <w:sz w:val="28"/>
                                <w:szCs w:val="28"/>
                              </w:rPr>
                              <w:t xml:space="preserve"> - </w:t>
                            </w:r>
                            <w:bookmarkStart w:id="88" w:name="FD"/>
                            <w:r>
                              <w:rPr>
                                <w:rFonts w:hint="eastAsia" w:ascii="黑体" w:hAnsi="黑体" w:eastAsia="黑体" w:cs="黑体"/>
                                <w:color w:val="000000"/>
                                <w:sz w:val="28"/>
                                <w:szCs w:val="28"/>
                              </w:rPr>
                              <w:fldChar w:fldCharType="begin">
                                <w:ffData>
                                  <w:enabled/>
                                  <w:calcOnExit w:val="0"/>
                                  <w:textInput/>
                                </w:ffData>
                              </w:fldChar>
                            </w:r>
                            <w:r>
                              <w:rPr>
                                <w:rFonts w:hint="eastAsia" w:ascii="黑体" w:hAnsi="黑体" w:eastAsia="黑体" w:cs="黑体"/>
                                <w:color w:val="000000"/>
                                <w:sz w:val="28"/>
                                <w:szCs w:val="28"/>
                              </w:rPr>
                              <w:instrText xml:space="preserve"> FORMTEXT </w:instrText>
                            </w:r>
                            <w:r>
                              <w:rPr>
                                <w:rFonts w:hint="eastAsia" w:ascii="黑体" w:hAnsi="黑体" w:eastAsia="黑体" w:cs="黑体"/>
                                <w:color w:val="000000"/>
                                <w:sz w:val="28"/>
                                <w:szCs w:val="28"/>
                              </w:rPr>
                              <w:fldChar w:fldCharType="separate"/>
                            </w:r>
                            <w:r>
                              <w:rPr>
                                <w:rFonts w:hint="eastAsia" w:ascii="黑体" w:hAnsi="黑体" w:eastAsia="黑体" w:cs="黑体"/>
                                <w:color w:val="000000"/>
                                <w:sz w:val="28"/>
                                <w:szCs w:val="28"/>
                              </w:rPr>
                              <w:t>XX</w:t>
                            </w:r>
                            <w:r>
                              <w:rPr>
                                <w:rFonts w:hint="eastAsia" w:ascii="黑体" w:hAnsi="黑体" w:eastAsia="黑体" w:cs="黑体"/>
                                <w:color w:val="000000"/>
                                <w:sz w:val="28"/>
                                <w:szCs w:val="28"/>
                              </w:rPr>
                              <w:fldChar w:fldCharType="end"/>
                            </w:r>
                            <w:bookmarkEnd w:id="88"/>
                            <w:r>
                              <w:rPr>
                                <w:rFonts w:hint="eastAsia" w:ascii="黑体" w:hAnsi="黑体" w:eastAsia="黑体" w:cs="黑体"/>
                                <w:color w:val="000000"/>
                                <w:sz w:val="28"/>
                                <w:szCs w:val="28"/>
                              </w:rPr>
                              <w:t>发布</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7pt;margin-top:16.85pt;height:34.5pt;width:171.75pt;z-index:251662336;mso-width-relative:page;mso-height-relative:page;" fillcolor="#FFFFFF [3201]" filled="t" stroked="f" coordsize="21600,21600" o:gfxdata="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E3AmEPW&#10;AAAACgEAAA8AAAAAAAAAAQAgAAAAIgAAAGRycy9kb3ducmV2LnhtbFBLAQIUABQAAAAIAIdO4kCD&#10;NFUUWwIAAJoEAAAOAAAAAAAAAAEAIAAAACUBAABkcnMvZTJvRG9jLnhtbFBLBQYAAAAABgAGAFkB&#10;AADyBQAAAAA=&#10;">
                <v:fill on="t" focussize="0,0"/>
                <v:stroke on="f" weight="0.5pt"/>
                <v:imagedata o:title=""/>
                <o:lock v:ext="edit" aspectratio="f"/>
                <v:textbox>
                  <w:txbxContent>
                    <w:p w14:paraId="710EA07D">
                      <w:bookmarkStart w:id="87" w:name="FY"/>
                      <w:r>
                        <w:rPr>
                          <w:rFonts w:hint="eastAsia" w:ascii="黑体" w:hAnsi="黑体" w:eastAsia="黑体" w:cs="黑体"/>
                          <w:color w:val="000000"/>
                          <w:sz w:val="28"/>
                          <w:szCs w:val="28"/>
                        </w:rPr>
                        <w:fldChar w:fldCharType="begin">
                          <w:ffData>
                            <w:enabled/>
                            <w:calcOnExit w:val="0"/>
                            <w:textInput/>
                          </w:ffData>
                        </w:fldChar>
                      </w:r>
                      <w:r>
                        <w:rPr>
                          <w:rFonts w:hint="eastAsia" w:ascii="黑体" w:hAnsi="黑体" w:eastAsia="黑体" w:cs="黑体"/>
                          <w:color w:val="000000"/>
                          <w:sz w:val="28"/>
                          <w:szCs w:val="28"/>
                        </w:rPr>
                        <w:instrText xml:space="preserve"> FORMTEXT </w:instrText>
                      </w:r>
                      <w:r>
                        <w:rPr>
                          <w:rFonts w:hint="eastAsia" w:ascii="黑体" w:hAnsi="黑体" w:eastAsia="黑体" w:cs="黑体"/>
                          <w:color w:val="000000"/>
                          <w:sz w:val="28"/>
                          <w:szCs w:val="28"/>
                        </w:rPr>
                        <w:fldChar w:fldCharType="separate"/>
                      </w:r>
                      <w:r>
                        <w:rPr>
                          <w:rFonts w:hint="eastAsia" w:ascii="黑体" w:hAnsi="黑体" w:eastAsia="黑体" w:cs="黑体"/>
                          <w:color w:val="000000"/>
                          <w:sz w:val="28"/>
                          <w:szCs w:val="28"/>
                        </w:rPr>
                        <w:t>XXXX</w:t>
                      </w:r>
                      <w:r>
                        <w:rPr>
                          <w:rFonts w:hint="eastAsia" w:ascii="黑体" w:hAnsi="黑体" w:eastAsia="黑体" w:cs="黑体"/>
                          <w:color w:val="000000"/>
                          <w:sz w:val="28"/>
                          <w:szCs w:val="28"/>
                        </w:rPr>
                        <w:fldChar w:fldCharType="end"/>
                      </w:r>
                      <w:bookmarkEnd w:id="87"/>
                      <w:r>
                        <w:rPr>
                          <w:rFonts w:hint="eastAsia" w:ascii="黑体" w:hAnsi="黑体" w:eastAsia="黑体" w:cs="黑体"/>
                          <w:color w:val="000000"/>
                          <w:sz w:val="28"/>
                          <w:szCs w:val="28"/>
                        </w:rPr>
                        <w:t xml:space="preserve"> - </w:t>
                      </w:r>
                      <w:r>
                        <w:rPr>
                          <w:rFonts w:hint="eastAsia" w:ascii="黑体" w:hAnsi="黑体" w:eastAsia="黑体" w:cs="黑体"/>
                          <w:color w:val="000000"/>
                          <w:sz w:val="28"/>
                          <w:szCs w:val="28"/>
                        </w:rPr>
                        <w:fldChar w:fldCharType="begin">
                          <w:ffData>
                            <w:enabled/>
                            <w:calcOnExit w:val="0"/>
                            <w:textInput/>
                          </w:ffData>
                        </w:fldChar>
                      </w:r>
                      <w:r>
                        <w:rPr>
                          <w:rFonts w:hint="eastAsia" w:ascii="黑体" w:hAnsi="黑体" w:eastAsia="黑体" w:cs="黑体"/>
                          <w:color w:val="000000"/>
                          <w:sz w:val="28"/>
                          <w:szCs w:val="28"/>
                        </w:rPr>
                        <w:instrText xml:space="preserve"> FORMTEXT </w:instrText>
                      </w:r>
                      <w:r>
                        <w:rPr>
                          <w:rFonts w:hint="eastAsia" w:ascii="黑体" w:hAnsi="黑体" w:eastAsia="黑体" w:cs="黑体"/>
                          <w:color w:val="000000"/>
                          <w:sz w:val="28"/>
                          <w:szCs w:val="28"/>
                        </w:rPr>
                        <w:fldChar w:fldCharType="separate"/>
                      </w:r>
                      <w:r>
                        <w:rPr>
                          <w:rFonts w:hint="eastAsia" w:ascii="黑体" w:hAnsi="黑体" w:eastAsia="黑体" w:cs="黑体"/>
                          <w:color w:val="000000"/>
                          <w:sz w:val="28"/>
                          <w:szCs w:val="28"/>
                        </w:rPr>
                        <w:t>XX</w:t>
                      </w:r>
                      <w:r>
                        <w:rPr>
                          <w:rFonts w:hint="eastAsia" w:ascii="黑体" w:hAnsi="黑体" w:eastAsia="黑体" w:cs="黑体"/>
                          <w:color w:val="000000"/>
                          <w:sz w:val="28"/>
                          <w:szCs w:val="28"/>
                        </w:rPr>
                        <w:fldChar w:fldCharType="end"/>
                      </w:r>
                      <w:r>
                        <w:rPr>
                          <w:rFonts w:hint="eastAsia" w:ascii="黑体" w:hAnsi="黑体" w:eastAsia="黑体" w:cs="黑体"/>
                          <w:color w:val="000000"/>
                          <w:sz w:val="28"/>
                          <w:szCs w:val="28"/>
                        </w:rPr>
                        <w:t xml:space="preserve"> - </w:t>
                      </w:r>
                      <w:bookmarkStart w:id="88" w:name="FD"/>
                      <w:r>
                        <w:rPr>
                          <w:rFonts w:hint="eastAsia" w:ascii="黑体" w:hAnsi="黑体" w:eastAsia="黑体" w:cs="黑体"/>
                          <w:color w:val="000000"/>
                          <w:sz w:val="28"/>
                          <w:szCs w:val="28"/>
                        </w:rPr>
                        <w:fldChar w:fldCharType="begin">
                          <w:ffData>
                            <w:enabled/>
                            <w:calcOnExit w:val="0"/>
                            <w:textInput/>
                          </w:ffData>
                        </w:fldChar>
                      </w:r>
                      <w:r>
                        <w:rPr>
                          <w:rFonts w:hint="eastAsia" w:ascii="黑体" w:hAnsi="黑体" w:eastAsia="黑体" w:cs="黑体"/>
                          <w:color w:val="000000"/>
                          <w:sz w:val="28"/>
                          <w:szCs w:val="28"/>
                        </w:rPr>
                        <w:instrText xml:space="preserve"> FORMTEXT </w:instrText>
                      </w:r>
                      <w:r>
                        <w:rPr>
                          <w:rFonts w:hint="eastAsia" w:ascii="黑体" w:hAnsi="黑体" w:eastAsia="黑体" w:cs="黑体"/>
                          <w:color w:val="000000"/>
                          <w:sz w:val="28"/>
                          <w:szCs w:val="28"/>
                        </w:rPr>
                        <w:fldChar w:fldCharType="separate"/>
                      </w:r>
                      <w:r>
                        <w:rPr>
                          <w:rFonts w:hint="eastAsia" w:ascii="黑体" w:hAnsi="黑体" w:eastAsia="黑体" w:cs="黑体"/>
                          <w:color w:val="000000"/>
                          <w:sz w:val="28"/>
                          <w:szCs w:val="28"/>
                        </w:rPr>
                        <w:t>XX</w:t>
                      </w:r>
                      <w:r>
                        <w:rPr>
                          <w:rFonts w:hint="eastAsia" w:ascii="黑体" w:hAnsi="黑体" w:eastAsia="黑体" w:cs="黑体"/>
                          <w:color w:val="000000"/>
                          <w:sz w:val="28"/>
                          <w:szCs w:val="28"/>
                        </w:rPr>
                        <w:fldChar w:fldCharType="end"/>
                      </w:r>
                      <w:bookmarkEnd w:id="88"/>
                      <w:r>
                        <w:rPr>
                          <w:rFonts w:hint="eastAsia" w:ascii="黑体" w:hAnsi="黑体" w:eastAsia="黑体" w:cs="黑体"/>
                          <w:color w:val="000000"/>
                          <w:sz w:val="28"/>
                          <w:szCs w:val="28"/>
                        </w:rPr>
                        <w:t>发布</w:t>
                      </w:r>
                    </w:p>
                  </w:txbxContent>
                </v:textbox>
              </v:shape>
            </w:pict>
          </mc:Fallback>
        </mc:AlternateContent>
      </w:r>
      <w:r>
        <w:rPr>
          <w:sz w:val="32"/>
        </w:rPr>
        <mc:AlternateContent>
          <mc:Choice Requires="wps">
            <w:drawing>
              <wp:anchor distT="0" distB="0" distL="114300" distR="114300" simplePos="0" relativeHeight="251663360" behindDoc="0" locked="0" layoutInCell="1" allowOverlap="1">
                <wp:simplePos x="0" y="0"/>
                <wp:positionH relativeFrom="column">
                  <wp:posOffset>3775710</wp:posOffset>
                </wp:positionH>
                <wp:positionV relativeFrom="paragraph">
                  <wp:posOffset>204470</wp:posOffset>
                </wp:positionV>
                <wp:extent cx="2266950" cy="466725"/>
                <wp:effectExtent l="0" t="0" r="3810" b="5715"/>
                <wp:wrapNone/>
                <wp:docPr id="5" name="文本框 5"/>
                <wp:cNvGraphicFramePr/>
                <a:graphic xmlns:a="http://schemas.openxmlformats.org/drawingml/2006/main">
                  <a:graphicData uri="http://schemas.microsoft.com/office/word/2010/wordprocessingShape">
                    <wps:wsp>
                      <wps:cNvSpPr txBox="1"/>
                      <wps:spPr>
                        <a:xfrm>
                          <a:off x="4918710" y="9170670"/>
                          <a:ext cx="2266950" cy="4667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6CA56687">
                            <w:pPr>
                              <w:pStyle w:val="57"/>
                            </w:pPr>
                            <w:bookmarkStart w:id="89" w:name="SY"/>
                            <w:r>
                              <w:rPr>
                                <w:rFonts w:ascii="黑体"/>
                                <w:color w:val="000000"/>
                              </w:rPr>
                              <w:fldChar w:fldCharType="begin">
                                <w:ffData>
                                  <w:enabled/>
                                  <w:calcOnExit w:val="0"/>
                                  <w:textInput/>
                                </w:ffData>
                              </w:fldChar>
                            </w:r>
                            <w:r>
                              <w:rPr>
                                <w:rFonts w:ascii="黑体"/>
                                <w:color w:val="000000"/>
                              </w:rPr>
                              <w:instrText xml:space="preserve"> FORMTEXT </w:instrText>
                            </w:r>
                            <w:r>
                              <w:rPr>
                                <w:rFonts w:ascii="黑体"/>
                                <w:color w:val="000000"/>
                              </w:rPr>
                              <w:fldChar w:fldCharType="separate"/>
                            </w:r>
                            <w:r>
                              <w:rPr>
                                <w:rFonts w:ascii="黑体"/>
                                <w:color w:val="000000"/>
                              </w:rPr>
                              <w:t>XXXX</w:t>
                            </w:r>
                            <w:r>
                              <w:rPr>
                                <w:rFonts w:ascii="黑体"/>
                                <w:color w:val="000000"/>
                              </w:rPr>
                              <w:fldChar w:fldCharType="end"/>
                            </w:r>
                            <w:bookmarkEnd w:id="89"/>
                            <w:r>
                              <w:t xml:space="preserve"> </w:t>
                            </w:r>
                            <w:r>
                              <w:rPr>
                                <w:rFonts w:ascii="黑体"/>
                                <w:color w:val="000000"/>
                              </w:rPr>
                              <w:t>-</w:t>
                            </w:r>
                            <w:r>
                              <w:t xml:space="preserve"> </w:t>
                            </w:r>
                            <w:bookmarkStart w:id="90" w:name="SM"/>
                            <w:r>
                              <w:rPr>
                                <w:rFonts w:ascii="黑体"/>
                                <w:color w:val="000000"/>
                              </w:rPr>
                              <w:fldChar w:fldCharType="begin">
                                <w:ffData>
                                  <w:enabled/>
                                  <w:calcOnExit w:val="0"/>
                                  <w:textInput/>
                                </w:ffData>
                              </w:fldChar>
                            </w:r>
                            <w:r>
                              <w:rPr>
                                <w:rFonts w:ascii="黑体"/>
                                <w:color w:val="000000"/>
                              </w:rPr>
                              <w:instrText xml:space="preserve"> FORMTEXT </w:instrText>
                            </w:r>
                            <w:r>
                              <w:rPr>
                                <w:rFonts w:ascii="黑体"/>
                                <w:color w:val="000000"/>
                              </w:rPr>
                              <w:fldChar w:fldCharType="separate"/>
                            </w:r>
                            <w:r>
                              <w:rPr>
                                <w:rFonts w:ascii="黑体"/>
                                <w:color w:val="000000"/>
                              </w:rPr>
                              <w:t>XX</w:t>
                            </w:r>
                            <w:r>
                              <w:rPr>
                                <w:rFonts w:ascii="黑体"/>
                                <w:color w:val="000000"/>
                              </w:rPr>
                              <w:fldChar w:fldCharType="end"/>
                            </w:r>
                            <w:bookmarkEnd w:id="90"/>
                            <w:r>
                              <w:t xml:space="preserve"> </w:t>
                            </w:r>
                            <w:r>
                              <w:rPr>
                                <w:rFonts w:ascii="黑体"/>
                                <w:color w:val="000000"/>
                              </w:rPr>
                              <w:t>-</w:t>
                            </w:r>
                            <w:r>
                              <w:t xml:space="preserve"> </w:t>
                            </w:r>
                            <w:bookmarkStart w:id="91" w:name="SD"/>
                            <w:r>
                              <w:rPr>
                                <w:rFonts w:ascii="黑体"/>
                                <w:color w:val="000000"/>
                              </w:rPr>
                              <w:fldChar w:fldCharType="begin">
                                <w:ffData>
                                  <w:enabled/>
                                  <w:calcOnExit w:val="0"/>
                                  <w:textInput/>
                                </w:ffData>
                              </w:fldChar>
                            </w:r>
                            <w:r>
                              <w:rPr>
                                <w:rFonts w:ascii="黑体"/>
                                <w:color w:val="000000"/>
                              </w:rPr>
                              <w:instrText xml:space="preserve"> FORMTEXT </w:instrText>
                            </w:r>
                            <w:r>
                              <w:rPr>
                                <w:rFonts w:ascii="黑体"/>
                                <w:color w:val="000000"/>
                              </w:rPr>
                              <w:fldChar w:fldCharType="separate"/>
                            </w:r>
                            <w:r>
                              <w:rPr>
                                <w:rFonts w:ascii="黑体"/>
                                <w:color w:val="000000"/>
                              </w:rPr>
                              <w:t>XX</w:t>
                            </w:r>
                            <w:r>
                              <w:rPr>
                                <w:rFonts w:ascii="黑体"/>
                                <w:color w:val="000000"/>
                              </w:rPr>
                              <w:fldChar w:fldCharType="end"/>
                            </w:r>
                            <w:bookmarkEnd w:id="91"/>
                            <w:r>
                              <w:rPr>
                                <w:rFonts w:hint="eastAsia"/>
                                <w:color w:val="000000"/>
                              </w:rPr>
                              <w:t>实施</w:t>
                            </w:r>
                          </w:p>
                          <w:p w14:paraId="0A7B343D"/>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7.3pt;margin-top:16.1pt;height:36.75pt;width:178.5pt;z-index:251663360;mso-width-relative:page;mso-height-relative:page;" fillcolor="#FFFFFF [3201]" filled="t" stroked="f" coordsize="21600,21600" o:gfxdata="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D3huTfV&#10;AAAACgEAAA8AAAAAAAAAAQAgAAAAIgAAAGRycy9kb3ducmV2LnhtbFBLAQIUABQAAAAIAIdO4kAz&#10;tXb0XAIAAJsEAAAOAAAAAAAAAAEAIAAAACQBAABkcnMvZTJvRG9jLnhtbFBLBQYAAAAABgAGAFkB&#10;AADyBQAAAAA=&#10;">
                <v:fill on="t" focussize="0,0"/>
                <v:stroke on="f" weight="0.5pt"/>
                <v:imagedata o:title=""/>
                <o:lock v:ext="edit" aspectratio="f"/>
                <v:textbox>
                  <w:txbxContent>
                    <w:p w14:paraId="6CA56687">
                      <w:pPr>
                        <w:pStyle w:val="57"/>
                      </w:pPr>
                      <w:bookmarkStart w:id="89" w:name="SY"/>
                      <w:r>
                        <w:rPr>
                          <w:rFonts w:ascii="黑体"/>
                          <w:color w:val="000000"/>
                        </w:rPr>
                        <w:fldChar w:fldCharType="begin">
                          <w:ffData>
                            <w:enabled/>
                            <w:calcOnExit w:val="0"/>
                            <w:textInput/>
                          </w:ffData>
                        </w:fldChar>
                      </w:r>
                      <w:r>
                        <w:rPr>
                          <w:rFonts w:ascii="黑体"/>
                          <w:color w:val="000000"/>
                        </w:rPr>
                        <w:instrText xml:space="preserve"> FORMTEXT </w:instrText>
                      </w:r>
                      <w:r>
                        <w:rPr>
                          <w:rFonts w:ascii="黑体"/>
                          <w:color w:val="000000"/>
                        </w:rPr>
                        <w:fldChar w:fldCharType="separate"/>
                      </w:r>
                      <w:r>
                        <w:rPr>
                          <w:rFonts w:ascii="黑体"/>
                          <w:color w:val="000000"/>
                        </w:rPr>
                        <w:t>XXXX</w:t>
                      </w:r>
                      <w:r>
                        <w:rPr>
                          <w:rFonts w:ascii="黑体"/>
                          <w:color w:val="000000"/>
                        </w:rPr>
                        <w:fldChar w:fldCharType="end"/>
                      </w:r>
                      <w:bookmarkEnd w:id="89"/>
                      <w:r>
                        <w:t xml:space="preserve"> </w:t>
                      </w:r>
                      <w:r>
                        <w:rPr>
                          <w:rFonts w:ascii="黑体"/>
                          <w:color w:val="000000"/>
                        </w:rPr>
                        <w:t>-</w:t>
                      </w:r>
                      <w:r>
                        <w:t xml:space="preserve"> </w:t>
                      </w:r>
                      <w:bookmarkStart w:id="90" w:name="SM"/>
                      <w:r>
                        <w:rPr>
                          <w:rFonts w:ascii="黑体"/>
                          <w:color w:val="000000"/>
                        </w:rPr>
                        <w:fldChar w:fldCharType="begin">
                          <w:ffData>
                            <w:enabled/>
                            <w:calcOnExit w:val="0"/>
                            <w:textInput/>
                          </w:ffData>
                        </w:fldChar>
                      </w:r>
                      <w:r>
                        <w:rPr>
                          <w:rFonts w:ascii="黑体"/>
                          <w:color w:val="000000"/>
                        </w:rPr>
                        <w:instrText xml:space="preserve"> FORMTEXT </w:instrText>
                      </w:r>
                      <w:r>
                        <w:rPr>
                          <w:rFonts w:ascii="黑体"/>
                          <w:color w:val="000000"/>
                        </w:rPr>
                        <w:fldChar w:fldCharType="separate"/>
                      </w:r>
                      <w:r>
                        <w:rPr>
                          <w:rFonts w:ascii="黑体"/>
                          <w:color w:val="000000"/>
                        </w:rPr>
                        <w:t>XX</w:t>
                      </w:r>
                      <w:r>
                        <w:rPr>
                          <w:rFonts w:ascii="黑体"/>
                          <w:color w:val="000000"/>
                        </w:rPr>
                        <w:fldChar w:fldCharType="end"/>
                      </w:r>
                      <w:bookmarkEnd w:id="90"/>
                      <w:r>
                        <w:t xml:space="preserve"> </w:t>
                      </w:r>
                      <w:r>
                        <w:rPr>
                          <w:rFonts w:ascii="黑体"/>
                          <w:color w:val="000000"/>
                        </w:rPr>
                        <w:t>-</w:t>
                      </w:r>
                      <w:r>
                        <w:t xml:space="preserve"> </w:t>
                      </w:r>
                      <w:bookmarkStart w:id="91" w:name="SD"/>
                      <w:r>
                        <w:rPr>
                          <w:rFonts w:ascii="黑体"/>
                          <w:color w:val="000000"/>
                        </w:rPr>
                        <w:fldChar w:fldCharType="begin">
                          <w:ffData>
                            <w:enabled/>
                            <w:calcOnExit w:val="0"/>
                            <w:textInput/>
                          </w:ffData>
                        </w:fldChar>
                      </w:r>
                      <w:r>
                        <w:rPr>
                          <w:rFonts w:ascii="黑体"/>
                          <w:color w:val="000000"/>
                        </w:rPr>
                        <w:instrText xml:space="preserve"> FORMTEXT </w:instrText>
                      </w:r>
                      <w:r>
                        <w:rPr>
                          <w:rFonts w:ascii="黑体"/>
                          <w:color w:val="000000"/>
                        </w:rPr>
                        <w:fldChar w:fldCharType="separate"/>
                      </w:r>
                      <w:r>
                        <w:rPr>
                          <w:rFonts w:ascii="黑体"/>
                          <w:color w:val="000000"/>
                        </w:rPr>
                        <w:t>XX</w:t>
                      </w:r>
                      <w:r>
                        <w:rPr>
                          <w:rFonts w:ascii="黑体"/>
                          <w:color w:val="000000"/>
                        </w:rPr>
                        <w:fldChar w:fldCharType="end"/>
                      </w:r>
                      <w:bookmarkEnd w:id="91"/>
                      <w:r>
                        <w:rPr>
                          <w:rFonts w:hint="eastAsia"/>
                          <w:color w:val="000000"/>
                        </w:rPr>
                        <w:t>实施</w:t>
                      </w:r>
                    </w:p>
                    <w:p w14:paraId="0A7B343D"/>
                  </w:txbxContent>
                </v:textbox>
              </v:shape>
            </w:pict>
          </mc:Fallback>
        </mc:AlternateContent>
      </w:r>
    </w:p>
    <w:p w14:paraId="5315FF88">
      <w:pPr>
        <w:rPr>
          <w:rFonts w:ascii="Times New Roman" w:hAnsi="Times New Roman" w:eastAsia="宋体"/>
          <w:lang w:val="zh-CN"/>
        </w:rPr>
      </w:pPr>
    </w:p>
    <w:p w14:paraId="785C67A9">
      <w:pPr>
        <w:rPr>
          <w:rFonts w:ascii="Times New Roman" w:hAnsi="Times New Roman" w:eastAsia="宋体"/>
          <w:lang w:val="zh-CN"/>
        </w:rPr>
      </w:pPr>
      <w:r>
        <w:rPr>
          <w:sz w:val="21"/>
        </w:rPr>
        <mc:AlternateContent>
          <mc:Choice Requires="wps">
            <w:drawing>
              <wp:anchor distT="0" distB="0" distL="114300" distR="114300" simplePos="0" relativeHeight="251665408" behindDoc="0" locked="0" layoutInCell="1" allowOverlap="1">
                <wp:simplePos x="0" y="0"/>
                <wp:positionH relativeFrom="column">
                  <wp:posOffset>1213485</wp:posOffset>
                </wp:positionH>
                <wp:positionV relativeFrom="paragraph">
                  <wp:posOffset>304800</wp:posOffset>
                </wp:positionV>
                <wp:extent cx="3438525" cy="504825"/>
                <wp:effectExtent l="0" t="0" r="5715" b="13335"/>
                <wp:wrapNone/>
                <wp:docPr id="6" name="文本框 7"/>
                <wp:cNvGraphicFramePr/>
                <a:graphic xmlns:a="http://schemas.openxmlformats.org/drawingml/2006/main">
                  <a:graphicData uri="http://schemas.microsoft.com/office/word/2010/wordprocessingShape">
                    <wps:wsp>
                      <wps:cNvSpPr txBox="1"/>
                      <wps:spPr>
                        <a:xfrm>
                          <a:off x="2356485" y="9716770"/>
                          <a:ext cx="3438525" cy="5048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5E41101">
                            <w:pPr>
                              <w:pBdr>
                                <w:bottom w:val="none" w:color="auto" w:sz="0" w:space="0"/>
                              </w:pBdr>
                              <w:ind w:firstLine="560" w:firstLineChars="200"/>
                              <w:rPr>
                                <w:rFonts w:hint="eastAsia" w:ascii="黑体" w:hAnsi="黑体" w:eastAsia="黑体" w:cs="黑体"/>
                                <w:color w:val="000000"/>
                                <w:sz w:val="28"/>
                                <w:szCs w:val="28"/>
                                <w:lang w:val="en-US" w:eastAsia="zh-CN"/>
                              </w:rPr>
                            </w:pPr>
                            <w:r>
                              <w:rPr>
                                <w:rFonts w:hint="eastAsia" w:ascii="黑体" w:hAnsi="黑体" w:eastAsia="黑体" w:cs="黑体"/>
                                <w:color w:val="000000"/>
                                <w:sz w:val="28"/>
                                <w:szCs w:val="28"/>
                                <w:lang w:val="en-US" w:eastAsia="zh-CN"/>
                              </w:rPr>
                              <w:t>中国中医药研究促进会      发布</w:t>
                            </w:r>
                          </w:p>
                          <w:p w14:paraId="113BF51E"/>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7" o:spid="_x0000_s1026" o:spt="202" type="#_x0000_t202" style="position:absolute;left:0pt;margin-left:95.55pt;margin-top:24pt;height:39.75pt;width:270.75pt;z-index:251665408;mso-width-relative:page;mso-height-relative:page;" fillcolor="#FFFFFF [3201]" filled="t" stroked="f" coordsize="21600,21600" o:gfxdata="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D1CyX+1QAA&#10;AAoBAAAPAAAAAAAAAAEAIAAAACIAAABkcnMvZG93bnJldi54bWxQSwECFAAUAAAACACHTuJA8CTd&#10;rFoCAACbBAAADgAAAAAAAAABACAAAAAkAQAAZHJzL2Uyb0RvYy54bWxQSwUGAAAAAAYABgBZAQAA&#10;8AUAAAAA&#10;">
                <v:fill on="t" focussize="0,0"/>
                <v:stroke on="f" weight="0.5pt"/>
                <v:imagedata o:title=""/>
                <o:lock v:ext="edit" aspectratio="f"/>
                <v:textbox>
                  <w:txbxContent>
                    <w:p w14:paraId="75E41101">
                      <w:pPr>
                        <w:pBdr>
                          <w:bottom w:val="none" w:color="auto" w:sz="0" w:space="0"/>
                        </w:pBdr>
                        <w:ind w:firstLine="560" w:firstLineChars="200"/>
                        <w:rPr>
                          <w:rFonts w:hint="eastAsia" w:ascii="黑体" w:hAnsi="黑体" w:eastAsia="黑体" w:cs="黑体"/>
                          <w:color w:val="000000"/>
                          <w:sz w:val="28"/>
                          <w:szCs w:val="28"/>
                          <w:lang w:val="en-US" w:eastAsia="zh-CN"/>
                        </w:rPr>
                      </w:pPr>
                      <w:r>
                        <w:rPr>
                          <w:rFonts w:hint="eastAsia" w:ascii="黑体" w:hAnsi="黑体" w:eastAsia="黑体" w:cs="黑体"/>
                          <w:color w:val="000000"/>
                          <w:sz w:val="28"/>
                          <w:szCs w:val="28"/>
                          <w:lang w:val="en-US" w:eastAsia="zh-CN"/>
                        </w:rPr>
                        <w:t>中国中医药研究促进会      发布</w:t>
                      </w:r>
                    </w:p>
                    <w:p w14:paraId="113BF51E"/>
                  </w:txbxContent>
                </v:textbox>
              </v:shape>
            </w:pict>
          </mc:Fallback>
        </mc:AlternateContent>
      </w:r>
      <w:r>
        <w:rPr>
          <w:sz w:val="21"/>
        </w:rPr>
        <mc:AlternateContent>
          <mc:Choice Requires="wps">
            <w:drawing>
              <wp:anchor distT="0" distB="0" distL="114300" distR="114300" simplePos="0" relativeHeight="251664384" behindDoc="0" locked="0" layoutInCell="1" allowOverlap="1">
                <wp:simplePos x="0" y="0"/>
                <wp:positionH relativeFrom="column">
                  <wp:posOffset>-300990</wp:posOffset>
                </wp:positionH>
                <wp:positionV relativeFrom="paragraph">
                  <wp:posOffset>82550</wp:posOffset>
                </wp:positionV>
                <wp:extent cx="6286500" cy="9525"/>
                <wp:effectExtent l="0" t="4445" r="7620" b="8890"/>
                <wp:wrapNone/>
                <wp:docPr id="7" name="直接连接符 6"/>
                <wp:cNvGraphicFramePr/>
                <a:graphic xmlns:a="http://schemas.openxmlformats.org/drawingml/2006/main">
                  <a:graphicData uri="http://schemas.microsoft.com/office/word/2010/wordprocessingShape">
                    <wps:wsp>
                      <wps:cNvCnPr/>
                      <wps:spPr>
                        <a:xfrm flipV="1">
                          <a:off x="842010" y="9494520"/>
                          <a:ext cx="6286500" cy="9525"/>
                        </a:xfrm>
                        <a:prstGeom prst="line">
                          <a:avLst/>
                        </a:prstGeom>
                      </wps:spPr>
                      <wps:style>
                        <a:lnRef idx="1">
                          <a:schemeClr val="dk1"/>
                        </a:lnRef>
                        <a:fillRef idx="0">
                          <a:schemeClr val="dk1"/>
                        </a:fillRef>
                        <a:effectRef idx="0">
                          <a:schemeClr val="dk1"/>
                        </a:effectRef>
                        <a:fontRef idx="minor">
                          <a:schemeClr val="tx1"/>
                        </a:fontRef>
                      </wps:style>
                      <wps:bodyPr rot="0" vert="horz" wrap="square" lIns="91440" tIns="45720" rIns="91440" bIns="45720" anchor="t" anchorCtr="0"/>
                    </wps:wsp>
                  </a:graphicData>
                </a:graphic>
              </wp:anchor>
            </w:drawing>
          </mc:Choice>
          <mc:Fallback>
            <w:pict>
              <v:line id="直接连接符 6" o:spid="_x0000_s1026" o:spt="20" style="position:absolute;left:0pt;flip:y;margin-left:-23.7pt;margin-top:6.5pt;height:0.75pt;width:495pt;z-index:251664384;mso-width-relative:page;mso-height-relative:page;" filled="f" stroked="t" coordsize="21600,21600" o:gfxdata="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PYf3mfXAAAACQEAAA8AAAAAAAAAAQAgAAAAIgAAAGRycy9kb3ducmV2LnhtbFBL&#10;AQIUABQAAAAIAIdO4kCZt+4WMAIAADgEAAAOAAAAAAAAAAEAIAAAACYBAABkcnMvZTJvRG9jLnht&#10;bFBLBQYAAAAABgAGAFkBAADIBQAAAAA=&#10;">
                <v:fill on="f" focussize="0,0"/>
                <v:stroke weight="0.5pt" color="#000000 [3200]" miterlimit="8" joinstyle="miter"/>
                <v:imagedata o:title=""/>
                <o:lock v:ext="edit" aspectratio="f"/>
              </v:line>
            </w:pict>
          </mc:Fallback>
        </mc:AlternateContent>
      </w:r>
    </w:p>
    <w:p w14:paraId="6A6403F5">
      <w:pPr>
        <w:pStyle w:val="75"/>
        <w:spacing w:after="360"/>
      </w:pPr>
      <w:r>
        <w:rPr>
          <w:rFonts w:hint="eastAsia"/>
          <w:spacing w:val="320"/>
        </w:rPr>
        <w:t>目</w:t>
      </w:r>
      <w:r>
        <w:rPr>
          <w:rFonts w:hint="eastAsia"/>
        </w:rPr>
        <w:t>次</w:t>
      </w:r>
    </w:p>
    <w:p w14:paraId="24FF41A2">
      <w:pPr>
        <w:pStyle w:val="16"/>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w:instrText>
      </w:r>
      <w:r>
        <w:rPr>
          <w:rFonts w:hint="eastAsia"/>
        </w:rPr>
        <w:instrText xml:space="preserve">TOC \o "1-1" \h \t "标准文件_一级条标题,2,标准文件_附录一级条标题,2,"</w:instrText>
      </w:r>
      <w:r>
        <w:instrText xml:space="preserve"> </w:instrText>
      </w:r>
      <w:r>
        <w:fldChar w:fldCharType="separate"/>
      </w:r>
      <w:r>
        <w:fldChar w:fldCharType="begin"/>
      </w:r>
      <w:r>
        <w:instrText xml:space="preserve"> HYPERLINK \l "_Toc208503221" </w:instrText>
      </w:r>
      <w:r>
        <w:fldChar w:fldCharType="separate"/>
      </w:r>
      <w:r>
        <w:rPr>
          <w:rFonts w:hint="eastAsia"/>
          <w:lang w:val="en-US" w:eastAsia="zh-CN"/>
        </w:rPr>
        <w:t>前言</w:t>
      </w:r>
      <w:r>
        <w:rPr>
          <w:rFonts w:hint="eastAsia"/>
        </w:rPr>
        <w:tab/>
      </w:r>
      <w:r>
        <w:rPr>
          <w:rFonts w:hint="eastAsia"/>
        </w:rPr>
        <w:t>II</w:t>
      </w:r>
      <w:r>
        <w:rPr>
          <w:rFonts w:hint="eastAsia"/>
        </w:rPr>
        <w:fldChar w:fldCharType="end"/>
      </w:r>
    </w:p>
    <w:p w14:paraId="2A640E5D">
      <w:pPr>
        <w:pStyle w:val="16"/>
        <w:tabs>
          <w:tab w:val="right" w:leader="dot" w:pos="9344"/>
        </w:tabs>
      </w:pPr>
      <w:r>
        <w:fldChar w:fldCharType="begin"/>
      </w:r>
      <w:r>
        <w:instrText xml:space="preserve"> HYPERLINK \l "_Toc208503221" </w:instrText>
      </w:r>
      <w:r>
        <w:fldChar w:fldCharType="separate"/>
      </w:r>
      <w:r>
        <w:rPr>
          <w:rStyle w:val="23"/>
          <w:rFonts w:hint="eastAsia"/>
        </w:rPr>
        <w:t>1</w:t>
      </w:r>
      <w:r>
        <w:rPr>
          <w:rStyle w:val="23"/>
        </w:rPr>
        <w:t xml:space="preserve"> </w:t>
      </w:r>
      <w:r>
        <w:rPr>
          <w:rStyle w:val="23"/>
          <w:rFonts w:hint="eastAsia"/>
        </w:rPr>
        <w:t xml:space="preserve"> 范围</w:t>
      </w:r>
      <w:r>
        <w:rPr>
          <w:rFonts w:hint="eastAsia"/>
        </w:rPr>
        <w:tab/>
      </w:r>
      <w:r>
        <w:rPr>
          <w:rFonts w:hint="eastAsia"/>
          <w:lang w:val="en-US" w:eastAsia="zh-CN"/>
        </w:rPr>
        <w:t>2</w:t>
      </w:r>
      <w:r>
        <w:rPr>
          <w:rFonts w:hint="eastAsia"/>
        </w:rPr>
        <w:fldChar w:fldCharType="end"/>
      </w:r>
    </w:p>
    <w:p w14:paraId="1BAA35C3">
      <w:pPr>
        <w:pStyle w:val="16"/>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"_Toc208503222" </w:instrText>
      </w:r>
      <w:r>
        <w:fldChar w:fldCharType="separate"/>
      </w:r>
      <w:r>
        <w:rPr>
          <w:rStyle w:val="23"/>
          <w:rFonts w:hint="eastAsia"/>
        </w:rPr>
        <w:t>2</w:t>
      </w:r>
      <w:r>
        <w:rPr>
          <w:rStyle w:val="23"/>
        </w:rPr>
        <w:t xml:space="preserve"> </w:t>
      </w:r>
      <w:r>
        <w:rPr>
          <w:rStyle w:val="23"/>
          <w:rFonts w:hint="eastAsia"/>
        </w:rPr>
        <w:t xml:space="preserve"> 规范性引用文件</w:t>
      </w:r>
      <w:r>
        <w:rPr>
          <w:rFonts w:hint="eastAsia"/>
        </w:rPr>
        <w:tab/>
      </w:r>
      <w:r>
        <w:rPr>
          <w:rFonts w:hint="eastAsia"/>
          <w:lang w:val="en-US" w:eastAsia="zh-CN"/>
        </w:rPr>
        <w:t>2</w:t>
      </w:r>
      <w:r>
        <w:rPr>
          <w:rFonts w:hint="eastAsia"/>
        </w:rPr>
        <w:fldChar w:fldCharType="end"/>
      </w:r>
    </w:p>
    <w:p w14:paraId="65CD32DD">
      <w:pPr>
        <w:pStyle w:val="16"/>
        <w:tabs>
          <w:tab w:val="right" w:leader="dot" w:pos="9344"/>
        </w:tabs>
        <w:rPr>
          <w:rFonts w:hint="eastAsia" w:asciiTheme="minorHAnsi" w:hAnsiTheme="minorHAnsi" w:eastAsiaTheme="minorEastAsia" w:cstheme="minorBidi"/>
          <w:sz w:val="22"/>
          <w:szCs w:val="24"/>
          <w:lang w:val="en-US" w:eastAsia="zh-CN"/>
          <w14:ligatures w14:val="standardContextual"/>
        </w:rPr>
      </w:pPr>
      <w:r>
        <w:fldChar w:fldCharType="begin"/>
      </w:r>
      <w:r>
        <w:instrText xml:space="preserve"> HYPERLINK \l "_Toc208503223" </w:instrText>
      </w:r>
      <w:r>
        <w:fldChar w:fldCharType="separate"/>
      </w:r>
      <w:r>
        <w:rPr>
          <w:rStyle w:val="23"/>
          <w:rFonts w:hint="eastAsia"/>
        </w:rPr>
        <w:t>3</w:t>
      </w:r>
      <w:r>
        <w:rPr>
          <w:rStyle w:val="23"/>
        </w:rPr>
        <w:t xml:space="preserve"> </w:t>
      </w:r>
      <w:r>
        <w:rPr>
          <w:rStyle w:val="23"/>
          <w:rFonts w:hint="eastAsia"/>
        </w:rPr>
        <w:t xml:space="preserve"> 术语和定义</w:t>
      </w:r>
      <w:r>
        <w:rPr>
          <w:rFonts w:hint="eastAsia"/>
        </w:rPr>
        <w:tab/>
      </w:r>
      <w:r>
        <w:rPr>
          <w:rFonts w:hint="eastAsia"/>
        </w:rPr>
        <w:fldChar w:fldCharType="end"/>
      </w:r>
      <w:r>
        <w:rPr>
          <w:rFonts w:hint="eastAsia"/>
          <w:lang w:val="en-US" w:eastAsia="zh-CN"/>
        </w:rPr>
        <w:t>2</w:t>
      </w:r>
    </w:p>
    <w:p w14:paraId="7B5B2FE9">
      <w:pPr>
        <w:pStyle w:val="16"/>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"_Toc208503224" </w:instrText>
      </w:r>
      <w:r>
        <w:fldChar w:fldCharType="separate"/>
      </w:r>
      <w:r>
        <w:rPr>
          <w:rStyle w:val="23"/>
          <w:rFonts w:hint="eastAsia"/>
        </w:rPr>
        <w:t>4</w:t>
      </w:r>
      <w:r>
        <w:rPr>
          <w:rStyle w:val="23"/>
        </w:rPr>
        <w:t xml:space="preserve"> </w:t>
      </w:r>
      <w:r>
        <w:rPr>
          <w:rStyle w:val="23"/>
          <w:rFonts w:hint="eastAsia"/>
        </w:rPr>
        <w:t xml:space="preserve"> </w:t>
      </w:r>
      <w:r>
        <w:rPr>
          <w:rStyle w:val="23"/>
          <w:rFonts w:hint="eastAsia"/>
          <w:lang w:val="en-US" w:eastAsia="zh-CN"/>
        </w:rPr>
        <w:t>服务</w:t>
      </w:r>
      <w:r>
        <w:rPr>
          <w:rStyle w:val="23"/>
          <w:rFonts w:hint="eastAsia"/>
        </w:rPr>
        <w:t>人员要求</w:t>
      </w:r>
      <w:r>
        <w:rPr>
          <w:rFonts w:hint="eastAsia"/>
        </w:rPr>
        <w:tab/>
      </w:r>
      <w:r>
        <w:rPr>
          <w:rFonts w:hint="eastAsia"/>
          <w:lang w:val="en-US" w:eastAsia="zh-CN"/>
        </w:rPr>
        <w:t>3</w:t>
      </w:r>
      <w:r>
        <w:rPr>
          <w:rFonts w:hint="eastAsia"/>
        </w:rPr>
        <w:fldChar w:fldCharType="end"/>
      </w:r>
    </w:p>
    <w:p w14:paraId="03643784">
      <w:pPr>
        <w:pStyle w:val="16"/>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"_Toc208503228" </w:instrText>
      </w:r>
      <w:r>
        <w:fldChar w:fldCharType="separate"/>
      </w:r>
      <w:r>
        <w:rPr>
          <w:rStyle w:val="23"/>
          <w:rFonts w:hint="eastAsia"/>
        </w:rPr>
        <w:t>5</w:t>
      </w:r>
      <w:r>
        <w:rPr>
          <w:rStyle w:val="23"/>
        </w:rPr>
        <w:t xml:space="preserve"> </w:t>
      </w:r>
      <w:r>
        <w:rPr>
          <w:rStyle w:val="23"/>
          <w:rFonts w:hint="eastAsia"/>
        </w:rPr>
        <w:t xml:space="preserve"> 基本要求</w:t>
      </w:r>
      <w:r>
        <w:rPr>
          <w:rFonts w:hint="eastAsia"/>
        </w:rPr>
        <w:tab/>
      </w:r>
      <w:r>
        <w:rPr>
          <w:rFonts w:hint="eastAsia"/>
          <w:lang w:val="en-US" w:eastAsia="zh-CN"/>
        </w:rPr>
        <w:t>4</w:t>
      </w:r>
      <w:r>
        <w:rPr>
          <w:rFonts w:hint="eastAsia"/>
        </w:rPr>
        <w:fldChar w:fldCharType="end"/>
      </w:r>
    </w:p>
    <w:p w14:paraId="2BC463E7">
      <w:pPr>
        <w:pStyle w:val="16"/>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"_Toc208503232" </w:instrText>
      </w:r>
      <w:r>
        <w:fldChar w:fldCharType="separate"/>
      </w:r>
      <w:r>
        <w:rPr>
          <w:rStyle w:val="23"/>
          <w:rFonts w:hint="eastAsia"/>
        </w:rPr>
        <w:t>6</w:t>
      </w:r>
      <w:r>
        <w:rPr>
          <w:rStyle w:val="23"/>
        </w:rPr>
        <w:t xml:space="preserve"> </w:t>
      </w:r>
      <w:r>
        <w:rPr>
          <w:rStyle w:val="23"/>
          <w:rFonts w:hint="eastAsia"/>
        </w:rPr>
        <w:t xml:space="preserve"> </w:t>
      </w:r>
      <w:r>
        <w:rPr>
          <w:rFonts w:hint="eastAsia"/>
          <w:lang w:val="en-US" w:eastAsia="en-US"/>
        </w:rPr>
        <w:t>基本手法操作步骤与要求</w:t>
      </w:r>
      <w:r>
        <w:rPr>
          <w:rFonts w:hint="eastAsia"/>
        </w:rPr>
        <w:tab/>
      </w:r>
      <w:r>
        <w:rPr>
          <w:rFonts w:hint="eastAsia"/>
        </w:rPr>
        <w:fldChar w:fldCharType="begin"/>
      </w:r>
      <w:r>
        <w:rPr>
          <w:rFonts w:hint="eastAsia"/>
        </w:rPr>
        <w:instrText xml:space="preserve"> </w:instrText>
      </w:r>
      <w:r>
        <w:instrText xml:space="preserve">PAGEREF _Toc208503232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14:paraId="02967303">
      <w:pPr>
        <w:pStyle w:val="16"/>
        <w:tabs>
          <w:tab w:val="right" w:leader="dot" w:pos="9344"/>
        </w:tabs>
        <w:rPr>
          <w:rFonts w:hint="eastAsia" w:asciiTheme="minorHAnsi" w:hAnsiTheme="minorHAnsi" w:eastAsiaTheme="minorEastAsia" w:cstheme="minorBidi"/>
          <w:sz w:val="22"/>
          <w:szCs w:val="24"/>
          <w:lang w:val="en-US" w:eastAsia="zh-CN"/>
          <w14:ligatures w14:val="standardContextual"/>
        </w:rPr>
      </w:pPr>
      <w:r>
        <w:fldChar w:fldCharType="begin"/>
      </w:r>
      <w:r>
        <w:instrText xml:space="preserve"> HYPERLINK \l "_Toc208503238" </w:instrText>
      </w:r>
      <w:r>
        <w:fldChar w:fldCharType="separate"/>
      </w:r>
      <w:r>
        <w:rPr>
          <w:rStyle w:val="23"/>
          <w:rFonts w:hint="eastAsia"/>
        </w:rPr>
        <w:t>7</w:t>
      </w:r>
      <w:r>
        <w:rPr>
          <w:rStyle w:val="23"/>
        </w:rPr>
        <w:t xml:space="preserve"> </w:t>
      </w:r>
      <w:r>
        <w:rPr>
          <w:rStyle w:val="23"/>
          <w:rFonts w:hint="eastAsia"/>
        </w:rPr>
        <w:t xml:space="preserve"> </w:t>
      </w:r>
      <w:r>
        <w:rPr>
          <w:rFonts w:hint="eastAsia"/>
          <w:lang w:val="en-US" w:eastAsia="en-US"/>
        </w:rPr>
        <w:t>注意事项</w:t>
      </w:r>
      <w:r>
        <w:rPr>
          <w:rFonts w:hint="eastAsia"/>
        </w:rPr>
        <w:tab/>
      </w:r>
      <w:r>
        <w:rPr>
          <w:rFonts w:hint="eastAsia"/>
          <w:lang w:val="en-US" w:eastAsia="zh-CN"/>
        </w:rPr>
        <w:t>1</w:t>
      </w:r>
      <w:r>
        <w:rPr>
          <w:rFonts w:hint="eastAsia"/>
        </w:rPr>
        <w:fldChar w:fldCharType="end"/>
      </w:r>
      <w:r>
        <w:rPr>
          <w:rFonts w:hint="eastAsia"/>
          <w:lang w:val="en-US" w:eastAsia="zh-CN"/>
        </w:rPr>
        <w:t>0</w:t>
      </w:r>
    </w:p>
    <w:p w14:paraId="7A40AA28">
      <w:pPr>
        <w:pStyle w:val="18"/>
        <w:tabs>
          <w:tab w:val="right" w:leader="dot" w:pos="9344"/>
        </w:tabs>
        <w:ind w:left="0" w:leftChars="0" w:firstLine="0" w:firstLineChars="0"/>
        <w:rPr>
          <w:rFonts w:hint="eastAsia"/>
          <w:lang w:val="en-US" w:eastAsia="zh-CN"/>
        </w:rPr>
      </w:pPr>
      <w:r>
        <w:fldChar w:fldCharType="begin"/>
      </w:r>
      <w:r>
        <w:instrText xml:space="preserve"> HYPERLINK \l "_Toc208503238" </w:instrText>
      </w:r>
      <w:r>
        <w:fldChar w:fldCharType="separate"/>
      </w:r>
      <w:r>
        <w:rPr>
          <w:rFonts w:hint="eastAsia"/>
          <w:lang w:val="en-US" w:eastAsia="zh-CN"/>
        </w:rPr>
        <w:t>8</w:t>
      </w:r>
      <w:r>
        <w:rPr>
          <w:rStyle w:val="23"/>
        </w:rPr>
        <w:t xml:space="preserve"> </w:t>
      </w:r>
      <w:r>
        <w:rPr>
          <w:rStyle w:val="23"/>
          <w:rFonts w:hint="eastAsia"/>
        </w:rPr>
        <w:t xml:space="preserve"> </w:t>
      </w:r>
      <w:r>
        <w:rPr>
          <w:rFonts w:hint="eastAsia"/>
          <w:lang w:val="en-US" w:eastAsia="en-US"/>
        </w:rPr>
        <w:t>施术禁忌</w:t>
      </w:r>
      <w:r>
        <w:rPr>
          <w:rFonts w:hint="eastAsia"/>
        </w:rPr>
        <w:tab/>
      </w:r>
      <w:r>
        <w:rPr>
          <w:rFonts w:hint="eastAsia"/>
          <w:lang w:val="en-US" w:eastAsia="zh-CN"/>
        </w:rPr>
        <w:t>1</w:t>
      </w:r>
      <w:r>
        <w:rPr>
          <w:rFonts w:hint="eastAsia"/>
        </w:rPr>
        <w:fldChar w:fldCharType="end"/>
      </w:r>
      <w:r>
        <w:rPr>
          <w:rFonts w:hint="eastAsia"/>
          <w:lang w:val="en-US" w:eastAsia="zh-CN"/>
        </w:rPr>
        <w:t>1</w:t>
      </w:r>
    </w:p>
    <w:p w14:paraId="65FBC334">
      <w:pPr>
        <w:pStyle w:val="18"/>
        <w:tabs>
          <w:tab w:val="right" w:leader="dot" w:pos="9344"/>
        </w:tabs>
        <w:ind w:left="0" w:leftChars="0" w:firstLine="0" w:firstLineChars="0"/>
        <w:rPr>
          <w:rFonts w:hint="eastAsia" w:eastAsiaTheme="minorEastAsia"/>
          <w:lang w:val="en-US" w:eastAsia="zh-CN"/>
        </w:rPr>
      </w:pPr>
      <w:r>
        <w:fldChar w:fldCharType="begin"/>
      </w:r>
      <w:r>
        <w:instrText xml:space="preserve"> HYPERLINK \l "_Toc208503241" </w:instrText>
      </w:r>
      <w:r>
        <w:fldChar w:fldCharType="separate"/>
      </w:r>
      <w:r>
        <w:rPr>
          <w:rFonts w:hint="eastAsia"/>
          <w:lang w:val="en-US" w:eastAsia="zh-CN"/>
        </w:rPr>
        <w:t>9</w:t>
      </w:r>
      <w:r>
        <w:t xml:space="preserve"> </w:t>
      </w:r>
      <w:r>
        <w:rPr>
          <w:rFonts w:hint="eastAsia"/>
        </w:rPr>
        <w:t xml:space="preserve"> 疗效评价</w:t>
      </w:r>
      <w:r>
        <w:rPr>
          <w:rFonts w:hint="eastAsia"/>
          <w:lang w:val="en-US" w:eastAsia="en-US"/>
        </w:rPr>
        <w:t>疗程设计</w:t>
      </w:r>
      <w:r>
        <w:rPr>
          <w:rFonts w:hint="eastAsia"/>
        </w:rPr>
        <w:tab/>
      </w:r>
      <w:r>
        <w:rPr>
          <w:rFonts w:hint="eastAsia"/>
          <w:lang w:val="en-US" w:eastAsia="zh-CN"/>
        </w:rPr>
        <w:t>1</w:t>
      </w:r>
      <w:r>
        <w:rPr>
          <w:rFonts w:hint="eastAsia"/>
        </w:rPr>
        <w:fldChar w:fldCharType="end"/>
      </w:r>
      <w:r>
        <w:rPr>
          <w:rFonts w:hint="eastAsia"/>
          <w:lang w:val="en-US" w:eastAsia="zh-CN"/>
        </w:rPr>
        <w:t>1</w:t>
      </w:r>
    </w:p>
    <w:p w14:paraId="478417E3">
      <w:pPr>
        <w:pStyle w:val="18"/>
        <w:tabs>
          <w:tab w:val="right" w:leader="dot" w:pos="9344"/>
        </w:tabs>
        <w:ind w:left="0" w:leftChars="0" w:firstLine="0" w:firstLineChars="0"/>
        <w:rPr>
          <w:rFonts w:hint="eastAsia"/>
          <w:lang w:val="en-US" w:eastAsia="zh-CN"/>
        </w:rPr>
      </w:pPr>
      <w:r>
        <w:fldChar w:fldCharType="begin"/>
      </w:r>
      <w:r>
        <w:instrText xml:space="preserve"> HYPERLINK \l "_Toc208503241" </w:instrText>
      </w:r>
      <w:r>
        <w:fldChar w:fldCharType="separate"/>
      </w:r>
      <w:r>
        <w:rPr>
          <w:rFonts w:hint="eastAsia"/>
          <w:lang w:val="en-US" w:eastAsia="zh-CN"/>
        </w:rPr>
        <w:t>10</w:t>
      </w:r>
      <w:r>
        <w:t xml:space="preserve"> </w:t>
      </w:r>
      <w:r>
        <w:rPr>
          <w:rFonts w:hint="eastAsia"/>
        </w:rPr>
        <w:t xml:space="preserve"> 疗效评价</w:t>
      </w:r>
      <w:r>
        <w:rPr>
          <w:rFonts w:hint="eastAsia"/>
        </w:rPr>
        <w:tab/>
      </w:r>
      <w:r>
        <w:rPr>
          <w:rFonts w:hint="eastAsia"/>
          <w:lang w:val="en-US" w:eastAsia="zh-CN"/>
        </w:rPr>
        <w:t>1</w:t>
      </w:r>
      <w:r>
        <w:rPr>
          <w:rFonts w:hint="eastAsia"/>
        </w:rPr>
        <w:fldChar w:fldCharType="end"/>
      </w:r>
      <w:r>
        <w:rPr>
          <w:rFonts w:hint="eastAsia"/>
          <w:lang w:val="en-US" w:eastAsia="zh-CN"/>
        </w:rPr>
        <w:t>2</w:t>
      </w:r>
    </w:p>
    <w:p w14:paraId="1B1CC261">
      <w:pPr>
        <w:pStyle w:val="63"/>
        <w:tabs>
          <w:tab w:val="right" w:leader="dot" w:pos="9355"/>
        </w:tabs>
        <w:rPr>
          <w:rFonts w:hint="eastAsia" w:ascii="黑体" w:hAnsi="黑体" w:eastAsia="黑体" w:cs="黑体"/>
          <w:snapToGrid w:val="0"/>
          <w:color w:val="000000"/>
          <w:spacing w:val="-2"/>
          <w:kern w:val="0"/>
          <w:sz w:val="31"/>
          <w:szCs w:val="31"/>
          <w:lang w:val="en-US" w:eastAsia="en-US" w:bidi="ar-SA"/>
        </w:rPr>
      </w:pPr>
      <w:r>
        <w:fldChar w:fldCharType="end"/>
      </w:r>
    </w:p>
    <w:p w14:paraId="71AAB6EE">
      <w:pPr>
        <w:widowControl/>
        <w:spacing w:line="240" w:lineRule="auto"/>
        <w:jc w:val="center"/>
        <w:outlineLvl w:val="0"/>
        <w:rPr>
          <w:rFonts w:hint="eastAsia" w:ascii="黑体" w:hAnsi="黑体" w:eastAsia="黑体" w:cs="黑体"/>
          <w:snapToGrid w:val="0"/>
          <w:color w:val="000000"/>
          <w:spacing w:val="-2"/>
          <w:kern w:val="0"/>
          <w:sz w:val="31"/>
          <w:szCs w:val="31"/>
          <w:lang w:val="en-US" w:eastAsia="en-US" w:bidi="ar-SA"/>
        </w:rPr>
        <w:sectPr>
          <w:headerReference r:id="rId3" w:type="default"/>
          <w:pgSz w:w="11906" w:h="16838"/>
          <w:pgMar w:top="1440" w:right="1800" w:bottom="1440" w:left="1800" w:header="851" w:footer="992" w:gutter="0"/>
          <w:pgNumType w:fmt="decimal"/>
          <w:cols w:space="425" w:num="1"/>
          <w:docGrid w:type="lines" w:linePitch="312" w:charSpace="0"/>
        </w:sectPr>
      </w:pPr>
      <w:bookmarkStart w:id="4" w:name="_Toc12728"/>
    </w:p>
    <w:p w14:paraId="3B21D843">
      <w:pPr>
        <w:widowControl/>
        <w:spacing w:line="240" w:lineRule="auto"/>
        <w:jc w:val="center"/>
        <w:outlineLvl w:val="0"/>
        <w:rPr>
          <w:rFonts w:hint="eastAsia" w:ascii="黑体" w:hAnsi="黑体" w:eastAsia="黑体" w:cs="黑体"/>
          <w:snapToGrid w:val="0"/>
          <w:color w:val="000000"/>
          <w:spacing w:val="-2"/>
          <w:kern w:val="0"/>
          <w:sz w:val="21"/>
          <w:szCs w:val="21"/>
          <w:lang w:val="en-US" w:eastAsia="en-US" w:bidi="ar-SA"/>
        </w:rPr>
      </w:pPr>
      <w:r>
        <w:rPr>
          <w:rFonts w:hint="eastAsia" w:ascii="黑体" w:hAnsi="黑体" w:eastAsia="黑体" w:cs="黑体"/>
          <w:snapToGrid w:val="0"/>
          <w:color w:val="000000"/>
          <w:spacing w:val="-2"/>
          <w:kern w:val="0"/>
          <w:sz w:val="21"/>
          <w:szCs w:val="21"/>
          <w:lang w:val="en-US" w:eastAsia="en-US" w:bidi="ar-SA"/>
        </w:rPr>
        <w:t>前  言</w:t>
      </w:r>
      <w:bookmarkEnd w:id="4"/>
    </w:p>
    <w:p w14:paraId="2AC65E94">
      <w:pPr>
        <w:pStyle w:val="61"/>
        <w:tabs>
          <w:tab w:val="center" w:pos="4201"/>
          <w:tab w:val="right" w:leader="dot" w:pos="9298"/>
        </w:tabs>
        <w:rPr>
          <w:rFonts w:hint="eastAsia"/>
          <w:sz w:val="21"/>
          <w:szCs w:val="21"/>
          <w:lang w:val="en-US" w:eastAsia="zh-CN"/>
        </w:rPr>
      </w:pPr>
      <w:r>
        <w:rPr>
          <w:rFonts w:hint="eastAsia"/>
          <w:sz w:val="21"/>
          <w:szCs w:val="21"/>
          <w:lang w:val="en-US" w:eastAsia="zh-CN"/>
        </w:rPr>
        <w:t>本文件按照GB/T 1.1—2020《标准化工作导则 第1部分：标准化文件的结构和起草规则》的规定起草。</w:t>
      </w:r>
    </w:p>
    <w:p w14:paraId="0995AE8C">
      <w:pPr>
        <w:pStyle w:val="61"/>
        <w:tabs>
          <w:tab w:val="center" w:pos="4201"/>
          <w:tab w:val="right" w:leader="dot" w:pos="9298"/>
        </w:tabs>
        <w:rPr>
          <w:rFonts w:hint="eastAsia"/>
          <w:sz w:val="21"/>
          <w:szCs w:val="21"/>
          <w:lang w:val="en-US" w:eastAsia="zh-CN"/>
        </w:rPr>
      </w:pPr>
      <w:r>
        <w:rPr>
          <w:rFonts w:hint="eastAsia"/>
          <w:sz w:val="21"/>
          <w:szCs w:val="21"/>
          <w:lang w:val="en-US" w:eastAsia="zh-CN"/>
        </w:rPr>
        <w:t>请注意本文件的某些内容可能涉及专利。本文件的发布机构不承担识别专利的责任。</w:t>
      </w:r>
    </w:p>
    <w:p w14:paraId="0ED9026E">
      <w:pPr>
        <w:pStyle w:val="61"/>
        <w:tabs>
          <w:tab w:val="center" w:pos="4201"/>
          <w:tab w:val="right" w:leader="dot" w:pos="9298"/>
        </w:tabs>
        <w:rPr>
          <w:rFonts w:hint="eastAsia"/>
          <w:sz w:val="21"/>
          <w:szCs w:val="21"/>
          <w:lang w:val="en-US" w:eastAsia="zh-CN"/>
        </w:rPr>
      </w:pPr>
      <w:r>
        <w:rPr>
          <w:rFonts w:hint="eastAsia"/>
          <w:sz w:val="21"/>
          <w:szCs w:val="21"/>
          <w:lang w:val="en-US" w:eastAsia="zh-CN"/>
        </w:rPr>
        <w:t>本文件由甘肃省中医院提出。</w:t>
      </w:r>
    </w:p>
    <w:p w14:paraId="743DDD4F">
      <w:pPr>
        <w:pStyle w:val="61"/>
        <w:tabs>
          <w:tab w:val="center" w:pos="4201"/>
          <w:tab w:val="right" w:leader="dot" w:pos="9298"/>
        </w:tabs>
        <w:rPr>
          <w:rFonts w:hint="eastAsia"/>
          <w:sz w:val="21"/>
          <w:szCs w:val="21"/>
          <w:lang w:val="en-US" w:eastAsia="zh-CN"/>
        </w:rPr>
      </w:pPr>
      <w:r>
        <w:rPr>
          <w:rFonts w:hint="eastAsia"/>
          <w:sz w:val="21"/>
          <w:szCs w:val="21"/>
          <w:lang w:val="en-US" w:eastAsia="zh-CN"/>
        </w:rPr>
        <w:t>本文件由中国中医药研究促进会归口。</w:t>
      </w:r>
    </w:p>
    <w:p w14:paraId="1BAF5867">
      <w:pPr>
        <w:pStyle w:val="61"/>
        <w:tabs>
          <w:tab w:val="center" w:pos="4201"/>
          <w:tab w:val="right" w:leader="dot" w:pos="9298"/>
        </w:tabs>
        <w:rPr>
          <w:rFonts w:hint="eastAsia"/>
          <w:sz w:val="21"/>
          <w:szCs w:val="21"/>
          <w:lang w:val="en-US" w:eastAsia="zh-CN"/>
        </w:rPr>
      </w:pPr>
      <w:r>
        <w:rPr>
          <w:rFonts w:hint="eastAsia"/>
          <w:sz w:val="21"/>
          <w:szCs w:val="21"/>
          <w:lang w:val="en-US" w:eastAsia="zh-CN"/>
        </w:rPr>
        <w:t>本文件起草单位：甘肃省中医院、昆明医科大学第一附属医院(云南省皮肤病医院)、昆明医科大学第二附属医院(云南省泌尿专科医院、云南省肝胆胰外科医院)、青海省监狱管理局中心医院(青海红十字医院)、兰州大学、德宏州中医医院(德宏州傣医医院、德宏州第二人民医院、德宏州民族医药研究所)、昆明医科大学、甘肃省疾病预防控制中心(甘肃省预防医学科学院)、贵州省人民医院、甘肃中医药大学附属医院、甘肃省永靖县人民医院、陇西县中医医院、青海省妇女儿童医院。</w:t>
      </w:r>
    </w:p>
    <w:p w14:paraId="2D4BDF6F">
      <w:pPr>
        <w:pStyle w:val="61"/>
        <w:tabs>
          <w:tab w:val="center" w:pos="4201"/>
          <w:tab w:val="right" w:leader="dot" w:pos="9298"/>
        </w:tabs>
        <w:rPr>
          <w:rFonts w:ascii="Times New Roman" w:hAnsi="Times New Roman" w:eastAsia="宋体"/>
          <w:color w:val="auto"/>
          <w:sz w:val="24"/>
          <w:szCs w:val="24"/>
        </w:rPr>
      </w:pPr>
      <w:r>
        <w:rPr>
          <w:rFonts w:hint="eastAsia"/>
          <w:sz w:val="21"/>
          <w:szCs w:val="21"/>
          <w:lang w:val="en-US" w:eastAsia="zh-CN"/>
        </w:rPr>
        <w:t>本文件主要起草人：温剑涛、赵军、王迎松、赵智、阿尖措、王敏珍、陈应东、吴会东、梁艳哲、杨震、巩彦龙、崔顺军、冯华、宋天霖、黄晋、代长泉、张辰、汪娟、袁晓芸、冷寒、侯栋。</w:t>
      </w:r>
      <w:r>
        <w:rPr>
          <w:rFonts w:ascii="Times New Roman" w:hAnsi="Times New Roman" w:eastAsia="宋体"/>
          <w:color w:val="auto"/>
          <w:sz w:val="21"/>
          <w:szCs w:val="21"/>
        </w:rPr>
        <w:br w:type="page"/>
      </w:r>
    </w:p>
    <w:p w14:paraId="402A69EC">
      <w:pPr>
        <w:pStyle w:val="11"/>
        <w:keepNext w:val="0"/>
        <w:keepLines w:val="0"/>
        <w:pageBreakBefore w:val="0"/>
        <w:widowControl/>
        <w:kinsoku w:val="0"/>
        <w:wordWrap/>
        <w:overflowPunct/>
        <w:topLinePunct w:val="0"/>
        <w:autoSpaceDE w:val="0"/>
        <w:autoSpaceDN w:val="0"/>
        <w:bidi w:val="0"/>
        <w:adjustRightInd w:val="0"/>
        <w:snapToGrid w:val="0"/>
        <w:spacing w:before="100" w:line="226" w:lineRule="auto"/>
        <w:ind w:left="0"/>
        <w:jc w:val="center"/>
        <w:textAlignment w:val="auto"/>
        <w:rPr>
          <w:color w:val="000000"/>
          <w:spacing w:val="8"/>
          <w:kern w:val="0"/>
          <w:sz w:val="31"/>
          <w:szCs w:val="31"/>
        </w:rPr>
      </w:pPr>
      <w:r>
        <w:rPr>
          <w:rFonts w:hint="eastAsia"/>
          <w:color w:val="000000"/>
          <w:spacing w:val="8"/>
          <w:kern w:val="0"/>
          <w:sz w:val="31"/>
          <w:szCs w:val="31"/>
          <w:lang w:val="en-US" w:eastAsia="en-US"/>
        </w:rPr>
        <w:t>中国西部高原地区青少年脊柱侧弯预防与临床干预指南</w:t>
      </w:r>
    </w:p>
    <w:p w14:paraId="2148F497">
      <w:pPr>
        <w:pStyle w:val="67"/>
        <w:spacing w:before="240" w:after="240"/>
        <w:rPr>
          <w:rFonts w:hint="eastAsia"/>
          <w:lang w:val="en-US" w:eastAsia="en-US"/>
        </w:rPr>
      </w:pPr>
      <w:bookmarkStart w:id="5" w:name="_Toc26648465"/>
      <w:bookmarkStart w:id="6" w:name="_Toc26986530"/>
      <w:bookmarkStart w:id="7" w:name="_Toc17233333"/>
      <w:bookmarkStart w:id="8" w:name="_Toc26718930"/>
      <w:bookmarkStart w:id="9" w:name="_Toc26986771"/>
      <w:bookmarkStart w:id="10" w:name="_Toc24884218"/>
      <w:bookmarkStart w:id="11" w:name="_Toc12920"/>
      <w:bookmarkStart w:id="12" w:name="_Toc208503221"/>
      <w:bookmarkStart w:id="13" w:name="_Toc24884211"/>
      <w:bookmarkStart w:id="14" w:name="_Toc97192964"/>
      <w:bookmarkStart w:id="15" w:name="_Toc17233325"/>
      <w:bookmarkStart w:id="16" w:name="_Toc219835451"/>
      <w:r>
        <w:rPr>
          <w:rFonts w:hint="eastAsia"/>
          <w:lang w:val="en-US" w:eastAsia="en-US"/>
        </w:rPr>
        <w:t>范围</w:t>
      </w:r>
      <w:bookmarkEnd w:id="5"/>
      <w:bookmarkEnd w:id="6"/>
      <w:bookmarkEnd w:id="7"/>
      <w:bookmarkEnd w:id="8"/>
      <w:bookmarkEnd w:id="9"/>
      <w:bookmarkEnd w:id="10"/>
      <w:bookmarkEnd w:id="11"/>
      <w:bookmarkEnd w:id="12"/>
      <w:bookmarkEnd w:id="13"/>
      <w:bookmarkEnd w:id="14"/>
      <w:bookmarkEnd w:id="15"/>
      <w:bookmarkEnd w:id="16"/>
    </w:p>
    <w:p w14:paraId="1E81C3C7">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val="en-US" w:eastAsia="zh-CN"/>
        </w:rPr>
      </w:pPr>
      <w:r>
        <w:rPr>
          <w:rFonts w:hint="eastAsia" w:ascii="宋体" w:hAnsi="宋体" w:eastAsia="宋体" w:cs="宋体"/>
          <w:color w:val="000000"/>
          <w:spacing w:val="8"/>
          <w:kern w:val="0"/>
          <w:sz w:val="21"/>
          <w:szCs w:val="21"/>
          <w:lang w:val="en-US" w:eastAsia="zh-CN"/>
        </w:rPr>
        <w:t>本文件规定了中国西部高原地区青少年脊柱侧弯的预防筛查、风险评估、临床干预（非手术）、康复管理及疗效评价等技术规范与质量管控要求。</w:t>
      </w:r>
    </w:p>
    <w:p w14:paraId="2F8C2E00">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val="en-US" w:eastAsia="zh-CN"/>
        </w:rPr>
      </w:pPr>
      <w:r>
        <w:rPr>
          <w:rFonts w:hint="eastAsia" w:ascii="宋体" w:hAnsi="宋体" w:eastAsia="宋体" w:cs="宋体"/>
          <w:color w:val="000000"/>
          <w:spacing w:val="8"/>
          <w:kern w:val="0"/>
          <w:sz w:val="21"/>
          <w:szCs w:val="21"/>
          <w:lang w:val="en-US" w:eastAsia="zh-CN"/>
        </w:rPr>
        <w:t>地域范围：适用于中国西部高原地区（包括青海、西藏、甘肃、新疆、贵州、四川西部、云南西北部等海拔&gt;2500米的区域）。</w:t>
      </w:r>
    </w:p>
    <w:p w14:paraId="61F72E1E">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val="en-US" w:eastAsia="zh-CN"/>
        </w:rPr>
      </w:pPr>
      <w:r>
        <w:rPr>
          <w:rFonts w:hint="eastAsia" w:ascii="宋体" w:hAnsi="宋体" w:eastAsia="宋体" w:cs="宋体"/>
          <w:color w:val="000000"/>
          <w:spacing w:val="8"/>
          <w:kern w:val="0"/>
          <w:sz w:val="21"/>
          <w:szCs w:val="21"/>
          <w:lang w:val="en-US" w:eastAsia="zh-CN"/>
        </w:rPr>
        <w:t>适用对象：10～18岁青少年，重点关注在校学生群体。</w:t>
      </w:r>
    </w:p>
    <w:p w14:paraId="044C866B">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eastAsia="en-US"/>
        </w:rPr>
      </w:pPr>
      <w:r>
        <w:rPr>
          <w:rFonts w:hint="eastAsia" w:ascii="宋体" w:hAnsi="宋体" w:eastAsia="宋体" w:cs="宋体"/>
          <w:color w:val="000000"/>
          <w:spacing w:val="8"/>
          <w:kern w:val="0"/>
          <w:sz w:val="21"/>
          <w:szCs w:val="21"/>
          <w:lang w:val="en-US" w:eastAsia="zh-CN"/>
        </w:rPr>
        <w:t>本文件适用于各级中医院、中西医结合医院、综合医院的中医骨伤科、脊柱外科、康复科及基层医疗机构相关执业医师及康复师。</w:t>
      </w:r>
    </w:p>
    <w:p w14:paraId="299F560D">
      <w:pPr>
        <w:pStyle w:val="67"/>
        <w:spacing w:before="240" w:after="240"/>
        <w:rPr>
          <w:rFonts w:hint="eastAsia"/>
          <w:lang w:val="en-US" w:eastAsia="en-US"/>
        </w:rPr>
      </w:pPr>
      <w:bookmarkStart w:id="17" w:name="_Toc26718931"/>
      <w:bookmarkStart w:id="18" w:name="_Toc97192965"/>
      <w:bookmarkStart w:id="19" w:name="_Toc26986531"/>
      <w:bookmarkStart w:id="20" w:name="_Toc208503222"/>
      <w:bookmarkStart w:id="21" w:name="_Toc26986772"/>
      <w:bookmarkStart w:id="22" w:name="_Toc219835452"/>
      <w:bookmarkStart w:id="23" w:name="_Toc11053"/>
      <w:r>
        <w:rPr>
          <w:rFonts w:hint="eastAsia"/>
          <w:lang w:val="en-US" w:eastAsia="en-US"/>
        </w:rPr>
        <w:t>规范性引用文件</w:t>
      </w:r>
      <w:bookmarkEnd w:id="17"/>
      <w:bookmarkEnd w:id="18"/>
      <w:bookmarkEnd w:id="19"/>
      <w:bookmarkEnd w:id="20"/>
      <w:bookmarkEnd w:id="21"/>
      <w:bookmarkEnd w:id="22"/>
      <w:bookmarkEnd w:id="23"/>
    </w:p>
    <w:p w14:paraId="40E50446">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eastAsia="en-US"/>
        </w:rPr>
      </w:pPr>
      <w:r>
        <w:rPr>
          <w:rFonts w:hint="eastAsia" w:ascii="宋体" w:hAnsi="宋体" w:eastAsia="宋体" w:cs="宋体"/>
          <w:color w:val="000000"/>
          <w:spacing w:val="8"/>
          <w:kern w:val="0"/>
          <w:sz w:val="21"/>
          <w:szCs w:val="21"/>
          <w:lang w:eastAsia="en-US"/>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559EB139">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eastAsia="en-US"/>
        </w:rPr>
      </w:pPr>
      <w:r>
        <w:rPr>
          <w:rFonts w:hint="eastAsia" w:ascii="宋体" w:hAnsi="宋体" w:eastAsia="宋体" w:cs="宋体"/>
          <w:color w:val="000000"/>
          <w:spacing w:val="8"/>
          <w:kern w:val="0"/>
          <w:sz w:val="21"/>
          <w:szCs w:val="21"/>
          <w:lang w:eastAsia="en-US"/>
        </w:rPr>
        <w:t>GBZ 130-2020 医用X射线诊断放射防护要求。</w:t>
      </w:r>
    </w:p>
    <w:p w14:paraId="29991C51">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eastAsia="en-US"/>
        </w:rPr>
      </w:pPr>
      <w:r>
        <w:rPr>
          <w:rFonts w:hint="eastAsia" w:ascii="宋体" w:hAnsi="宋体" w:eastAsia="宋体" w:cs="宋体"/>
          <w:color w:val="000000"/>
          <w:spacing w:val="8"/>
          <w:kern w:val="0"/>
          <w:sz w:val="21"/>
          <w:szCs w:val="21"/>
          <w:lang w:eastAsia="en-US"/>
        </w:rPr>
        <w:t>GB/T 21709.20-2013 针灸技术操作规范 第20部分：脊柱调整。</w:t>
      </w:r>
    </w:p>
    <w:p w14:paraId="5A186BF9">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eastAsia="en-US"/>
        </w:rPr>
      </w:pPr>
      <w:r>
        <w:rPr>
          <w:rFonts w:hint="eastAsia" w:ascii="宋体" w:hAnsi="宋体" w:eastAsia="宋体" w:cs="宋体"/>
          <w:color w:val="000000"/>
          <w:spacing w:val="8"/>
          <w:kern w:val="0"/>
          <w:sz w:val="21"/>
          <w:szCs w:val="21"/>
          <w:lang w:eastAsia="en-US"/>
        </w:rPr>
        <w:t>WS/T 790—2021 儿童青少年脊柱弯曲异常筛查技术规范。</w:t>
      </w:r>
    </w:p>
    <w:p w14:paraId="58A2F715">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eastAsia="en-US"/>
        </w:rPr>
      </w:pPr>
      <w:r>
        <w:rPr>
          <w:rFonts w:hint="eastAsia" w:ascii="宋体" w:hAnsi="宋体" w:eastAsia="宋体" w:cs="宋体"/>
          <w:color w:val="000000"/>
          <w:spacing w:val="8"/>
          <w:kern w:val="0"/>
          <w:sz w:val="21"/>
          <w:szCs w:val="21"/>
          <w:lang w:eastAsia="en-US"/>
        </w:rPr>
        <w:t>T/CRACM 0001—2023 中医整脊科常见病诊疗指南。</w:t>
      </w:r>
    </w:p>
    <w:p w14:paraId="66109C07">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eastAsia="en-US"/>
        </w:rPr>
      </w:pPr>
      <w:r>
        <w:rPr>
          <w:rFonts w:hint="eastAsia" w:ascii="宋体" w:hAnsi="宋体" w:eastAsia="宋体" w:cs="宋体"/>
          <w:color w:val="000000"/>
          <w:spacing w:val="8"/>
          <w:kern w:val="0"/>
          <w:sz w:val="21"/>
          <w:szCs w:val="21"/>
          <w:lang w:eastAsia="en-US"/>
        </w:rPr>
        <w:t>SOSORT 2016 Guidelines: Orthopaedic and Rehabilitation Treatment，国际指南。</w:t>
      </w:r>
    </w:p>
    <w:p w14:paraId="5DA78E7D">
      <w:pPr>
        <w:pStyle w:val="67"/>
        <w:spacing w:before="240" w:after="240"/>
        <w:rPr>
          <w:rFonts w:hint="eastAsia"/>
          <w:szCs w:val="21"/>
          <w:lang w:val="en-US" w:eastAsia="en-US"/>
        </w:rPr>
      </w:pPr>
      <w:bookmarkStart w:id="24" w:name="_Toc4254"/>
      <w:bookmarkStart w:id="25" w:name="_Toc219835453"/>
      <w:r>
        <w:rPr>
          <w:rFonts w:hint="eastAsia"/>
          <w:szCs w:val="21"/>
          <w:lang w:val="en-US" w:eastAsia="en-US"/>
        </w:rPr>
        <w:t>术语和定义</w:t>
      </w:r>
      <w:bookmarkEnd w:id="24"/>
      <w:bookmarkEnd w:id="25"/>
    </w:p>
    <w:sdt>
      <w:sdtPr>
        <w:rPr>
          <w:rFonts w:hint="eastAsia" w:ascii="宋体" w:hAnsi="宋体" w:eastAsia="宋体" w:cs="宋体"/>
          <w:color w:val="227ACB"/>
          <w:sz w:val="21"/>
          <w:szCs w:val="21"/>
        </w:rPr>
        <w:id w:val="-1909835108"/>
        <w:placeholder>
          <w:docPart w:val="8DA54FE318C14D5BA9A51C48791DE8CB"/>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rPr>
          <w:rFonts w:hint="eastAsia" w:ascii="宋体" w:hAnsi="宋体" w:eastAsia="宋体" w:cs="宋体"/>
          <w:color w:val="227ACB"/>
          <w:sz w:val="21"/>
          <w:szCs w:val="21"/>
        </w:rPr>
      </w:sdtEndPr>
      <w:sdtContent>
        <w:p w14:paraId="229FC27E">
          <w:pPr>
            <w:pageBreakBefore w:val="0"/>
            <w:wordWrap/>
            <w:overflowPunct/>
            <w:topLinePunct w:val="0"/>
            <w:bidi w:val="0"/>
            <w:adjustRightInd w:val="0"/>
            <w:spacing w:beforeAutospacing="0" w:afterAutospacing="0" w:line="240" w:lineRule="auto"/>
            <w:ind w:left="0" w:leftChars="0" w:right="0" w:firstLine="420" w:firstLineChars="200"/>
            <w:textAlignment w:val="auto"/>
            <w:rPr>
              <w:rFonts w:hint="eastAsia" w:ascii="宋体" w:hAnsi="宋体" w:eastAsia="宋体" w:cs="宋体"/>
              <w:sz w:val="21"/>
              <w:szCs w:val="21"/>
            </w:rPr>
          </w:pPr>
          <w:bookmarkStart w:id="26" w:name="_Toc26986532"/>
          <w:bookmarkEnd w:id="26"/>
          <w:r>
            <w:rPr>
              <w:rFonts w:hint="eastAsia" w:ascii="宋体" w:hAnsi="宋体" w:eastAsia="宋体" w:cs="宋体"/>
              <w:color w:val="000000"/>
              <w:spacing w:val="8"/>
              <w:kern w:val="0"/>
              <w:sz w:val="21"/>
              <w:szCs w:val="21"/>
              <w:lang w:eastAsia="en-US"/>
            </w:rPr>
            <w:t>T/CACM 1457-2023下列术语和定义适用于本文件（暂定）。</w:t>
          </w:r>
        </w:p>
      </w:sdtContent>
    </w:sdt>
    <w:p w14:paraId="48CD7D85">
      <w:pPr>
        <w:pageBreakBefore w:val="0"/>
        <w:wordWrap/>
        <w:overflowPunct/>
        <w:topLinePunct w:val="0"/>
        <w:bidi w:val="0"/>
        <w:adjustRightInd w:val="0"/>
        <w:spacing w:beforeAutospacing="0" w:afterAutospacing="0" w:line="240" w:lineRule="auto"/>
        <w:ind w:right="0"/>
        <w:jc w:val="left"/>
        <w:textAlignment w:val="auto"/>
        <w:outlineLvl w:val="1"/>
        <w:rPr>
          <w:rFonts w:hint="eastAsia" w:ascii="黑体" w:hAnsi="黑体" w:eastAsia="黑体" w:cs="Times New Roman"/>
          <w:kern w:val="0"/>
          <w:sz w:val="21"/>
          <w:szCs w:val="20"/>
          <w:lang w:val="en-US" w:eastAsia="zh-CN" w:bidi="ar-SA"/>
        </w:rPr>
      </w:pPr>
      <w:r>
        <w:rPr>
          <w:rFonts w:hint="eastAsia" w:ascii="黑体" w:hAnsi="黑体" w:eastAsia="黑体" w:cs="Times New Roman"/>
          <w:kern w:val="0"/>
          <w:sz w:val="21"/>
          <w:szCs w:val="20"/>
          <w:lang w:val="en-US" w:eastAsia="zh-CN" w:bidi="ar-SA"/>
        </w:rPr>
        <w:t>3.1</w:t>
      </w:r>
    </w:p>
    <w:p w14:paraId="798ACDA2">
      <w:pPr>
        <w:pStyle w:val="68"/>
        <w:keepNext w:val="0"/>
        <w:keepLines w:val="0"/>
        <w:pageBreakBefore w:val="0"/>
        <w:widowControl/>
        <w:numPr>
          <w:ilvl w:val="2"/>
          <w:numId w:val="0"/>
        </w:numPr>
        <w:kinsoku/>
        <w:wordWrap/>
        <w:overflowPunct/>
        <w:topLinePunct w:val="0"/>
        <w:autoSpaceDE/>
        <w:autoSpaceDN/>
        <w:bidi w:val="0"/>
        <w:adjustRightInd/>
        <w:snapToGrid/>
        <w:ind w:leftChars="0" w:firstLine="420" w:firstLineChars="200"/>
        <w:textAlignment w:val="auto"/>
        <w:rPr>
          <w:rFonts w:hint="eastAsia" w:ascii="黑体" w:hAnsi="黑体" w:eastAsia="黑体"/>
          <w:lang w:val="en-US" w:eastAsia="en-US"/>
        </w:rPr>
      </w:pPr>
      <w:r>
        <w:rPr>
          <w:rFonts w:hint="eastAsia" w:ascii="黑体" w:hAnsi="黑体" w:eastAsia="黑体"/>
          <w:lang w:val="en-US" w:eastAsia="en-US"/>
        </w:rPr>
        <w:t>高原地区 High-altitude area</w:t>
      </w:r>
    </w:p>
    <w:p w14:paraId="65C639A2">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eastAsia="en-US"/>
        </w:rPr>
      </w:pPr>
      <w:r>
        <w:rPr>
          <w:rFonts w:hint="eastAsia" w:ascii="宋体" w:hAnsi="宋体" w:eastAsia="宋体" w:cs="宋体"/>
          <w:color w:val="000000"/>
          <w:spacing w:val="8"/>
          <w:kern w:val="0"/>
          <w:sz w:val="21"/>
          <w:szCs w:val="21"/>
          <w:lang w:eastAsia="en-US"/>
        </w:rPr>
        <w:t>本指南特指中国西部及西北部海拔&gt;2500米、具有低氧、高寒、强紫外线、维生素D代谢异常、运动不足、营养不均衡等影响脊柱生长发育的因素的地域。包括青海、西藏、贵州、甘肃高海拔地区、新疆高海拔地区、四川西部及云南西北部地区。</w:t>
      </w:r>
    </w:p>
    <w:p w14:paraId="128A4994">
      <w:pPr>
        <w:pageBreakBefore w:val="0"/>
        <w:wordWrap/>
        <w:overflowPunct/>
        <w:topLinePunct w:val="0"/>
        <w:bidi w:val="0"/>
        <w:adjustRightInd w:val="0"/>
        <w:spacing w:beforeAutospacing="0" w:afterAutospacing="0" w:line="240" w:lineRule="auto"/>
        <w:ind w:right="0"/>
        <w:jc w:val="left"/>
        <w:textAlignment w:val="auto"/>
        <w:outlineLvl w:val="1"/>
        <w:rPr>
          <w:rFonts w:hint="eastAsia" w:ascii="黑体" w:hAnsi="黑体" w:eastAsia="黑体" w:cs="Times New Roman"/>
          <w:kern w:val="0"/>
          <w:sz w:val="21"/>
          <w:szCs w:val="20"/>
          <w:lang w:val="en-US" w:eastAsia="zh-CN" w:bidi="ar-SA"/>
        </w:rPr>
      </w:pPr>
      <w:r>
        <w:rPr>
          <w:rFonts w:hint="eastAsia" w:ascii="黑体" w:hAnsi="黑体" w:eastAsia="黑体" w:cs="Times New Roman"/>
          <w:kern w:val="0"/>
          <w:sz w:val="21"/>
          <w:szCs w:val="20"/>
          <w:lang w:val="en-US" w:eastAsia="zh-CN" w:bidi="ar-SA"/>
        </w:rPr>
        <w:t>3.2</w:t>
      </w:r>
    </w:p>
    <w:p w14:paraId="270BBDA6">
      <w:pPr>
        <w:pStyle w:val="68"/>
        <w:keepNext w:val="0"/>
        <w:keepLines w:val="0"/>
        <w:pageBreakBefore w:val="0"/>
        <w:widowControl/>
        <w:numPr>
          <w:ilvl w:val="2"/>
          <w:numId w:val="0"/>
        </w:numPr>
        <w:kinsoku/>
        <w:wordWrap/>
        <w:overflowPunct/>
        <w:topLinePunct w:val="0"/>
        <w:autoSpaceDE/>
        <w:autoSpaceDN/>
        <w:bidi w:val="0"/>
        <w:adjustRightInd/>
        <w:snapToGrid/>
        <w:ind w:leftChars="0" w:firstLine="420" w:firstLineChars="200"/>
        <w:textAlignment w:val="auto"/>
        <w:rPr>
          <w:rFonts w:hint="eastAsia" w:ascii="黑体" w:hAnsi="黑体" w:eastAsia="黑体"/>
          <w:lang w:val="en-US" w:eastAsia="en-US"/>
        </w:rPr>
      </w:pPr>
      <w:r>
        <w:rPr>
          <w:rFonts w:hint="eastAsia" w:ascii="黑体" w:hAnsi="黑体" w:eastAsia="黑体"/>
          <w:lang w:val="en-US" w:eastAsia="en-US"/>
        </w:rPr>
        <w:t>青少年脊柱侧弯 Adolescent scoliosis</w:t>
      </w:r>
    </w:p>
    <w:p w14:paraId="4F64D094">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eastAsia="en-US"/>
        </w:rPr>
      </w:pPr>
      <w:r>
        <w:rPr>
          <w:rFonts w:hint="eastAsia" w:ascii="宋体" w:hAnsi="宋体" w:eastAsia="宋体" w:cs="宋体"/>
          <w:color w:val="000000"/>
          <w:spacing w:val="8"/>
          <w:kern w:val="0"/>
          <w:sz w:val="21"/>
          <w:szCs w:val="21"/>
          <w:lang w:eastAsia="en-US"/>
        </w:rPr>
        <w:t>青少年脊柱侧弯是指发生于10～18岁青春期阶段的结构性三维脊柱畸形。其典型特征为脊柱在冠状面发生侧方弯曲，同时伴随椎体旋转及矢状面生理曲度改变。根据Scoliosis Research Society的诊断标准，站立位全脊柱DR线片测量Cobb角≥10°，并伴有椎体旋转，即可确诊为脊柱侧弯。本指南重在排除先天性、神经肌肉性、综合征性等明确病因的脊柱侧弯后的青少年特发性脊柱侧弯。在中医范畴属于“龟背”、“筋骨病”及“伛偻”的范畴。</w:t>
      </w:r>
    </w:p>
    <w:p w14:paraId="55F0F5B7">
      <w:pPr>
        <w:pageBreakBefore w:val="0"/>
        <w:wordWrap/>
        <w:overflowPunct/>
        <w:topLinePunct w:val="0"/>
        <w:bidi w:val="0"/>
        <w:adjustRightInd w:val="0"/>
        <w:spacing w:beforeAutospacing="0" w:afterAutospacing="0" w:line="240" w:lineRule="auto"/>
        <w:ind w:right="0"/>
        <w:jc w:val="left"/>
        <w:textAlignment w:val="auto"/>
        <w:outlineLvl w:val="1"/>
        <w:rPr>
          <w:rFonts w:hint="eastAsia" w:ascii="黑体" w:hAnsi="黑体" w:eastAsia="黑体" w:cs="Times New Roman"/>
          <w:kern w:val="0"/>
          <w:sz w:val="21"/>
          <w:szCs w:val="20"/>
          <w:lang w:val="en-US" w:eastAsia="zh-CN" w:bidi="ar-SA"/>
        </w:rPr>
      </w:pPr>
      <w:r>
        <w:rPr>
          <w:rFonts w:hint="eastAsia" w:ascii="黑体" w:hAnsi="黑体" w:eastAsia="黑体" w:cs="Times New Roman"/>
          <w:kern w:val="0"/>
          <w:sz w:val="21"/>
          <w:szCs w:val="20"/>
          <w:lang w:val="en-US" w:eastAsia="zh-CN" w:bidi="ar-SA"/>
        </w:rPr>
        <w:t>3.3</w:t>
      </w:r>
    </w:p>
    <w:p w14:paraId="1B799148">
      <w:pPr>
        <w:pStyle w:val="68"/>
        <w:keepNext w:val="0"/>
        <w:keepLines w:val="0"/>
        <w:pageBreakBefore w:val="0"/>
        <w:widowControl/>
        <w:numPr>
          <w:ilvl w:val="2"/>
          <w:numId w:val="0"/>
        </w:numPr>
        <w:kinsoku/>
        <w:wordWrap/>
        <w:overflowPunct/>
        <w:topLinePunct w:val="0"/>
        <w:autoSpaceDE/>
        <w:autoSpaceDN/>
        <w:bidi w:val="0"/>
        <w:adjustRightInd/>
        <w:snapToGrid/>
        <w:ind w:leftChars="0" w:firstLine="420" w:firstLineChars="200"/>
        <w:textAlignment w:val="auto"/>
        <w:rPr>
          <w:rFonts w:hint="eastAsia" w:ascii="黑体" w:hAnsi="黑体" w:eastAsia="黑体"/>
          <w:lang w:val="en-US" w:eastAsia="en-US"/>
        </w:rPr>
      </w:pPr>
      <w:r>
        <w:rPr>
          <w:rFonts w:hint="eastAsia" w:ascii="黑体" w:hAnsi="黑体" w:eastAsia="黑体"/>
          <w:lang w:val="en-US" w:eastAsia="en-US"/>
        </w:rPr>
        <w:t>中医体质辨识 TCM constitution identification</w:t>
      </w:r>
    </w:p>
    <w:p w14:paraId="2F0FC875">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eastAsia="en-US"/>
        </w:rPr>
      </w:pPr>
      <w:r>
        <w:rPr>
          <w:rFonts w:hint="eastAsia" w:ascii="宋体" w:hAnsi="宋体" w:eastAsia="宋体" w:cs="宋体"/>
          <w:color w:val="000000"/>
          <w:spacing w:val="8"/>
          <w:kern w:val="0"/>
          <w:sz w:val="21"/>
          <w:szCs w:val="21"/>
          <w:lang w:eastAsia="en-US"/>
        </w:rPr>
        <w:t>根据中医《中医体质分类与判定》，对青少年脊柱侧弯患者进行体质分类与判定，用以评估其与脊柱侧弯发病的潜在相关性。</w:t>
      </w:r>
    </w:p>
    <w:p w14:paraId="482988DC">
      <w:pPr>
        <w:pageBreakBefore w:val="0"/>
        <w:wordWrap/>
        <w:overflowPunct/>
        <w:topLinePunct w:val="0"/>
        <w:bidi w:val="0"/>
        <w:adjustRightInd w:val="0"/>
        <w:spacing w:beforeAutospacing="0" w:afterAutospacing="0" w:line="240" w:lineRule="auto"/>
        <w:ind w:right="0"/>
        <w:jc w:val="left"/>
        <w:textAlignment w:val="auto"/>
        <w:outlineLvl w:val="1"/>
        <w:rPr>
          <w:rFonts w:hint="eastAsia" w:ascii="黑体" w:hAnsi="黑体" w:eastAsia="黑体" w:cs="Times New Roman"/>
          <w:kern w:val="0"/>
          <w:sz w:val="21"/>
          <w:szCs w:val="20"/>
          <w:lang w:val="en-US" w:eastAsia="zh-CN" w:bidi="ar-SA"/>
        </w:rPr>
      </w:pPr>
      <w:r>
        <w:rPr>
          <w:rFonts w:hint="eastAsia" w:ascii="黑体" w:hAnsi="黑体" w:eastAsia="黑体" w:cs="Times New Roman"/>
          <w:kern w:val="0"/>
          <w:sz w:val="21"/>
          <w:szCs w:val="20"/>
          <w:lang w:val="en-US" w:eastAsia="zh-CN" w:bidi="ar-SA"/>
        </w:rPr>
        <w:t>3.4</w:t>
      </w:r>
    </w:p>
    <w:p w14:paraId="323C7CEA">
      <w:pPr>
        <w:pStyle w:val="68"/>
        <w:keepNext w:val="0"/>
        <w:keepLines w:val="0"/>
        <w:pageBreakBefore w:val="0"/>
        <w:widowControl/>
        <w:numPr>
          <w:ilvl w:val="2"/>
          <w:numId w:val="0"/>
        </w:numPr>
        <w:kinsoku/>
        <w:wordWrap/>
        <w:overflowPunct/>
        <w:topLinePunct w:val="0"/>
        <w:autoSpaceDE/>
        <w:autoSpaceDN/>
        <w:bidi w:val="0"/>
        <w:adjustRightInd/>
        <w:snapToGrid/>
        <w:ind w:leftChars="0" w:firstLine="420" w:firstLineChars="200"/>
        <w:textAlignment w:val="auto"/>
        <w:rPr>
          <w:rFonts w:hint="eastAsia" w:ascii="黑体" w:hAnsi="黑体" w:eastAsia="黑体"/>
          <w:lang w:val="en-US" w:eastAsia="en-US"/>
        </w:rPr>
      </w:pPr>
      <w:r>
        <w:rPr>
          <w:rFonts w:hint="eastAsia" w:ascii="黑体" w:hAnsi="黑体" w:eastAsia="黑体"/>
          <w:lang w:val="en-US" w:eastAsia="en-US"/>
        </w:rPr>
        <w:t>柔筋衡脊疗法</w:t>
      </w:r>
      <w:r>
        <w:rPr>
          <w:rFonts w:hint="eastAsia" w:ascii="黑体" w:hAnsi="黑体" w:eastAsia="黑体"/>
          <w:lang w:val="en-US" w:eastAsia="zh-CN"/>
        </w:rPr>
        <w:t xml:space="preserve"> </w:t>
      </w:r>
      <w:r>
        <w:rPr>
          <w:rFonts w:hint="eastAsia" w:ascii="黑体" w:hAnsi="黑体" w:eastAsia="黑体"/>
          <w:lang w:val="en-US" w:eastAsia="en-US"/>
        </w:rPr>
        <w:t>Roujinhengji therapy</w:t>
      </w:r>
    </w:p>
    <w:p w14:paraId="5AB57689">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eastAsia="en-US"/>
        </w:rPr>
      </w:pPr>
      <w:r>
        <w:rPr>
          <w:rFonts w:hint="eastAsia" w:ascii="宋体" w:hAnsi="宋体" w:eastAsia="宋体" w:cs="宋体"/>
          <w:color w:val="000000"/>
          <w:spacing w:val="8"/>
          <w:kern w:val="0"/>
          <w:sz w:val="21"/>
          <w:szCs w:val="21"/>
          <w:lang w:eastAsia="en-US"/>
        </w:rPr>
        <w:t>以“整体辨证、筋骨并重、内外兼治、动静互补”为治疗理念，以“筋骨并重”为关键靶点，维护二者之间的动静平衡。根据脊柱侧凸患者脊柱全长X线的特征，由准备部分、治疗部分、结束部分组成准备部分包括揉法、推法、法放松患者脊柱两侧肌肉,尤其松解由于眷柱侧弯顶椎区挛缩的肌肉;治疗部分包括颈椎松肌理筋手法、胸椎俯卧冲压手法、胸椎按背扳肩整复手法、腰椎斜扳手法、推腰扳腿手法、屈髋屈膝冲压手法、屈膝屈髋施压外旋外展伸腿手法、屈髋屈膝蹬足手法、对抗牵引牵抖手法，以上九种治疗手法涉及脊柱侧凸患者顶椎区、骨盆区、下肢区，符合中医手法“局部-整体”整体观治疗理念。结束部分包括揉法、推法、捋法、拍法加强气血运行，缓解肌肉紧张痉挛状态。</w:t>
      </w:r>
    </w:p>
    <w:p w14:paraId="3234EBF8">
      <w:pPr>
        <w:pageBreakBefore w:val="0"/>
        <w:wordWrap/>
        <w:overflowPunct/>
        <w:topLinePunct w:val="0"/>
        <w:bidi w:val="0"/>
        <w:adjustRightInd w:val="0"/>
        <w:spacing w:beforeAutospacing="0" w:afterAutospacing="0" w:line="240" w:lineRule="auto"/>
        <w:ind w:right="0"/>
        <w:jc w:val="left"/>
        <w:textAlignment w:val="auto"/>
        <w:outlineLvl w:val="1"/>
        <w:rPr>
          <w:rFonts w:hint="eastAsia" w:ascii="黑体" w:hAnsi="黑体" w:eastAsia="黑体" w:cs="Times New Roman"/>
          <w:kern w:val="0"/>
          <w:sz w:val="21"/>
          <w:szCs w:val="20"/>
          <w:lang w:val="en-US" w:eastAsia="zh-CN" w:bidi="ar-SA"/>
        </w:rPr>
      </w:pPr>
      <w:r>
        <w:rPr>
          <w:rFonts w:hint="eastAsia" w:ascii="黑体" w:hAnsi="黑体" w:eastAsia="黑体" w:cs="Times New Roman"/>
          <w:kern w:val="0"/>
          <w:sz w:val="21"/>
          <w:szCs w:val="20"/>
          <w:lang w:val="en-US" w:eastAsia="zh-CN" w:bidi="ar-SA"/>
        </w:rPr>
        <w:t>3.5</w:t>
      </w:r>
    </w:p>
    <w:p w14:paraId="6ABCC9A0">
      <w:pPr>
        <w:pStyle w:val="68"/>
        <w:keepNext w:val="0"/>
        <w:keepLines w:val="0"/>
        <w:pageBreakBefore w:val="0"/>
        <w:widowControl/>
        <w:numPr>
          <w:ilvl w:val="2"/>
          <w:numId w:val="0"/>
        </w:numPr>
        <w:kinsoku/>
        <w:wordWrap/>
        <w:overflowPunct/>
        <w:topLinePunct w:val="0"/>
        <w:autoSpaceDE/>
        <w:autoSpaceDN/>
        <w:bidi w:val="0"/>
        <w:adjustRightInd/>
        <w:snapToGrid/>
        <w:ind w:leftChars="0" w:firstLine="420" w:firstLineChars="200"/>
        <w:textAlignment w:val="auto"/>
        <w:rPr>
          <w:rFonts w:hint="eastAsia" w:ascii="黑体" w:hAnsi="黑体" w:eastAsia="黑体"/>
          <w:lang w:val="en-US" w:eastAsia="en-US"/>
        </w:rPr>
      </w:pPr>
      <w:r>
        <w:rPr>
          <w:rFonts w:hint="eastAsia" w:ascii="黑体" w:hAnsi="黑体" w:eastAsia="黑体"/>
          <w:lang w:val="en-US" w:eastAsia="en-US"/>
        </w:rPr>
        <w:t>穴位定位 acupoint location</w:t>
      </w:r>
    </w:p>
    <w:p w14:paraId="2A91677C">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eastAsia="en-US"/>
        </w:rPr>
      </w:pPr>
      <w:r>
        <w:rPr>
          <w:rFonts w:hint="eastAsia" w:ascii="宋体" w:hAnsi="宋体" w:eastAsia="宋体" w:cs="宋体"/>
          <w:color w:val="000000"/>
          <w:spacing w:val="8"/>
          <w:kern w:val="0"/>
          <w:sz w:val="21"/>
          <w:szCs w:val="21"/>
          <w:lang w:eastAsia="en-US"/>
        </w:rPr>
        <w:t>按照GB/T 12346《腧穴名称与定位》标准，通过体表解剖标志确定穴位准确位置的操作，直接影响疗效与安全性。</w:t>
      </w:r>
    </w:p>
    <w:p w14:paraId="4943075C">
      <w:pPr>
        <w:pStyle w:val="67"/>
        <w:spacing w:before="240" w:after="240"/>
        <w:rPr>
          <w:rFonts w:hint="eastAsia"/>
          <w:lang w:val="en-US" w:eastAsia="en-US"/>
        </w:rPr>
      </w:pPr>
      <w:bookmarkStart w:id="27" w:name="_Toc219835458"/>
      <w:bookmarkStart w:id="28" w:name="_Toc19203"/>
      <w:r>
        <w:rPr>
          <w:rFonts w:hint="eastAsia"/>
          <w:lang w:val="en-US" w:eastAsia="en-US"/>
        </w:rPr>
        <w:t>服务人员要求</w:t>
      </w:r>
      <w:bookmarkEnd w:id="27"/>
      <w:bookmarkEnd w:id="28"/>
      <w:r>
        <w:rPr>
          <w:rFonts w:hint="eastAsia"/>
          <w:lang w:val="en-US" w:eastAsia="en-US"/>
        </w:rPr>
        <w:t xml:space="preserve"> </w:t>
      </w:r>
    </w:p>
    <w:p w14:paraId="418F6988">
      <w:pPr>
        <w:pStyle w:val="70"/>
        <w:spacing w:before="120" w:after="120"/>
        <w:rPr>
          <w:rFonts w:hint="eastAsia"/>
          <w:lang w:val="en-US" w:eastAsia="en-US"/>
        </w:rPr>
      </w:pPr>
      <w:bookmarkStart w:id="29" w:name="_Toc219835459"/>
      <w:bookmarkStart w:id="30" w:name="_Toc30977"/>
      <w:bookmarkStart w:id="31" w:name="_Toc208503225"/>
      <w:r>
        <w:rPr>
          <w:rFonts w:hint="eastAsia"/>
          <w:lang w:val="en-US" w:eastAsia="en-US"/>
        </w:rPr>
        <w:t>资质要求</w:t>
      </w:r>
      <w:bookmarkEnd w:id="29"/>
      <w:bookmarkEnd w:id="30"/>
      <w:bookmarkEnd w:id="31"/>
    </w:p>
    <w:p w14:paraId="7061D361">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eastAsia="en-US"/>
        </w:rPr>
      </w:pPr>
      <w:r>
        <w:rPr>
          <w:rFonts w:hint="eastAsia" w:ascii="宋体" w:hAnsi="宋体" w:eastAsia="宋体" w:cs="宋体"/>
          <w:color w:val="000000"/>
          <w:spacing w:val="8"/>
          <w:kern w:val="0"/>
          <w:sz w:val="21"/>
          <w:szCs w:val="21"/>
          <w:lang w:eastAsia="en-US"/>
        </w:rPr>
        <w:t>开展中国西部高原地区青少年脊柱侧弯预防筛查、中医临床干预与疗效评估的操作人员，必须同时具备以下执业资质与专业条件：</w:t>
      </w:r>
    </w:p>
    <w:p w14:paraId="3077E48E">
      <w:pPr>
        <w:pStyle w:val="64"/>
        <w:widowControl/>
        <w:suppressAutoHyphens/>
        <w:bidi w:val="0"/>
        <w:spacing w:before="0" w:after="0"/>
        <w:rPr>
          <w:rFonts w:hint="eastAsia" w:ascii="宋体" w:hAnsi="Times New Roman" w:eastAsia="宋体"/>
          <w:kern w:val="0"/>
          <w:szCs w:val="20"/>
          <w:lang w:eastAsia="en-US"/>
        </w:rPr>
      </w:pPr>
      <w:r>
        <w:rPr>
          <w:rFonts w:hint="eastAsia" w:ascii="宋体" w:hAnsi="Times New Roman" w:eastAsia="宋体"/>
          <w:kern w:val="0"/>
          <w:szCs w:val="20"/>
          <w:lang w:eastAsia="en-US"/>
        </w:rPr>
        <w:t>执业资格：必须持有有效的《医师执业证书》，执业范围为中医类别（中医骨伤、针灸推拿、中医康复等专业）或临床类别（脊柱外科、儿科、康复医学科专业），且在具备相应资质的医疗机构内注册执业。</w:t>
      </w:r>
    </w:p>
    <w:p w14:paraId="0BC01654">
      <w:pPr>
        <w:pStyle w:val="64"/>
        <w:widowControl/>
        <w:suppressAutoHyphens/>
        <w:bidi w:val="0"/>
        <w:spacing w:before="0" w:after="0"/>
        <w:rPr>
          <w:rFonts w:hint="eastAsia" w:ascii="宋体" w:hAnsi="Times New Roman" w:eastAsia="宋体"/>
          <w:kern w:val="0"/>
          <w:szCs w:val="20"/>
          <w:lang w:eastAsia="en-US"/>
        </w:rPr>
      </w:pPr>
      <w:r>
        <w:rPr>
          <w:rFonts w:hint="eastAsia" w:ascii="宋体" w:hAnsi="Times New Roman" w:eastAsia="宋体"/>
          <w:kern w:val="0"/>
          <w:szCs w:val="20"/>
          <w:lang w:eastAsia="en-US"/>
        </w:rPr>
        <w:t>专业职称：独立开展筛查与初级干预者：应具备中医学、临床医学或康复医学助理医师及以上职称。</w:t>
      </w:r>
    </w:p>
    <w:p w14:paraId="26520B20">
      <w:pPr>
        <w:pStyle w:val="64"/>
        <w:widowControl/>
        <w:suppressAutoHyphens/>
        <w:bidi w:val="0"/>
        <w:spacing w:before="0" w:after="0"/>
        <w:rPr>
          <w:rFonts w:hint="eastAsia" w:ascii="宋体" w:hAnsi="Times New Roman" w:eastAsia="宋体"/>
          <w:kern w:val="0"/>
          <w:szCs w:val="20"/>
          <w:lang w:eastAsia="en-US"/>
        </w:rPr>
      </w:pPr>
      <w:r>
        <w:rPr>
          <w:rFonts w:hint="eastAsia" w:ascii="宋体" w:hAnsi="Times New Roman" w:eastAsia="宋体"/>
          <w:kern w:val="0"/>
          <w:szCs w:val="20"/>
          <w:lang w:eastAsia="en-US"/>
        </w:rPr>
        <w:t xml:space="preserve">独立实施手法整脊等高风险外治技术者：必须具备主治医师及以上职称。住院医师必须在主治医师及以上职称医师的现场指导下方可参与协助操作。    </w:t>
      </w:r>
    </w:p>
    <w:p w14:paraId="45FA170C">
      <w:pPr>
        <w:pStyle w:val="64"/>
        <w:widowControl/>
        <w:suppressAutoHyphens/>
        <w:bidi w:val="0"/>
        <w:spacing w:before="0" w:after="0"/>
        <w:rPr>
          <w:rFonts w:hint="eastAsia" w:ascii="宋体" w:hAnsi="Times New Roman" w:eastAsia="宋体"/>
          <w:kern w:val="0"/>
          <w:szCs w:val="20"/>
          <w:lang w:eastAsia="en-US"/>
        </w:rPr>
      </w:pPr>
      <w:r>
        <w:rPr>
          <w:rFonts w:hint="eastAsia" w:ascii="宋体" w:hAnsi="Times New Roman" w:eastAsia="宋体"/>
          <w:kern w:val="0"/>
          <w:szCs w:val="20"/>
          <w:lang w:eastAsia="en-US"/>
        </w:rPr>
        <w:t>专项培训：有操作人员必须完成“区域青少年脊柱侧弯中西医协同防治专项培训”（总学时≥40学时，其中高原环境发病机制与筛查规范16学时、中医适宜技术实操24学时），考核合格并取得由省级及以上归口管理单位或行业学会颁发的培训合格证书。</w:t>
      </w:r>
    </w:p>
    <w:p w14:paraId="2611B1AC">
      <w:pPr>
        <w:pStyle w:val="64"/>
        <w:widowControl/>
        <w:suppressAutoHyphens/>
        <w:bidi w:val="0"/>
        <w:spacing w:before="0" w:after="0"/>
        <w:rPr>
          <w:rFonts w:hint="eastAsia" w:ascii="宋体" w:hAnsi="Times New Roman" w:eastAsia="宋体"/>
          <w:kern w:val="0"/>
          <w:szCs w:val="20"/>
          <w:lang w:eastAsia="en-US"/>
        </w:rPr>
      </w:pPr>
      <w:r>
        <w:rPr>
          <w:rFonts w:hint="eastAsia" w:ascii="宋体" w:hAnsi="Times New Roman" w:eastAsia="宋体"/>
          <w:kern w:val="0"/>
          <w:szCs w:val="20"/>
          <w:lang w:eastAsia="en-US"/>
        </w:rPr>
        <w:t>实操经验：在独立开展柔筋衡脊疗法综合干预前，需在指导老师监督下，作为主要操作者完成≥</w:t>
      </w:r>
      <w:r>
        <w:rPr>
          <w:rFonts w:hint="eastAsia" w:ascii="宋体" w:hAnsi="Times New Roman" w:eastAsia="宋体"/>
          <w:kern w:val="0"/>
          <w:szCs w:val="20"/>
          <w:lang w:val="en-US" w:eastAsia="zh-CN"/>
        </w:rPr>
        <w:t>20</w:t>
      </w:r>
      <w:r>
        <w:rPr>
          <w:rFonts w:hint="eastAsia" w:ascii="宋体" w:hAnsi="Times New Roman" w:eastAsia="宋体"/>
          <w:kern w:val="0"/>
          <w:szCs w:val="20"/>
          <w:lang w:eastAsia="en-US"/>
        </w:rPr>
        <w:t>例青少年脊柱侧弯患者的完整诊疗或康复流程，且无不良事件记录。</w:t>
      </w:r>
    </w:p>
    <w:p w14:paraId="797908FE">
      <w:pPr>
        <w:pStyle w:val="70"/>
        <w:spacing w:before="120" w:after="120"/>
        <w:rPr>
          <w:rFonts w:hint="eastAsia"/>
          <w:lang w:val="en-US" w:eastAsia="en-US"/>
        </w:rPr>
      </w:pPr>
      <w:bookmarkStart w:id="32" w:name="_Toc21204"/>
      <w:r>
        <w:rPr>
          <w:rFonts w:hint="eastAsia"/>
          <w:lang w:val="en-US" w:eastAsia="en-US"/>
        </w:rPr>
        <w:t>技能要求</w:t>
      </w:r>
      <w:bookmarkEnd w:id="32"/>
    </w:p>
    <w:p w14:paraId="70FE8AA9">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eastAsia="en-US"/>
        </w:rPr>
      </w:pPr>
      <w:r>
        <w:rPr>
          <w:rFonts w:hint="eastAsia" w:ascii="宋体" w:hAnsi="宋体" w:eastAsia="宋体" w:cs="宋体"/>
          <w:color w:val="000000"/>
          <w:spacing w:val="8"/>
          <w:kern w:val="0"/>
          <w:sz w:val="21"/>
          <w:szCs w:val="21"/>
          <w:lang w:eastAsia="en-US"/>
        </w:rPr>
        <w:t>操作人员需熟练掌握以下技能，确保操作安全与疗效：</w:t>
      </w:r>
    </w:p>
    <w:p w14:paraId="5D414BCB">
      <w:pPr>
        <w:pStyle w:val="71"/>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黑体" w:hAnsi="黑体" w:eastAsia="黑体" w:cs="黑体"/>
          <w:lang w:val="en-US" w:eastAsia="en-US"/>
        </w:rPr>
      </w:pPr>
      <w:r>
        <w:rPr>
          <w:rFonts w:hint="eastAsia" w:ascii="黑体" w:hAnsi="黑体" w:eastAsia="黑体" w:cs="黑体"/>
          <w:lang w:val="en-US" w:eastAsia="en-US"/>
        </w:rPr>
        <w:t>预防筛查技能</w:t>
      </w:r>
    </w:p>
    <w:p w14:paraId="145947AD">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eastAsia="en-US"/>
        </w:rPr>
      </w:pPr>
      <w:r>
        <w:rPr>
          <w:rFonts w:hint="eastAsia" w:ascii="宋体" w:hAnsi="宋体" w:eastAsia="宋体" w:cs="宋体"/>
          <w:color w:val="000000"/>
          <w:spacing w:val="8"/>
          <w:kern w:val="0"/>
          <w:sz w:val="21"/>
          <w:szCs w:val="21"/>
          <w:lang w:eastAsia="en-US"/>
        </w:rPr>
        <w:t>物理筛查准确度：操作人员必须100%熟练掌握WS/T 790—2021规定的筛查动作，其中一检筛查内容包括：体态观察、明显肩胛骨不对称、骨盆倾斜、Adams前屈试验；二检筛查包括：躯干旋转角（ATR）≥5°；三检影像学筛查：站立位全脊柱X线片，并依据Cobb角进行分组：轻度：10°～20°，中度：21°～40°重度：＞40°。熟练使用脊柱测量仪测量仪，对 Adams 前屈试验中的双侧背部不对称高度进行精准读数，误差控制在±2°以内。</w:t>
      </w:r>
    </w:p>
    <w:p w14:paraId="62BA79A3">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eastAsia="en-US"/>
        </w:rPr>
      </w:pPr>
      <w:r>
        <w:rPr>
          <w:rFonts w:hint="eastAsia" w:ascii="宋体" w:hAnsi="宋体" w:eastAsia="宋体" w:cs="宋体"/>
          <w:color w:val="000000"/>
          <w:spacing w:val="8"/>
          <w:kern w:val="0"/>
          <w:sz w:val="21"/>
          <w:szCs w:val="21"/>
          <w:lang w:eastAsia="en-US"/>
        </w:rPr>
        <w:t>风险评估能力：能精准识别并量化记录“高原环境风险因子清单”指标（准确采集受试青少年每日户外日照时长、书写坐姿习惯等行为频次等）。</w:t>
      </w:r>
    </w:p>
    <w:p w14:paraId="13D70549">
      <w:pPr>
        <w:pStyle w:val="71"/>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黑体" w:hAnsi="黑体" w:eastAsia="黑体" w:cs="黑体"/>
          <w:lang w:val="en-US" w:eastAsia="en-US"/>
        </w:rPr>
      </w:pPr>
      <w:r>
        <w:rPr>
          <w:rFonts w:hint="eastAsia" w:ascii="黑体" w:hAnsi="黑体" w:eastAsia="黑体" w:cs="黑体"/>
          <w:lang w:val="en-US" w:eastAsia="en-US"/>
        </w:rPr>
        <w:t>诊疗操作技能</w:t>
      </w:r>
    </w:p>
    <w:p w14:paraId="36300471">
      <w:pPr>
        <w:pageBreakBefore w:val="0"/>
        <w:widowControl/>
        <w:numPr>
          <w:ilvl w:val="0"/>
          <w:numId w:val="0"/>
        </w:numPr>
        <w:kinsoku w:val="0"/>
        <w:wordWrap/>
        <w:overflowPunct/>
        <w:topLinePunct w:val="0"/>
        <w:autoSpaceDE w:val="0"/>
        <w:autoSpaceDN w:val="0"/>
        <w:bidi w:val="0"/>
        <w:adjustRightInd w:val="0"/>
        <w:snapToGrid w:val="0"/>
        <w:spacing w:beforeAutospacing="0" w:afterAutospacing="0" w:line="240" w:lineRule="auto"/>
        <w:ind w:left="0" w:leftChars="0" w:right="0" w:rightChars="0" w:firstLine="452" w:firstLineChars="200"/>
        <w:jc w:val="both"/>
        <w:textAlignment w:val="auto"/>
        <w:rPr>
          <w:rFonts w:hint="eastAsia" w:ascii="宋体" w:hAnsi="宋体" w:eastAsia="宋体" w:cs="宋体"/>
          <w:color w:val="000000"/>
          <w:spacing w:val="8"/>
          <w:kern w:val="0"/>
          <w:sz w:val="21"/>
          <w:szCs w:val="21"/>
          <w:lang w:eastAsia="en-US"/>
        </w:rPr>
      </w:pPr>
      <w:r>
        <w:rPr>
          <w:rFonts w:hint="eastAsia" w:ascii="宋体" w:hAnsi="宋体" w:eastAsia="宋体" w:cs="宋体"/>
          <w:color w:val="000000"/>
          <w:spacing w:val="8"/>
          <w:kern w:val="0"/>
          <w:sz w:val="21"/>
          <w:szCs w:val="21"/>
          <w:lang w:eastAsia="en-US"/>
        </w:rPr>
        <w:t>柔筋衡脊技术：掌握脊柱触诊“摸法”，能准确触知脊柱节段的“骨错缝、筋歪斜”病变。熟练运用理筋、点穴及轻柔、稳妥的正骨手法，严格掌握进针与施术的角度、力度、幅度，严禁对发育期青少年实施暴力旋转或过载生硬的机械发力。</w:t>
      </w:r>
    </w:p>
    <w:p w14:paraId="4243E517">
      <w:pPr>
        <w:pageBreakBefore w:val="0"/>
        <w:widowControl/>
        <w:numPr>
          <w:ilvl w:val="0"/>
          <w:numId w:val="0"/>
        </w:numPr>
        <w:kinsoku w:val="0"/>
        <w:wordWrap/>
        <w:overflowPunct/>
        <w:topLinePunct w:val="0"/>
        <w:autoSpaceDE w:val="0"/>
        <w:autoSpaceDN w:val="0"/>
        <w:bidi w:val="0"/>
        <w:adjustRightInd w:val="0"/>
        <w:snapToGrid w:val="0"/>
        <w:spacing w:beforeAutospacing="0" w:afterAutospacing="0" w:line="240" w:lineRule="auto"/>
        <w:ind w:left="0" w:leftChars="0" w:right="0" w:rightChars="0" w:firstLine="452" w:firstLineChars="200"/>
        <w:jc w:val="both"/>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穴位定位：100%准确定位本文件规定的主穴与配穴，误差≤0.5cm（按骨度分寸法测量），可通过体表标志、指压法辅助定位；</w:t>
      </w:r>
    </w:p>
    <w:p w14:paraId="374A5EA3">
      <w:pPr>
        <w:pageBreakBefore w:val="0"/>
        <w:widowControl/>
        <w:numPr>
          <w:ilvl w:val="0"/>
          <w:numId w:val="0"/>
        </w:numPr>
        <w:kinsoku w:val="0"/>
        <w:wordWrap/>
        <w:overflowPunct/>
        <w:topLinePunct w:val="0"/>
        <w:autoSpaceDE w:val="0"/>
        <w:autoSpaceDN w:val="0"/>
        <w:bidi w:val="0"/>
        <w:adjustRightInd w:val="0"/>
        <w:snapToGrid w:val="0"/>
        <w:spacing w:beforeAutospacing="0" w:afterAutospacing="0" w:line="240" w:lineRule="auto"/>
        <w:ind w:left="0" w:leftChars="0" w:right="0" w:rightChars="0" w:firstLine="452" w:firstLineChars="200"/>
        <w:jc w:val="both"/>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手法选择：根据患者体型、年龄、耐受程度选择适合的手法，避免直接作用于颈动脉、胸锁乳突肌等处的手法，避免强刺激、暴力操作及快速旋转、扳动等高风险手法；</w:t>
      </w:r>
    </w:p>
    <w:p w14:paraId="0C1C710B">
      <w:pPr>
        <w:pageBreakBefore w:val="0"/>
        <w:widowControl/>
        <w:numPr>
          <w:ilvl w:val="0"/>
          <w:numId w:val="0"/>
        </w:numPr>
        <w:kinsoku w:val="0"/>
        <w:wordWrap/>
        <w:overflowPunct/>
        <w:topLinePunct w:val="0"/>
        <w:autoSpaceDE w:val="0"/>
        <w:autoSpaceDN w:val="0"/>
        <w:bidi w:val="0"/>
        <w:adjustRightInd w:val="0"/>
        <w:snapToGrid w:val="0"/>
        <w:spacing w:beforeAutospacing="0" w:afterAutospacing="0" w:line="240" w:lineRule="auto"/>
        <w:ind w:left="0" w:leftChars="0" w:right="0" w:rightChars="0" w:firstLine="452" w:firstLineChars="200"/>
        <w:jc w:val="both"/>
        <w:textAlignment w:val="auto"/>
        <w:rPr>
          <w:rFonts w:hint="eastAsia" w:ascii="宋体" w:hAnsi="宋体" w:eastAsia="宋体" w:cs="宋体"/>
          <w:color w:val="000000"/>
          <w:spacing w:val="8"/>
          <w:kern w:val="0"/>
          <w:sz w:val="21"/>
          <w:szCs w:val="21"/>
          <w:lang w:eastAsia="en-US"/>
        </w:rPr>
      </w:pPr>
      <w:r>
        <w:rPr>
          <w:rFonts w:hint="eastAsia" w:ascii="宋体" w:hAnsi="宋体" w:eastAsia="宋体" w:cs="宋体"/>
          <w:color w:val="000000"/>
          <w:spacing w:val="8"/>
          <w:kern w:val="0"/>
          <w:sz w:val="21"/>
          <w:szCs w:val="21"/>
          <w:lang w:val="en-US" w:eastAsia="en-US" w:bidi="ar-SA"/>
        </w:rPr>
        <w:t>手法参数选择：根据患者体型、年龄、耐受程度选择适合的手法力度大小、作用力深度、旋转角度、治疗频次等；</w:t>
      </w:r>
      <w:r>
        <w:rPr>
          <w:rFonts w:hint="eastAsia" w:ascii="宋体" w:hAnsi="宋体" w:eastAsia="宋体" w:cs="宋体"/>
          <w:color w:val="000000"/>
          <w:spacing w:val="8"/>
          <w:kern w:val="0"/>
          <w:sz w:val="21"/>
          <w:szCs w:val="21"/>
          <w:lang w:eastAsia="en-US"/>
        </w:rPr>
        <w:t xml:space="preserve">  </w:t>
      </w:r>
    </w:p>
    <w:p w14:paraId="5BCD9E2F">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eastAsia="en-US"/>
        </w:rPr>
      </w:pPr>
      <w:r>
        <w:rPr>
          <w:rFonts w:hint="eastAsia" w:ascii="宋体" w:hAnsi="宋体" w:eastAsia="宋体" w:cs="宋体"/>
          <w:color w:val="000000"/>
          <w:spacing w:val="8"/>
          <w:kern w:val="0"/>
          <w:sz w:val="21"/>
          <w:szCs w:val="21"/>
          <w:lang w:eastAsia="en-US"/>
        </w:rPr>
        <w:t>康复导引带教能力：具备精准示范和纠正“柔筋衡脊疗法”等功法动作的能力，能指导侧弯青少年在低氧环境下安全开展对称性胸廓扩张及腹式呼吸功能训练，实时监测患者血氧饱和度与心率变化。</w:t>
      </w:r>
    </w:p>
    <w:p w14:paraId="0B61D431">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eastAsia="en-US"/>
        </w:rPr>
      </w:pPr>
      <w:r>
        <w:rPr>
          <w:rFonts w:hint="eastAsia" w:ascii="宋体" w:hAnsi="宋体" w:eastAsia="宋体" w:cs="宋体"/>
          <w:color w:val="000000"/>
          <w:spacing w:val="8"/>
          <w:kern w:val="0"/>
          <w:sz w:val="21"/>
          <w:szCs w:val="21"/>
          <w:lang w:eastAsia="en-US"/>
        </w:rPr>
        <w:t>应急处理：熟练掌握皮肤破损及瘀斑、软组织损伤、疼痛等异常情况的处理，并密切关注患者肢体麻木、晕厥等意外情况的发生，能及时启动应急措施。</w:t>
      </w:r>
    </w:p>
    <w:p w14:paraId="4A8A46E5">
      <w:pPr>
        <w:pStyle w:val="70"/>
        <w:spacing w:before="120" w:after="120"/>
        <w:rPr>
          <w:rFonts w:hint="eastAsia"/>
          <w:lang w:val="en-US" w:eastAsia="en-US"/>
        </w:rPr>
      </w:pPr>
      <w:r>
        <w:rPr>
          <w:rFonts w:hint="eastAsia"/>
          <w:lang w:val="en-US" w:eastAsia="en-US"/>
        </w:rPr>
        <w:t>评估技能</w:t>
      </w:r>
    </w:p>
    <w:p w14:paraId="0317A245">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eastAsia="en-US"/>
        </w:rPr>
      </w:pPr>
      <w:r>
        <w:rPr>
          <w:rFonts w:hint="eastAsia" w:ascii="宋体" w:hAnsi="宋体" w:eastAsia="宋体" w:cs="宋体"/>
          <w:color w:val="000000"/>
          <w:spacing w:val="8"/>
          <w:kern w:val="0"/>
          <w:sz w:val="21"/>
          <w:szCs w:val="21"/>
          <w:lang w:eastAsia="en-US"/>
        </w:rPr>
        <w:t>影像测量技能：熟练掌握患者全脊柱正侧位X线片的Cobb角测量方法，掌握端椎的选取规则，Cobb 角测量误差≤±5°。</w:t>
      </w:r>
    </w:p>
    <w:p w14:paraId="09B3BF62">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eastAsia="en-US"/>
        </w:rPr>
      </w:pPr>
      <w:r>
        <w:rPr>
          <w:rFonts w:hint="eastAsia" w:ascii="宋体" w:hAnsi="宋体" w:eastAsia="宋体" w:cs="宋体"/>
          <w:color w:val="000000"/>
          <w:spacing w:val="8"/>
          <w:kern w:val="0"/>
          <w:sz w:val="21"/>
          <w:szCs w:val="21"/>
          <w:lang w:eastAsia="en-US"/>
        </w:rPr>
        <w:t>量表评估技能：掌握中医证候积分评分及相关病例调查表评分书写标准，能引导未成年患者准确理解并独立填写《中国西部高原地区青少年脊柱侧弯预防与临床干预</w:t>
      </w:r>
      <w:r>
        <w:rPr>
          <w:rFonts w:hint="eastAsia" w:ascii="宋体" w:hAnsi="宋体" w:eastAsia="宋体" w:cs="宋体"/>
          <w:color w:val="000000"/>
          <w:spacing w:val="8"/>
          <w:kern w:val="0"/>
          <w:sz w:val="21"/>
          <w:szCs w:val="21"/>
          <w:lang w:val="en-US" w:eastAsia="zh-CN"/>
        </w:rPr>
        <w:t>临床病例调查表</w:t>
      </w:r>
      <w:r>
        <w:rPr>
          <w:rFonts w:hint="eastAsia" w:ascii="宋体" w:hAnsi="宋体" w:eastAsia="宋体" w:cs="宋体"/>
          <w:color w:val="000000"/>
          <w:spacing w:val="8"/>
          <w:kern w:val="0"/>
          <w:sz w:val="21"/>
          <w:szCs w:val="21"/>
          <w:lang w:eastAsia="en-US"/>
        </w:rPr>
        <w:t>》，避免主观诱导。</w:t>
      </w:r>
    </w:p>
    <w:p w14:paraId="735B192A">
      <w:pPr>
        <w:pStyle w:val="70"/>
        <w:spacing w:before="120" w:after="120"/>
        <w:rPr>
          <w:rFonts w:hint="eastAsia"/>
          <w:lang w:val="en-US" w:eastAsia="en-US"/>
        </w:rPr>
      </w:pPr>
      <w:bookmarkStart w:id="33" w:name="_Toc4203"/>
      <w:r>
        <w:rPr>
          <w:rFonts w:hint="eastAsia"/>
          <w:lang w:val="en-US" w:eastAsia="en-US"/>
        </w:rPr>
        <w:t>职业素养</w:t>
      </w:r>
      <w:bookmarkEnd w:id="33"/>
    </w:p>
    <w:p w14:paraId="7E525797">
      <w:pPr>
        <w:pStyle w:val="71"/>
        <w:rPr>
          <w:rFonts w:hint="eastAsia" w:ascii="宋体" w:hAnsi="宋体" w:eastAsia="宋体" w:cs="宋体"/>
          <w:color w:val="000000"/>
          <w:spacing w:val="8"/>
          <w:kern w:val="0"/>
          <w:sz w:val="21"/>
          <w:szCs w:val="21"/>
          <w:lang w:eastAsia="en-US"/>
        </w:rPr>
      </w:pPr>
      <w:bookmarkStart w:id="34" w:name="_Toc21287"/>
      <w:r>
        <w:rPr>
          <w:rFonts w:hint="eastAsia" w:ascii="宋体" w:eastAsia="宋体"/>
          <w:lang w:val="en-US" w:eastAsia="en-US"/>
        </w:rPr>
        <w:t>知情告知</w:t>
      </w:r>
      <w:bookmarkEnd w:id="34"/>
      <w:r>
        <w:rPr>
          <w:rFonts w:hint="eastAsia" w:ascii="宋体" w:eastAsia="宋体"/>
          <w:lang w:val="en-US" w:eastAsia="zh-CN"/>
        </w:rPr>
        <w:t>：</w:t>
      </w:r>
      <w:r>
        <w:rPr>
          <w:rFonts w:hint="eastAsia" w:ascii="宋体" w:hAnsi="宋体" w:eastAsia="宋体" w:cs="宋体"/>
          <w:color w:val="000000"/>
          <w:spacing w:val="8"/>
          <w:kern w:val="0"/>
          <w:sz w:val="21"/>
          <w:szCs w:val="21"/>
          <w:lang w:eastAsia="en-US"/>
        </w:rPr>
        <w:t>操作前需向患者详细说明</w:t>
      </w:r>
      <w:r>
        <w:rPr>
          <w:rFonts w:hint="eastAsia" w:ascii="宋体" w:hAnsi="宋体" w:eastAsia="宋体" w:cs="宋体"/>
          <w:color w:val="000000"/>
          <w:spacing w:val="8"/>
          <w:kern w:val="0"/>
          <w:sz w:val="21"/>
          <w:szCs w:val="21"/>
          <w:lang w:val="en-US" w:eastAsia="zh-CN"/>
        </w:rPr>
        <w:t>临床干预</w:t>
      </w:r>
      <w:r>
        <w:rPr>
          <w:rFonts w:hint="eastAsia" w:ascii="宋体" w:hAnsi="宋体" w:eastAsia="宋体" w:cs="宋体"/>
          <w:color w:val="000000"/>
          <w:spacing w:val="8"/>
          <w:kern w:val="0"/>
          <w:sz w:val="21"/>
          <w:szCs w:val="21"/>
          <w:lang w:eastAsia="en-US"/>
        </w:rPr>
        <w:t>对于</w:t>
      </w:r>
      <w:r>
        <w:rPr>
          <w:rFonts w:hint="eastAsia" w:ascii="宋体" w:hAnsi="宋体" w:eastAsia="宋体" w:cs="宋体"/>
          <w:color w:val="000000"/>
          <w:spacing w:val="8"/>
          <w:kern w:val="0"/>
          <w:sz w:val="21"/>
          <w:szCs w:val="21"/>
          <w:lang w:val="en-US" w:eastAsia="zh-CN"/>
        </w:rPr>
        <w:t>青少年脊柱侧弯</w:t>
      </w:r>
      <w:r>
        <w:rPr>
          <w:rFonts w:hint="eastAsia" w:ascii="宋体" w:hAnsi="宋体" w:eastAsia="宋体" w:cs="宋体"/>
          <w:color w:val="000000"/>
          <w:spacing w:val="8"/>
          <w:kern w:val="0"/>
          <w:sz w:val="21"/>
          <w:szCs w:val="21"/>
          <w:lang w:eastAsia="en-US"/>
        </w:rPr>
        <w:t>患者的原理、操作流程、预期效果、可能的术后反应及风险，对应的术后反应及风险处理方式，签署《知情同意书》。</w:t>
      </w:r>
    </w:p>
    <w:p w14:paraId="656852C8">
      <w:pPr>
        <w:pStyle w:val="71"/>
        <w:rPr>
          <w:rFonts w:hint="eastAsia" w:ascii="宋体" w:eastAsia="宋体"/>
          <w:lang w:val="en-US" w:eastAsia="en-US"/>
        </w:rPr>
      </w:pPr>
      <w:bookmarkStart w:id="35" w:name="_Toc16989"/>
      <w:r>
        <w:rPr>
          <w:rFonts w:hint="eastAsia" w:ascii="宋体" w:eastAsia="宋体"/>
          <w:lang w:val="en-US" w:eastAsia="en-US"/>
        </w:rPr>
        <w:t>无菌观念</w:t>
      </w:r>
      <w:bookmarkEnd w:id="35"/>
      <w:r>
        <w:rPr>
          <w:rFonts w:hint="eastAsia" w:ascii="宋体" w:eastAsia="宋体"/>
          <w:lang w:val="en-US" w:eastAsia="zh-CN"/>
        </w:rPr>
        <w:t>：</w:t>
      </w:r>
      <w:r>
        <w:rPr>
          <w:rFonts w:hint="eastAsia" w:ascii="宋体" w:eastAsia="宋体"/>
          <w:lang w:val="en-US" w:eastAsia="en-US"/>
        </w:rPr>
        <w:t>无菌与安全观念：涉及针刺等侵入性中医适宜技术时，严格执行无菌操作规范（如医务人员手卫生规范及皮肤消毒流程），防范感染风险。手法治疗前必须全面排查禁忌证。</w:t>
      </w:r>
    </w:p>
    <w:p w14:paraId="0A0378E6">
      <w:pPr>
        <w:pStyle w:val="71"/>
        <w:rPr>
          <w:rFonts w:hint="eastAsia" w:ascii="宋体" w:eastAsia="宋体"/>
          <w:lang w:val="en-US" w:eastAsia="en-US"/>
        </w:rPr>
      </w:pPr>
      <w:bookmarkStart w:id="36" w:name="_Toc4267"/>
      <w:r>
        <w:rPr>
          <w:rFonts w:hint="eastAsia" w:ascii="宋体" w:eastAsia="宋体"/>
          <w:lang w:val="en-US" w:eastAsia="en-US"/>
        </w:rPr>
        <w:t>记录规范</w:t>
      </w:r>
      <w:bookmarkEnd w:id="36"/>
      <w:r>
        <w:rPr>
          <w:rFonts w:hint="eastAsia" w:ascii="宋体" w:eastAsia="宋体"/>
          <w:lang w:val="en-US" w:eastAsia="zh-CN"/>
        </w:rPr>
        <w:t>：</w:t>
      </w:r>
      <w:r>
        <w:rPr>
          <w:rFonts w:hint="eastAsia" w:ascii="宋体" w:eastAsia="宋体"/>
          <w:lang w:val="en-US" w:eastAsia="en-US"/>
        </w:rPr>
        <w:t>完整记录患者基本信息、选穴方案、操作过程、施术后反应，记录需及时（操作后1小时内完成）、准确（数据无涂改）、可追溯。</w:t>
      </w:r>
    </w:p>
    <w:p w14:paraId="30CDA92D">
      <w:pPr>
        <w:pStyle w:val="71"/>
        <w:rPr>
          <w:rFonts w:hint="eastAsia" w:ascii="宋体" w:eastAsia="宋体"/>
          <w:lang w:val="en-US" w:eastAsia="en-US"/>
        </w:rPr>
      </w:pPr>
      <w:bookmarkStart w:id="37" w:name="_Toc19296"/>
      <w:r>
        <w:rPr>
          <w:rFonts w:hint="eastAsia" w:ascii="宋体" w:eastAsia="宋体"/>
          <w:lang w:val="en-US" w:eastAsia="en-US"/>
        </w:rPr>
        <w:t>随访意识</w:t>
      </w:r>
      <w:bookmarkEnd w:id="37"/>
      <w:bookmarkStart w:id="38" w:name="_Toc32270"/>
      <w:bookmarkStart w:id="39" w:name="_Toc208503228"/>
      <w:bookmarkStart w:id="40" w:name="_Toc219835461"/>
      <w:r>
        <w:rPr>
          <w:rFonts w:hint="eastAsia" w:ascii="宋体" w:eastAsia="宋体"/>
          <w:lang w:val="en-US" w:eastAsia="zh-CN"/>
        </w:rPr>
        <w:t>：</w:t>
      </w:r>
      <w:r>
        <w:rPr>
          <w:rFonts w:hint="eastAsia" w:ascii="宋体" w:eastAsia="宋体"/>
          <w:lang w:val="en-US" w:eastAsia="en-US"/>
        </w:rPr>
        <w:t>随访与规范记录：严格遵循信息化、规范化病历管理要求。操作完成后1小时内，完整记录患者的体格检查、辨证分型、干预方案、Cobb角变化及随访计划，确保诊疗流程全程可追溯。针对西部偏远、高海拔牧区患者，应具备高度的责任心和远程主动随访意识。</w:t>
      </w:r>
    </w:p>
    <w:p w14:paraId="2A1F92DF">
      <w:pPr>
        <w:pStyle w:val="67"/>
        <w:spacing w:before="240" w:after="240"/>
        <w:rPr>
          <w:rFonts w:hint="eastAsia"/>
          <w:lang w:val="en-US" w:eastAsia="en-US"/>
        </w:rPr>
      </w:pPr>
      <w:r>
        <w:rPr>
          <w:rFonts w:hint="eastAsia"/>
          <w:lang w:val="en-US" w:eastAsia="en-US"/>
        </w:rPr>
        <w:t>基本要求</w:t>
      </w:r>
      <w:bookmarkEnd w:id="38"/>
      <w:bookmarkEnd w:id="39"/>
      <w:bookmarkEnd w:id="40"/>
    </w:p>
    <w:p w14:paraId="582D2083">
      <w:pPr>
        <w:pStyle w:val="70"/>
        <w:spacing w:before="120" w:after="120"/>
        <w:rPr>
          <w:rFonts w:hint="eastAsia"/>
          <w:lang w:val="en-US" w:eastAsia="en-US"/>
        </w:rPr>
      </w:pPr>
      <w:bookmarkStart w:id="41" w:name="_Toc656"/>
      <w:bookmarkStart w:id="42" w:name="_Toc219835462"/>
      <w:bookmarkStart w:id="43" w:name="_Toc208503229"/>
      <w:r>
        <w:rPr>
          <w:rFonts w:hint="eastAsia"/>
          <w:lang w:val="en-US" w:eastAsia="en-US"/>
        </w:rPr>
        <w:t>诊疗环境要求</w:t>
      </w:r>
      <w:bookmarkEnd w:id="41"/>
      <w:bookmarkEnd w:id="42"/>
      <w:bookmarkEnd w:id="43"/>
    </w:p>
    <w:p w14:paraId="11409E98">
      <w:pPr>
        <w:pStyle w:val="71"/>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黑体" w:hAnsi="黑体" w:eastAsia="黑体" w:cs="黑体"/>
          <w:lang w:val="en-US" w:eastAsia="en-US"/>
        </w:rPr>
      </w:pPr>
      <w:bookmarkStart w:id="44" w:name="_Toc219835463"/>
      <w:bookmarkStart w:id="45" w:name="_Toc4251"/>
      <w:r>
        <w:rPr>
          <w:rFonts w:hint="eastAsia" w:ascii="黑体" w:hAnsi="黑体" w:eastAsia="黑体" w:cs="黑体"/>
          <w:lang w:val="en-US" w:eastAsia="en-US"/>
        </w:rPr>
        <w:t>空间要求</w:t>
      </w:r>
      <w:bookmarkEnd w:id="44"/>
      <w:bookmarkEnd w:id="45"/>
    </w:p>
    <w:p w14:paraId="1FEBC095">
      <w:pPr>
        <w:pStyle w:val="73"/>
        <w:rPr>
          <w:rFonts w:hint="eastAsia"/>
          <w:lang w:val="en-US" w:eastAsia="en-US"/>
        </w:rPr>
      </w:pPr>
      <w:r>
        <w:rPr>
          <w:rFonts w:hint="eastAsia"/>
          <w:lang w:val="en-US" w:eastAsia="en-US"/>
        </w:rPr>
        <w:t>筛查环境要求：筛查时需要空旷的场地进行，可容纳300-500人呈队列队形，每人前后左右相聚50厘米，冬季时要求在体育馆，防治感冒冻伤。</w:t>
      </w:r>
    </w:p>
    <w:p w14:paraId="59EEAF39">
      <w:pPr>
        <w:pStyle w:val="73"/>
        <w:rPr>
          <w:rFonts w:hint="eastAsia"/>
          <w:lang w:val="en-US" w:eastAsia="en-US"/>
        </w:rPr>
      </w:pPr>
      <w:r>
        <w:rPr>
          <w:rFonts w:hint="eastAsia"/>
          <w:lang w:val="en-US" w:eastAsia="en-US"/>
        </w:rPr>
        <w:t>筛查二检环境要求：安排一个单独的教室，并配备课桌椅，安排二检阳性患者填写筛查问卷。</w:t>
      </w:r>
    </w:p>
    <w:p w14:paraId="4E627A4B">
      <w:pPr>
        <w:pStyle w:val="73"/>
        <w:rPr>
          <w:rFonts w:hint="eastAsia"/>
          <w:lang w:val="en-US" w:eastAsia="en-US"/>
        </w:rPr>
      </w:pPr>
      <w:r>
        <w:rPr>
          <w:rFonts w:hint="eastAsia"/>
          <w:lang w:val="en-US" w:eastAsia="en-US"/>
        </w:rPr>
        <w:t>筛查三检环境要求：一般三检安排在医院，至少3个连续诊室，环境密闭，以保护患者隐私，一个真实有相关专家进行问诊及开具相关检查，其余2个诊室做相关检查，以避免就诊现场混乱。</w:t>
      </w:r>
    </w:p>
    <w:p w14:paraId="5B55FD35">
      <w:pPr>
        <w:pStyle w:val="73"/>
        <w:rPr>
          <w:rFonts w:hint="eastAsia"/>
          <w:lang w:val="en-US" w:eastAsia="en-US"/>
        </w:rPr>
      </w:pPr>
      <w:r>
        <w:rPr>
          <w:rFonts w:hint="eastAsia"/>
          <w:lang w:val="en-US" w:eastAsia="en-US"/>
        </w:rPr>
        <w:t>治疗室面积：≥30m²，避免操作时相互干扰。</w:t>
      </w:r>
    </w:p>
    <w:p w14:paraId="1F377C46">
      <w:pPr>
        <w:pStyle w:val="73"/>
        <w:rPr>
          <w:rFonts w:hint="eastAsia" w:ascii="宋体" w:eastAsia="宋体"/>
          <w:lang w:val="en-US" w:eastAsia="en-US"/>
        </w:rPr>
      </w:pPr>
      <w:r>
        <w:rPr>
          <w:rFonts w:hint="eastAsia" w:ascii="宋体" w:eastAsia="宋体"/>
          <w:lang w:val="en-US" w:eastAsia="en-US"/>
        </w:rPr>
        <w:t>治疗环境分区设置：训练时需划分拍照区、会议区、患者家属休息区，各区功能明确，有明显标识。</w:t>
      </w:r>
    </w:p>
    <w:p w14:paraId="47412829">
      <w:pPr>
        <w:pStyle w:val="73"/>
        <w:rPr>
          <w:rFonts w:hint="eastAsia" w:ascii="宋体" w:eastAsia="宋体"/>
          <w:lang w:val="en-US" w:eastAsia="en-US"/>
        </w:rPr>
      </w:pPr>
      <w:r>
        <w:rPr>
          <w:rFonts w:hint="eastAsia" w:ascii="宋体" w:eastAsia="宋体"/>
          <w:lang w:val="en-US" w:eastAsia="en-US"/>
        </w:rPr>
        <w:t>治疗通风采光：自然通风≥2次/天（每次≥30分钟），或配备机械通风系统（换气次数≥6次/小时）；采光充足，照度≥300lx（训练室），避免强光直射穴位。</w:t>
      </w:r>
    </w:p>
    <w:p w14:paraId="11E9E40C">
      <w:pPr>
        <w:pStyle w:val="71"/>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黑体" w:hAnsi="黑体" w:eastAsia="黑体" w:cs="黑体"/>
          <w:lang w:val="en-US" w:eastAsia="en-US"/>
        </w:rPr>
      </w:pPr>
      <w:bookmarkStart w:id="46" w:name="_Toc219835464"/>
      <w:bookmarkStart w:id="47" w:name="_Toc55"/>
      <w:r>
        <w:rPr>
          <w:rFonts w:hint="eastAsia" w:ascii="黑体" w:hAnsi="黑体" w:eastAsia="黑体" w:cs="黑体"/>
          <w:lang w:val="en-US" w:eastAsia="en-US"/>
        </w:rPr>
        <w:t>清洁与消毒</w:t>
      </w:r>
      <w:bookmarkEnd w:id="46"/>
      <w:bookmarkEnd w:id="47"/>
    </w:p>
    <w:p w14:paraId="3BDF815B">
      <w:pPr>
        <w:pStyle w:val="73"/>
        <w:rPr>
          <w:rFonts w:hint="eastAsia" w:ascii="宋体" w:eastAsia="宋体"/>
          <w:lang w:val="en-US" w:eastAsia="zh-CN"/>
        </w:rPr>
      </w:pPr>
      <w:r>
        <w:rPr>
          <w:rFonts w:hint="eastAsia" w:ascii="宋体" w:eastAsia="宋体"/>
          <w:lang w:val="en-US" w:eastAsia="zh-CN"/>
        </w:rPr>
        <w:t>日常清洁：训练室地面、瑜伽垫、操作机械每日用75%的酒精擦拭1次；垃圾每日清理，污染时立即更换。</w:t>
      </w:r>
    </w:p>
    <w:p w14:paraId="11D53352">
      <w:pPr>
        <w:pStyle w:val="73"/>
        <w:rPr>
          <w:rFonts w:hint="eastAsia" w:ascii="宋体" w:eastAsia="宋体"/>
          <w:lang w:val="en-US" w:eastAsia="en-US"/>
        </w:rPr>
      </w:pPr>
      <w:r>
        <w:rPr>
          <w:rFonts w:hint="eastAsia" w:ascii="宋体" w:eastAsia="宋体"/>
          <w:lang w:val="en-US" w:eastAsia="zh-CN"/>
        </w:rPr>
        <w:t>空气消毒：每日治疗前、后用紫外线灯（辐照强度≥70μW/cm²）照射消毒30分钟，或采用空气净化设备（洁净度≥8级），消毒后空气中菌落总数≤4cfu/皿（沉降法，30分钟）。</w:t>
      </w:r>
    </w:p>
    <w:p w14:paraId="2582ED42">
      <w:pPr>
        <w:pStyle w:val="71"/>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黑体" w:hAnsi="黑体" w:eastAsia="黑体" w:cs="黑体"/>
          <w:lang w:val="en-US" w:eastAsia="en-US"/>
        </w:rPr>
      </w:pPr>
      <w:bookmarkStart w:id="48" w:name="_Toc24279"/>
      <w:bookmarkStart w:id="49" w:name="_Toc219835465"/>
      <w:r>
        <w:rPr>
          <w:rFonts w:hint="eastAsia" w:ascii="黑体" w:hAnsi="黑体" w:eastAsia="黑体" w:cs="黑体"/>
          <w:lang w:val="en-US" w:eastAsia="en-US"/>
        </w:rPr>
        <w:t>设备与设施</w:t>
      </w:r>
      <w:bookmarkEnd w:id="48"/>
      <w:bookmarkEnd w:id="49"/>
    </w:p>
    <w:p w14:paraId="2BEB74B0">
      <w:pPr>
        <w:pStyle w:val="73"/>
        <w:rPr>
          <w:rFonts w:hint="eastAsia" w:ascii="宋体" w:eastAsia="宋体"/>
          <w:lang w:val="en-US" w:eastAsia="zh-CN"/>
        </w:rPr>
      </w:pPr>
      <w:r>
        <w:rPr>
          <w:rFonts w:hint="eastAsia" w:ascii="宋体" w:eastAsia="宋体"/>
          <w:lang w:val="en-US" w:eastAsia="zh-CN"/>
        </w:rPr>
        <w:t>筛查设备：电子脊柱测量仪、体脂秤、相关检查设备（骨密度仪、三位超声）、拉杆箱（相关量表）等。</w:t>
      </w:r>
    </w:p>
    <w:p w14:paraId="66AFF028">
      <w:pPr>
        <w:pStyle w:val="73"/>
        <w:rPr>
          <w:rFonts w:hint="eastAsia" w:ascii="宋体" w:eastAsia="宋体"/>
          <w:lang w:val="en-US" w:eastAsia="zh-CN"/>
        </w:rPr>
      </w:pPr>
      <w:r>
        <w:rPr>
          <w:rFonts w:hint="eastAsia" w:ascii="宋体" w:eastAsia="宋体"/>
          <w:lang w:val="en-US" w:eastAsia="zh-CN"/>
        </w:rPr>
        <w:t>治疗基础设备：瑜伽垫、操作器械（肋木架）、高度适宜的木凳、火罐、刮痧板、配备治疗床（可调节高度，床垫防水、易清洁）、、紫外线消毒灯等。</w:t>
      </w:r>
    </w:p>
    <w:p w14:paraId="7FFA7BE9">
      <w:pPr>
        <w:pStyle w:val="73"/>
        <w:rPr>
          <w:rFonts w:hint="eastAsia" w:ascii="宋体" w:eastAsia="宋体"/>
          <w:lang w:val="en-US" w:eastAsia="en-US"/>
        </w:rPr>
      </w:pPr>
      <w:r>
        <w:rPr>
          <w:rFonts w:hint="eastAsia" w:ascii="宋体" w:eastAsia="宋体"/>
          <w:lang w:val="en-US" w:eastAsia="zh-CN"/>
        </w:rPr>
        <w:t>应急设备：配备急救箱（含肾上腺素、抗组胺药、止血带、无菌纱布）、吸氧设备，所有应急设备需定期检查（每月1次），确保功能正常。</w:t>
      </w:r>
    </w:p>
    <w:p w14:paraId="4A35C00D">
      <w:pPr>
        <w:pStyle w:val="67"/>
        <w:spacing w:before="240" w:after="240"/>
        <w:rPr>
          <w:rFonts w:hint="eastAsia"/>
          <w:lang w:val="en-US" w:eastAsia="en-US"/>
        </w:rPr>
      </w:pPr>
      <w:bookmarkStart w:id="50" w:name="_Toc2703"/>
      <w:bookmarkStart w:id="51" w:name="_Toc219835466"/>
      <w:r>
        <w:rPr>
          <w:rFonts w:hint="eastAsia"/>
          <w:lang w:val="en-US" w:eastAsia="en-US"/>
        </w:rPr>
        <w:t>基本手法操作步骤与要求</w:t>
      </w:r>
      <w:bookmarkEnd w:id="50"/>
      <w:bookmarkEnd w:id="51"/>
      <w:r>
        <w:rPr>
          <w:rFonts w:hint="eastAsia"/>
          <w:lang w:val="en-US" w:eastAsia="en-US"/>
        </w:rPr>
        <w:t xml:space="preserve"> </w:t>
      </w:r>
    </w:p>
    <w:p w14:paraId="2EFF8B9E">
      <w:pPr>
        <w:pStyle w:val="70"/>
        <w:spacing w:before="120" w:after="120"/>
        <w:rPr>
          <w:rFonts w:hint="eastAsia"/>
          <w:lang w:val="en-US" w:eastAsia="en-US"/>
        </w:rPr>
      </w:pPr>
      <w:r>
        <w:rPr>
          <w:rFonts w:hint="eastAsia"/>
          <w:lang w:val="en-US" w:eastAsia="en-US"/>
        </w:rPr>
        <w:t>筛查流程</w:t>
      </w:r>
    </w:p>
    <w:p w14:paraId="0EA6B64E">
      <w:pPr>
        <w:pStyle w:val="71"/>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黑体" w:hAnsi="黑体" w:eastAsia="黑体" w:cs="黑体"/>
          <w:lang w:val="en-US" w:eastAsia="en-US"/>
        </w:rPr>
      </w:pPr>
      <w:r>
        <w:rPr>
          <w:rFonts w:hint="eastAsia" w:ascii="黑体" w:hAnsi="黑体" w:eastAsia="黑体" w:cs="黑体"/>
          <w:lang w:val="en-US" w:eastAsia="en-US"/>
        </w:rPr>
        <w:t>筛查前准备</w:t>
      </w:r>
    </w:p>
    <w:p w14:paraId="153C6184">
      <w:pPr>
        <w:pStyle w:val="73"/>
        <w:rPr>
          <w:rFonts w:hint="eastAsia" w:ascii="宋体" w:eastAsia="宋体"/>
          <w:lang w:val="en-US" w:eastAsia="en-US"/>
        </w:rPr>
      </w:pPr>
      <w:r>
        <w:rPr>
          <w:rFonts w:hint="eastAsia" w:ascii="宋体" w:eastAsia="宋体"/>
          <w:lang w:val="en-US" w:eastAsia="en-US"/>
        </w:rPr>
        <w:t>筛查学校确定：与当地教育部门联系，确定筛查学校及具体人数，以保证做好充足的准备，及携带相关筛查工具、工作人员的确定及日程安排。</w:t>
      </w:r>
    </w:p>
    <w:p w14:paraId="12A5336D">
      <w:pPr>
        <w:pStyle w:val="73"/>
        <w:rPr>
          <w:rFonts w:hint="eastAsia" w:ascii="宋体" w:eastAsia="宋体"/>
          <w:lang w:val="en-US" w:eastAsia="en-US"/>
        </w:rPr>
      </w:pPr>
      <w:r>
        <w:rPr>
          <w:rFonts w:hint="eastAsia" w:ascii="宋体" w:eastAsia="宋体"/>
          <w:lang w:val="en-US" w:eastAsia="en-US"/>
        </w:rPr>
        <w:t>筛查物品的准备：脊柱侧弯知识手册、准备筛查相关物品，包括：脊柱测量仪、骨密度测量仪、三维超声、足够的量表等。</w:t>
      </w:r>
    </w:p>
    <w:p w14:paraId="46A1A343">
      <w:pPr>
        <w:pStyle w:val="73"/>
        <w:rPr>
          <w:rFonts w:hint="eastAsia" w:ascii="宋体" w:eastAsia="宋体"/>
          <w:lang w:val="en-US" w:eastAsia="en-US"/>
        </w:rPr>
      </w:pPr>
      <w:r>
        <w:rPr>
          <w:rFonts w:hint="eastAsia" w:ascii="宋体" w:eastAsia="宋体"/>
          <w:lang w:val="en-US" w:eastAsia="en-US"/>
        </w:rPr>
        <w:t>人员准备：根据筛查的人数，确定具体的筛查人员。</w:t>
      </w:r>
    </w:p>
    <w:p w14:paraId="171FA250">
      <w:pPr>
        <w:pStyle w:val="73"/>
        <w:rPr>
          <w:rFonts w:hint="eastAsia" w:ascii="宋体" w:eastAsia="宋体"/>
          <w:lang w:val="en-US" w:eastAsia="en-US"/>
        </w:rPr>
      </w:pPr>
      <w:r>
        <w:rPr>
          <w:rFonts w:hint="eastAsia" w:ascii="宋体" w:eastAsia="宋体"/>
          <w:lang w:val="en-US" w:eastAsia="en-US"/>
        </w:rPr>
        <w:t>其他准备：筛查车辆、饮用水、住宿及其它生活保障。</w:t>
      </w:r>
    </w:p>
    <w:p w14:paraId="56ADD70A">
      <w:pPr>
        <w:pStyle w:val="71"/>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黑体" w:hAnsi="黑体" w:eastAsia="黑体" w:cs="黑体"/>
          <w:lang w:val="en-US" w:eastAsia="en-US"/>
        </w:rPr>
      </w:pPr>
      <w:r>
        <w:rPr>
          <w:rFonts w:hint="eastAsia" w:ascii="黑体" w:hAnsi="黑体" w:eastAsia="黑体" w:cs="黑体"/>
          <w:lang w:val="en-US" w:eastAsia="en-US"/>
        </w:rPr>
        <w:t>筛查</w:t>
      </w:r>
    </w:p>
    <w:p w14:paraId="4B4465CF">
      <w:pPr>
        <w:pStyle w:val="73"/>
        <w:rPr>
          <w:rFonts w:hint="eastAsia" w:ascii="宋体" w:eastAsia="宋体"/>
          <w:lang w:val="en-US" w:eastAsia="en-US"/>
        </w:rPr>
      </w:pPr>
      <w:r>
        <w:rPr>
          <w:rFonts w:hint="eastAsia" w:ascii="宋体" w:eastAsia="宋体"/>
          <w:lang w:val="en-US" w:eastAsia="en-US"/>
        </w:rPr>
        <w:t>工作人员准备：指定一名工作人员对筛查人员进行统一讲解，包括目的、筛查的动作及后续安排。</w:t>
      </w:r>
    </w:p>
    <w:p w14:paraId="68AE7E32">
      <w:pPr>
        <w:pStyle w:val="73"/>
        <w:rPr>
          <w:rFonts w:hint="eastAsia" w:ascii="宋体" w:eastAsia="宋体"/>
          <w:lang w:val="en-US" w:eastAsia="en-US"/>
        </w:rPr>
      </w:pPr>
      <w:r>
        <w:rPr>
          <w:rFonts w:hint="eastAsia" w:ascii="宋体" w:eastAsia="宋体"/>
          <w:lang w:val="en-US" w:eastAsia="en-US"/>
        </w:rPr>
        <w:t>筛查人员准备:按年级或者按班级统一聚集在操场，使筛查人员呈队列，前后左右各一臂距离散开，弯腰低头，双目目视脚尖（ Adam前屈试验），由老师配合维持秩序。</w:t>
      </w:r>
    </w:p>
    <w:p w14:paraId="0EBDAAFB">
      <w:pPr>
        <w:pStyle w:val="73"/>
        <w:rPr>
          <w:rFonts w:hint="eastAsia" w:ascii="宋体" w:eastAsia="宋体"/>
          <w:lang w:val="en-US" w:eastAsia="en-US"/>
        </w:rPr>
      </w:pPr>
      <w:r>
        <w:rPr>
          <w:rFonts w:hint="eastAsia" w:ascii="宋体" w:eastAsia="宋体"/>
          <w:lang w:val="en-US" w:eastAsia="en-US"/>
        </w:rPr>
        <w:t>一检：工作人员依次目视检查学生的体态或背部是否堆成有无畸形，如有问题，嘱筛查一检阳性学生到特定地方由资深工作人员进行甄别。</w:t>
      </w:r>
    </w:p>
    <w:p w14:paraId="4522958E">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eastAsia="en-US"/>
        </w:rPr>
      </w:pPr>
      <w:r>
        <w:rPr>
          <w:rFonts w:hint="eastAsia" w:ascii="宋体" w:hAnsi="宋体" w:eastAsia="宋体" w:cs="宋体"/>
          <w:color w:val="000000"/>
          <w:spacing w:val="8"/>
          <w:kern w:val="0"/>
          <w:sz w:val="21"/>
          <w:szCs w:val="21"/>
          <w:lang w:eastAsia="en-US"/>
        </w:rPr>
        <w:t>体态筛查</w:t>
      </w:r>
      <w:r>
        <w:rPr>
          <w:rFonts w:hint="eastAsia" w:ascii="宋体" w:hAnsi="宋体" w:eastAsia="宋体" w:cs="宋体"/>
          <w:color w:val="000000"/>
          <w:spacing w:val="8"/>
          <w:kern w:val="0"/>
          <w:sz w:val="21"/>
          <w:szCs w:val="21"/>
          <w:lang w:eastAsia="zh-CN"/>
        </w:rPr>
        <w:t>：</w:t>
      </w:r>
      <w:r>
        <w:rPr>
          <w:rFonts w:hint="eastAsia" w:ascii="宋体" w:hAnsi="宋体" w:eastAsia="宋体" w:cs="宋体"/>
          <w:color w:val="000000"/>
          <w:spacing w:val="8"/>
          <w:kern w:val="0"/>
          <w:sz w:val="21"/>
          <w:szCs w:val="21"/>
          <w:lang w:eastAsia="en-US"/>
        </w:rPr>
        <w:t>受检者取自然站立位</w:t>
      </w:r>
      <w:r>
        <w:rPr>
          <w:rFonts w:hint="eastAsia" w:ascii="宋体" w:hAnsi="宋体" w:eastAsia="宋体" w:cs="宋体"/>
          <w:color w:val="000000"/>
          <w:spacing w:val="8"/>
          <w:kern w:val="0"/>
          <w:sz w:val="21"/>
          <w:szCs w:val="21"/>
          <w:lang w:eastAsia="zh-CN"/>
        </w:rPr>
        <w:t>，</w:t>
      </w:r>
      <w:r>
        <w:rPr>
          <w:rFonts w:hint="eastAsia" w:ascii="宋体" w:hAnsi="宋体" w:eastAsia="宋体" w:cs="宋体"/>
          <w:color w:val="000000"/>
          <w:spacing w:val="8"/>
          <w:kern w:val="0"/>
          <w:sz w:val="21"/>
          <w:szCs w:val="21"/>
          <w:lang w:eastAsia="en-US"/>
        </w:rPr>
        <w:t>观察内容包括：</w:t>
      </w:r>
    </w:p>
    <w:p w14:paraId="51D5DD64">
      <w:pPr>
        <w:pStyle w:val="37"/>
        <w:pageBreakBefore w:val="0"/>
        <w:widowControl/>
        <w:numPr>
          <w:ilvl w:val="0"/>
          <w:numId w:val="3"/>
        </w:numPr>
        <w:wordWrap/>
        <w:overflowPunct/>
        <w:topLinePunct w:val="0"/>
        <w:bidi w:val="0"/>
        <w:spacing w:beforeAutospacing="0" w:afterAutospacing="0" w:line="240" w:lineRule="auto"/>
        <w:ind w:left="0" w:leftChars="0" w:right="0" w:firstLine="452" w:firstLineChars="200"/>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头颈位置；</w:t>
      </w:r>
    </w:p>
    <w:p w14:paraId="3DF4558C">
      <w:pPr>
        <w:pStyle w:val="37"/>
        <w:pageBreakBefore w:val="0"/>
        <w:widowControl/>
        <w:numPr>
          <w:ilvl w:val="0"/>
          <w:numId w:val="3"/>
        </w:numPr>
        <w:wordWrap/>
        <w:overflowPunct/>
        <w:topLinePunct w:val="0"/>
        <w:bidi w:val="0"/>
        <w:spacing w:beforeAutospacing="0" w:afterAutospacing="0" w:line="240" w:lineRule="auto"/>
        <w:ind w:left="0" w:leftChars="0" w:right="0" w:firstLine="452" w:firstLineChars="200"/>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双肩高度；</w:t>
      </w:r>
    </w:p>
    <w:p w14:paraId="32C06655">
      <w:pPr>
        <w:pStyle w:val="37"/>
        <w:pageBreakBefore w:val="0"/>
        <w:widowControl/>
        <w:numPr>
          <w:ilvl w:val="0"/>
          <w:numId w:val="3"/>
        </w:numPr>
        <w:wordWrap/>
        <w:overflowPunct/>
        <w:topLinePunct w:val="0"/>
        <w:bidi w:val="0"/>
        <w:spacing w:beforeAutospacing="0" w:afterAutospacing="0" w:line="240" w:lineRule="auto"/>
        <w:ind w:left="0" w:leftChars="0" w:right="0" w:firstLine="452" w:firstLineChars="200"/>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肩胛骨对称性；</w:t>
      </w:r>
    </w:p>
    <w:p w14:paraId="503249AE">
      <w:pPr>
        <w:pStyle w:val="37"/>
        <w:pageBreakBefore w:val="0"/>
        <w:widowControl/>
        <w:numPr>
          <w:ilvl w:val="0"/>
          <w:numId w:val="3"/>
        </w:numPr>
        <w:wordWrap/>
        <w:overflowPunct/>
        <w:topLinePunct w:val="0"/>
        <w:bidi w:val="0"/>
        <w:spacing w:beforeAutospacing="0" w:afterAutospacing="0" w:line="240" w:lineRule="auto"/>
        <w:ind w:left="0" w:leftChars="0" w:right="0" w:firstLine="452" w:firstLineChars="200"/>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腰三角；</w:t>
      </w:r>
    </w:p>
    <w:p w14:paraId="520EE877">
      <w:pPr>
        <w:pStyle w:val="37"/>
        <w:pageBreakBefore w:val="0"/>
        <w:widowControl/>
        <w:numPr>
          <w:ilvl w:val="0"/>
          <w:numId w:val="3"/>
        </w:numPr>
        <w:wordWrap/>
        <w:overflowPunct/>
        <w:topLinePunct w:val="0"/>
        <w:bidi w:val="0"/>
        <w:spacing w:beforeAutospacing="0" w:afterAutospacing="0" w:line="240" w:lineRule="auto"/>
        <w:ind w:left="0" w:leftChars="0" w:right="0" w:firstLine="452" w:firstLineChars="200"/>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骨盆平衡状态；</w:t>
      </w:r>
    </w:p>
    <w:p w14:paraId="38D4F8FB">
      <w:pPr>
        <w:pStyle w:val="37"/>
        <w:pageBreakBefore w:val="0"/>
        <w:widowControl/>
        <w:numPr>
          <w:ilvl w:val="0"/>
          <w:numId w:val="3"/>
        </w:numPr>
        <w:wordWrap/>
        <w:overflowPunct/>
        <w:topLinePunct w:val="0"/>
        <w:bidi w:val="0"/>
        <w:spacing w:beforeAutospacing="0" w:afterAutospacing="0" w:line="240" w:lineRule="auto"/>
        <w:ind w:left="0" w:leftChars="0" w:right="0" w:firstLine="452" w:firstLineChars="200"/>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下肢长度差异。</w:t>
      </w:r>
    </w:p>
    <w:p w14:paraId="765C03EA">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eastAsia="en-US"/>
        </w:rPr>
      </w:pPr>
      <w:r>
        <w:rPr>
          <w:rFonts w:hint="eastAsia" w:ascii="宋体" w:hAnsi="宋体" w:eastAsia="宋体" w:cs="宋体"/>
          <w:color w:val="000000"/>
          <w:spacing w:val="8"/>
          <w:kern w:val="0"/>
          <w:sz w:val="21"/>
          <w:szCs w:val="21"/>
          <w:lang w:eastAsia="en-US"/>
        </w:rPr>
        <w:t>Adam</w:t>
      </w:r>
      <w:r>
        <w:rPr>
          <w:rFonts w:hint="eastAsia" w:ascii="宋体" w:hAnsi="宋体" w:eastAsia="宋体" w:cs="宋体"/>
          <w:color w:val="000000"/>
          <w:spacing w:val="8"/>
          <w:kern w:val="0"/>
          <w:sz w:val="21"/>
          <w:szCs w:val="21"/>
          <w:lang w:val="en-US" w:eastAsia="zh-CN"/>
        </w:rPr>
        <w:t>s</w:t>
      </w:r>
      <w:r>
        <w:rPr>
          <w:rFonts w:hint="eastAsia" w:ascii="宋体" w:hAnsi="宋体" w:eastAsia="宋体" w:cs="宋体"/>
          <w:color w:val="000000"/>
          <w:spacing w:val="8"/>
          <w:kern w:val="0"/>
          <w:sz w:val="21"/>
          <w:szCs w:val="21"/>
          <w:lang w:eastAsia="en-US"/>
        </w:rPr>
        <w:t>前屈试验</w:t>
      </w:r>
      <w:r>
        <w:rPr>
          <w:rFonts w:hint="eastAsia" w:ascii="宋体" w:hAnsi="宋体" w:eastAsia="宋体" w:cs="宋体"/>
          <w:color w:val="000000"/>
          <w:spacing w:val="8"/>
          <w:kern w:val="0"/>
          <w:sz w:val="21"/>
          <w:szCs w:val="21"/>
          <w:lang w:eastAsia="zh-CN"/>
        </w:rPr>
        <w:t>：</w:t>
      </w:r>
      <w:r>
        <w:rPr>
          <w:rFonts w:hint="eastAsia" w:ascii="宋体" w:hAnsi="宋体" w:eastAsia="宋体" w:cs="宋体"/>
          <w:color w:val="000000"/>
          <w:spacing w:val="8"/>
          <w:kern w:val="0"/>
          <w:sz w:val="21"/>
          <w:szCs w:val="21"/>
          <w:lang w:val="en-US" w:eastAsia="en-US" w:bidi="ar-SA"/>
        </w:rPr>
        <w:t>受检者双脚并拢</w:t>
      </w:r>
      <w:r>
        <w:rPr>
          <w:rFonts w:hint="eastAsia" w:ascii="宋体" w:hAnsi="宋体" w:eastAsia="宋体" w:cs="宋体"/>
          <w:color w:val="000000"/>
          <w:spacing w:val="8"/>
          <w:kern w:val="0"/>
          <w:sz w:val="21"/>
          <w:szCs w:val="21"/>
          <w:lang w:val="en-US" w:eastAsia="zh-CN" w:bidi="ar-SA"/>
        </w:rPr>
        <w:t>，</w:t>
      </w:r>
      <w:r>
        <w:rPr>
          <w:rFonts w:hint="eastAsia" w:ascii="宋体" w:hAnsi="宋体" w:eastAsia="宋体" w:cs="宋体"/>
          <w:color w:val="000000"/>
          <w:spacing w:val="8"/>
          <w:kern w:val="0"/>
          <w:sz w:val="21"/>
          <w:szCs w:val="21"/>
          <w:lang w:val="en-US" w:eastAsia="en-US" w:bidi="ar-SA"/>
        </w:rPr>
        <w:t>双上肢自然下垂</w:t>
      </w:r>
      <w:r>
        <w:rPr>
          <w:rFonts w:hint="eastAsia" w:ascii="宋体" w:hAnsi="宋体" w:eastAsia="宋体" w:cs="宋体"/>
          <w:color w:val="000000"/>
          <w:spacing w:val="8"/>
          <w:kern w:val="0"/>
          <w:sz w:val="21"/>
          <w:szCs w:val="21"/>
          <w:lang w:val="en-US" w:eastAsia="zh-CN" w:bidi="ar-SA"/>
        </w:rPr>
        <w:t>，</w:t>
      </w:r>
      <w:r>
        <w:rPr>
          <w:rFonts w:hint="eastAsia" w:ascii="宋体" w:hAnsi="宋体" w:eastAsia="宋体" w:cs="宋体"/>
          <w:color w:val="000000"/>
          <w:spacing w:val="8"/>
          <w:kern w:val="0"/>
          <w:sz w:val="21"/>
          <w:szCs w:val="21"/>
          <w:lang w:val="en-US" w:eastAsia="en-US" w:bidi="ar-SA"/>
        </w:rPr>
        <w:t>缓慢向前弯腰90°</w:t>
      </w:r>
      <w:r>
        <w:rPr>
          <w:rFonts w:hint="eastAsia" w:ascii="宋体" w:hAnsi="宋体" w:eastAsia="宋体" w:cs="宋体"/>
          <w:color w:val="000000"/>
          <w:spacing w:val="8"/>
          <w:kern w:val="0"/>
          <w:sz w:val="21"/>
          <w:szCs w:val="21"/>
          <w:lang w:val="en-US" w:eastAsia="zh-CN" w:bidi="ar-SA"/>
        </w:rPr>
        <w:t>，</w:t>
      </w:r>
      <w:r>
        <w:rPr>
          <w:rFonts w:hint="eastAsia" w:ascii="宋体" w:hAnsi="宋体" w:eastAsia="宋体" w:cs="宋体"/>
          <w:color w:val="000000"/>
          <w:spacing w:val="8"/>
          <w:kern w:val="0"/>
          <w:sz w:val="21"/>
          <w:szCs w:val="21"/>
          <w:lang w:eastAsia="en-US"/>
        </w:rPr>
        <w:t>观察内容包括：</w:t>
      </w:r>
    </w:p>
    <w:p w14:paraId="57C24EDE">
      <w:pPr>
        <w:pStyle w:val="37"/>
        <w:pageBreakBefore w:val="0"/>
        <w:widowControl/>
        <w:numPr>
          <w:ilvl w:val="0"/>
          <w:numId w:val="4"/>
        </w:numPr>
        <w:wordWrap/>
        <w:overflowPunct/>
        <w:topLinePunct w:val="0"/>
        <w:bidi w:val="0"/>
        <w:spacing w:beforeAutospacing="0" w:afterAutospacing="0" w:line="240" w:lineRule="auto"/>
        <w:ind w:left="0" w:leftChars="0" w:right="0" w:firstLine="452" w:firstLineChars="200"/>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胸廓隆起；</w:t>
      </w:r>
    </w:p>
    <w:p w14:paraId="4C47E970">
      <w:pPr>
        <w:pStyle w:val="37"/>
        <w:pageBreakBefore w:val="0"/>
        <w:widowControl/>
        <w:numPr>
          <w:ilvl w:val="0"/>
          <w:numId w:val="4"/>
        </w:numPr>
        <w:wordWrap/>
        <w:overflowPunct/>
        <w:topLinePunct w:val="0"/>
        <w:bidi w:val="0"/>
        <w:spacing w:beforeAutospacing="0" w:afterAutospacing="0" w:line="240" w:lineRule="auto"/>
        <w:ind w:left="0" w:leftChars="0" w:right="0" w:firstLine="452" w:firstLineChars="200"/>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腰部隆起；</w:t>
      </w:r>
    </w:p>
    <w:p w14:paraId="3DBC7A84">
      <w:pPr>
        <w:pStyle w:val="37"/>
        <w:pageBreakBefore w:val="0"/>
        <w:widowControl/>
        <w:numPr>
          <w:ilvl w:val="0"/>
          <w:numId w:val="4"/>
        </w:numPr>
        <w:wordWrap/>
        <w:overflowPunct/>
        <w:topLinePunct w:val="0"/>
        <w:bidi w:val="0"/>
        <w:spacing w:beforeAutospacing="0" w:afterAutospacing="0" w:line="240" w:lineRule="auto"/>
        <w:ind w:left="0" w:leftChars="0" w:right="0" w:firstLine="452" w:firstLineChars="200"/>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脊柱偏移情况。</w:t>
      </w:r>
    </w:p>
    <w:p w14:paraId="6D46B832">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eastAsia="en-US"/>
        </w:rPr>
      </w:pPr>
      <w:r>
        <w:rPr>
          <w:rFonts w:hint="eastAsia" w:ascii="宋体" w:hAnsi="宋体" w:eastAsia="宋体" w:cs="宋体"/>
          <w:color w:val="000000"/>
          <w:spacing w:val="8"/>
          <w:kern w:val="0"/>
          <w:sz w:val="21"/>
          <w:szCs w:val="21"/>
          <w:lang w:eastAsia="en-US"/>
        </w:rPr>
        <w:t>发现明显驼峰者判定为筛查阳性。</w:t>
      </w:r>
    </w:p>
    <w:p w14:paraId="0A22D899">
      <w:pPr>
        <w:pStyle w:val="73"/>
        <w:rPr>
          <w:rFonts w:hint="eastAsia" w:ascii="宋体" w:eastAsia="宋体"/>
          <w:lang w:val="en-US" w:eastAsia="en-US"/>
        </w:rPr>
      </w:pPr>
      <w:r>
        <w:rPr>
          <w:rFonts w:hint="eastAsia" w:ascii="宋体" w:eastAsia="宋体"/>
          <w:lang w:val="en-US" w:eastAsia="en-US"/>
        </w:rPr>
        <w:t>二检：资深工作人员对一检阳性学生进行进一步确认，并使用脊柱测量仪进行检测ATR，若二检阳性，由专人指导填写登记表，并发放三检告知书，嘱其交由父母，确定时间到指导医院进行三检。</w:t>
      </w:r>
    </w:p>
    <w:p w14:paraId="35194684">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eastAsia="en-US"/>
        </w:rPr>
      </w:pPr>
      <w:r>
        <w:rPr>
          <w:rFonts w:hint="eastAsia" w:ascii="宋体" w:hAnsi="宋体" w:eastAsia="宋体" w:cs="宋体"/>
          <w:color w:val="000000"/>
          <w:spacing w:val="8"/>
          <w:kern w:val="0"/>
          <w:sz w:val="21"/>
          <w:szCs w:val="21"/>
          <w:lang w:eastAsia="en-US"/>
        </w:rPr>
        <w:t>ATR测量</w:t>
      </w:r>
      <w:r>
        <w:rPr>
          <w:rFonts w:hint="eastAsia" w:ascii="宋体" w:hAnsi="宋体" w:eastAsia="宋体" w:cs="宋体"/>
          <w:color w:val="000000"/>
          <w:spacing w:val="8"/>
          <w:kern w:val="0"/>
          <w:sz w:val="21"/>
          <w:szCs w:val="21"/>
          <w:lang w:eastAsia="zh-CN"/>
        </w:rPr>
        <w:t>：</w:t>
      </w:r>
      <w:r>
        <w:rPr>
          <w:rFonts w:hint="eastAsia" w:ascii="宋体" w:hAnsi="宋体" w:eastAsia="宋体" w:cs="宋体"/>
          <w:color w:val="000000"/>
          <w:spacing w:val="8"/>
          <w:kern w:val="0"/>
          <w:sz w:val="21"/>
          <w:szCs w:val="21"/>
          <w:lang w:eastAsia="en-US"/>
        </w:rPr>
        <w:t>采用脊柱侧弯测量仪进行检测</w:t>
      </w:r>
      <w:r>
        <w:rPr>
          <w:rFonts w:hint="eastAsia" w:ascii="宋体" w:hAnsi="宋体" w:eastAsia="宋体" w:cs="宋体"/>
          <w:color w:val="000000"/>
          <w:spacing w:val="8"/>
          <w:kern w:val="0"/>
          <w:sz w:val="21"/>
          <w:szCs w:val="21"/>
          <w:lang w:eastAsia="zh-CN"/>
        </w:rPr>
        <w:t>，</w:t>
      </w:r>
      <w:r>
        <w:rPr>
          <w:rFonts w:hint="eastAsia" w:ascii="宋体" w:hAnsi="宋体" w:eastAsia="宋体" w:cs="宋体"/>
          <w:color w:val="000000"/>
          <w:spacing w:val="8"/>
          <w:kern w:val="0"/>
          <w:sz w:val="21"/>
          <w:szCs w:val="21"/>
          <w:lang w:val="en-US" w:eastAsia="zh-CN"/>
        </w:rPr>
        <w:t>包括</w:t>
      </w:r>
      <w:r>
        <w:rPr>
          <w:rFonts w:hint="eastAsia" w:ascii="宋体" w:hAnsi="宋体" w:eastAsia="宋体" w:cs="宋体"/>
          <w:color w:val="000000"/>
          <w:spacing w:val="8"/>
          <w:kern w:val="0"/>
          <w:sz w:val="21"/>
          <w:szCs w:val="21"/>
          <w:lang w:eastAsia="en-US"/>
        </w:rPr>
        <w:t>测量胸段、胸腰段及腰段旋转角度。判定标准</w:t>
      </w:r>
      <w:r>
        <w:rPr>
          <w:rFonts w:hint="eastAsia" w:ascii="宋体" w:hAnsi="宋体" w:eastAsia="宋体" w:cs="宋体"/>
          <w:color w:val="000000"/>
          <w:spacing w:val="8"/>
          <w:kern w:val="0"/>
          <w:sz w:val="21"/>
          <w:szCs w:val="21"/>
          <w:lang w:val="en-US" w:eastAsia="zh-CN"/>
        </w:rPr>
        <w:t>包括</w:t>
      </w:r>
      <w:r>
        <w:rPr>
          <w:rFonts w:hint="eastAsia" w:ascii="宋体" w:hAnsi="宋体" w:eastAsia="宋体" w:cs="宋体"/>
          <w:color w:val="000000"/>
          <w:spacing w:val="8"/>
          <w:kern w:val="0"/>
          <w:sz w:val="21"/>
          <w:szCs w:val="21"/>
          <w:lang w:eastAsia="en-US"/>
        </w:rPr>
        <w:t>：</w:t>
      </w:r>
    </w:p>
    <w:p w14:paraId="2DCC7ED4">
      <w:pPr>
        <w:pStyle w:val="37"/>
        <w:pageBreakBefore w:val="0"/>
        <w:widowControl/>
        <w:numPr>
          <w:ilvl w:val="0"/>
          <w:numId w:val="5"/>
        </w:numPr>
        <w:wordWrap/>
        <w:overflowPunct/>
        <w:topLinePunct w:val="0"/>
        <w:bidi w:val="0"/>
        <w:spacing w:beforeAutospacing="0" w:afterAutospacing="0" w:line="240" w:lineRule="auto"/>
        <w:ind w:left="0" w:leftChars="0" w:right="0" w:firstLine="452" w:firstLineChars="200"/>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ATR＜5°：正常；</w:t>
      </w:r>
    </w:p>
    <w:p w14:paraId="7104E845">
      <w:pPr>
        <w:pStyle w:val="37"/>
        <w:pageBreakBefore w:val="0"/>
        <w:widowControl/>
        <w:numPr>
          <w:ilvl w:val="0"/>
          <w:numId w:val="5"/>
        </w:numPr>
        <w:wordWrap/>
        <w:overflowPunct/>
        <w:topLinePunct w:val="0"/>
        <w:bidi w:val="0"/>
        <w:spacing w:beforeAutospacing="0" w:afterAutospacing="0" w:line="240" w:lineRule="auto"/>
        <w:ind w:left="0" w:leftChars="0" w:right="0" w:firstLine="452" w:firstLineChars="200"/>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ATR 5°～7°：重点观察；</w:t>
      </w:r>
    </w:p>
    <w:p w14:paraId="040F2F4D">
      <w:pPr>
        <w:pStyle w:val="37"/>
        <w:pageBreakBefore w:val="0"/>
        <w:widowControl/>
        <w:numPr>
          <w:ilvl w:val="0"/>
          <w:numId w:val="5"/>
        </w:numPr>
        <w:wordWrap/>
        <w:overflowPunct/>
        <w:topLinePunct w:val="0"/>
        <w:bidi w:val="0"/>
        <w:spacing w:beforeAutospacing="0" w:afterAutospacing="0" w:line="240" w:lineRule="auto"/>
        <w:ind w:left="0" w:leftChars="0" w:right="0" w:firstLine="452" w:firstLineChars="200"/>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ATR≥7°：建议影像学检查。</w:t>
      </w:r>
    </w:p>
    <w:p w14:paraId="00A0021B">
      <w:pPr>
        <w:pStyle w:val="73"/>
        <w:rPr>
          <w:rFonts w:hint="eastAsia" w:ascii="宋体" w:eastAsia="宋体"/>
          <w:lang w:val="en-US" w:eastAsia="en-US"/>
        </w:rPr>
      </w:pPr>
      <w:r>
        <w:rPr>
          <w:rFonts w:hint="eastAsia" w:ascii="宋体" w:eastAsia="宋体"/>
          <w:lang w:val="en-US" w:eastAsia="en-US"/>
        </w:rPr>
        <w:t>三检：三检由父母带领在指导医院进行，并携带告知书，进行拍片等相关检查，待检查结果报告后，由资深医师对检查结果进行详细说明并进行专业详细的指导诊疗方案。</w:t>
      </w:r>
    </w:p>
    <w:p w14:paraId="5AE62919">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eastAsia="en-US"/>
        </w:rPr>
      </w:pPr>
      <w:r>
        <w:rPr>
          <w:rFonts w:hint="eastAsia" w:ascii="宋体" w:hAnsi="宋体" w:eastAsia="宋体" w:cs="宋体"/>
          <w:color w:val="000000"/>
          <w:spacing w:val="8"/>
          <w:kern w:val="0"/>
          <w:sz w:val="21"/>
          <w:szCs w:val="21"/>
          <w:lang w:eastAsia="en-US"/>
        </w:rPr>
        <w:t>影像学评估</w:t>
      </w:r>
      <w:r>
        <w:rPr>
          <w:rFonts w:hint="eastAsia" w:ascii="宋体" w:hAnsi="宋体" w:eastAsia="宋体" w:cs="宋体"/>
          <w:color w:val="000000"/>
          <w:spacing w:val="8"/>
          <w:kern w:val="0"/>
          <w:sz w:val="21"/>
          <w:szCs w:val="21"/>
          <w:lang w:eastAsia="zh-CN"/>
        </w:rPr>
        <w:t>：</w:t>
      </w:r>
      <w:r>
        <w:rPr>
          <w:rFonts w:hint="eastAsia" w:ascii="宋体" w:hAnsi="宋体" w:eastAsia="宋体" w:cs="宋体"/>
          <w:color w:val="000000"/>
          <w:spacing w:val="8"/>
          <w:kern w:val="0"/>
          <w:sz w:val="21"/>
          <w:szCs w:val="21"/>
          <w:lang w:eastAsia="en-US"/>
        </w:rPr>
        <w:t>采用站立位全脊柱X线检查</w:t>
      </w:r>
      <w:r>
        <w:rPr>
          <w:rFonts w:hint="eastAsia" w:ascii="宋体" w:hAnsi="宋体" w:eastAsia="宋体" w:cs="宋体"/>
          <w:color w:val="000000"/>
          <w:spacing w:val="8"/>
          <w:kern w:val="0"/>
          <w:sz w:val="21"/>
          <w:szCs w:val="21"/>
          <w:lang w:eastAsia="zh-CN"/>
        </w:rPr>
        <w:t>，</w:t>
      </w:r>
      <w:r>
        <w:rPr>
          <w:rFonts w:hint="eastAsia" w:ascii="宋体" w:hAnsi="宋体" w:eastAsia="宋体" w:cs="宋体"/>
          <w:color w:val="000000"/>
          <w:spacing w:val="8"/>
          <w:kern w:val="0"/>
          <w:sz w:val="21"/>
          <w:szCs w:val="21"/>
          <w:lang w:eastAsia="en-US"/>
        </w:rPr>
        <w:t>测量内容：</w:t>
      </w:r>
    </w:p>
    <w:p w14:paraId="70A0FB3F">
      <w:pPr>
        <w:pStyle w:val="37"/>
        <w:pageBreakBefore w:val="0"/>
        <w:widowControl/>
        <w:numPr>
          <w:ilvl w:val="0"/>
          <w:numId w:val="6"/>
        </w:numPr>
        <w:wordWrap/>
        <w:overflowPunct/>
        <w:topLinePunct w:val="0"/>
        <w:bidi w:val="0"/>
        <w:spacing w:beforeAutospacing="0" w:afterAutospacing="0" w:line="240" w:lineRule="auto"/>
        <w:ind w:left="0" w:leftChars="0" w:right="0" w:firstLine="452" w:firstLineChars="200"/>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Cobb角；</w:t>
      </w:r>
    </w:p>
    <w:p w14:paraId="0AD78942">
      <w:pPr>
        <w:pStyle w:val="37"/>
        <w:pageBreakBefore w:val="0"/>
        <w:widowControl/>
        <w:numPr>
          <w:ilvl w:val="0"/>
          <w:numId w:val="6"/>
        </w:numPr>
        <w:wordWrap/>
        <w:overflowPunct/>
        <w:topLinePunct w:val="0"/>
        <w:bidi w:val="0"/>
        <w:spacing w:beforeAutospacing="0" w:afterAutospacing="0" w:line="240" w:lineRule="auto"/>
        <w:ind w:left="0" w:leftChars="0" w:right="0" w:firstLine="452" w:firstLineChars="200"/>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冠状面平衡；</w:t>
      </w:r>
    </w:p>
    <w:p w14:paraId="217648C5">
      <w:pPr>
        <w:pStyle w:val="37"/>
        <w:pageBreakBefore w:val="0"/>
        <w:widowControl/>
        <w:numPr>
          <w:ilvl w:val="0"/>
          <w:numId w:val="6"/>
        </w:numPr>
        <w:wordWrap/>
        <w:overflowPunct/>
        <w:topLinePunct w:val="0"/>
        <w:bidi w:val="0"/>
        <w:spacing w:beforeAutospacing="0" w:afterAutospacing="0" w:line="240" w:lineRule="auto"/>
        <w:ind w:left="0" w:leftChars="0" w:right="0" w:firstLine="452" w:firstLineChars="200"/>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矢状面平衡；</w:t>
      </w:r>
    </w:p>
    <w:p w14:paraId="2507428A">
      <w:pPr>
        <w:pStyle w:val="37"/>
        <w:pageBreakBefore w:val="0"/>
        <w:widowControl/>
        <w:numPr>
          <w:ilvl w:val="0"/>
          <w:numId w:val="6"/>
        </w:numPr>
        <w:wordWrap/>
        <w:overflowPunct/>
        <w:topLinePunct w:val="0"/>
        <w:bidi w:val="0"/>
        <w:spacing w:beforeAutospacing="0" w:afterAutospacing="0" w:line="240" w:lineRule="auto"/>
        <w:ind w:left="0" w:leftChars="0" w:right="0" w:firstLine="452" w:firstLineChars="200"/>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Risser分级；</w:t>
      </w:r>
    </w:p>
    <w:p w14:paraId="2AEF2E4F">
      <w:pPr>
        <w:pStyle w:val="37"/>
        <w:pageBreakBefore w:val="0"/>
        <w:widowControl/>
        <w:numPr>
          <w:ilvl w:val="0"/>
          <w:numId w:val="6"/>
        </w:numPr>
        <w:wordWrap/>
        <w:overflowPunct/>
        <w:topLinePunct w:val="0"/>
        <w:bidi w:val="0"/>
        <w:spacing w:beforeAutospacing="0" w:afterAutospacing="0" w:line="240" w:lineRule="auto"/>
        <w:ind w:left="0" w:leftChars="0" w:right="0" w:firstLine="452" w:firstLineChars="200"/>
        <w:textAlignment w:val="auto"/>
        <w:rPr>
          <w:rFonts w:hint="eastAsia" w:ascii="宋体" w:hAnsi="宋体" w:eastAsia="宋体" w:cs="宋体"/>
          <w:color w:val="000000"/>
          <w:spacing w:val="8"/>
          <w:kern w:val="0"/>
          <w:sz w:val="21"/>
          <w:szCs w:val="21"/>
          <w:lang w:eastAsia="en-US"/>
        </w:rPr>
      </w:pPr>
      <w:r>
        <w:rPr>
          <w:rFonts w:hint="eastAsia" w:ascii="宋体" w:hAnsi="宋体" w:eastAsia="宋体" w:cs="宋体"/>
          <w:color w:val="000000"/>
          <w:spacing w:val="8"/>
          <w:kern w:val="0"/>
          <w:sz w:val="21"/>
          <w:szCs w:val="21"/>
          <w:lang w:val="en-US" w:eastAsia="en-US" w:bidi="ar-SA"/>
        </w:rPr>
        <w:t>骨龄发育水平</w:t>
      </w:r>
      <w:r>
        <w:rPr>
          <w:rFonts w:hint="eastAsia" w:ascii="宋体" w:hAnsi="宋体" w:eastAsia="宋体" w:cs="宋体"/>
          <w:color w:val="000000"/>
          <w:spacing w:val="8"/>
          <w:kern w:val="0"/>
          <w:sz w:val="21"/>
          <w:szCs w:val="21"/>
          <w:lang w:eastAsia="en-US"/>
        </w:rPr>
        <w:t>。</w:t>
      </w:r>
    </w:p>
    <w:p w14:paraId="2065FE42">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eastAsia="en-US"/>
        </w:rPr>
      </w:pPr>
      <w:r>
        <w:rPr>
          <w:rFonts w:hint="eastAsia" w:ascii="宋体" w:hAnsi="宋体" w:eastAsia="宋体" w:cs="宋体"/>
          <w:color w:val="000000"/>
          <w:spacing w:val="8"/>
          <w:kern w:val="0"/>
          <w:sz w:val="21"/>
          <w:szCs w:val="21"/>
          <w:lang w:eastAsia="en-US"/>
        </w:rPr>
        <w:t>高原适应性评估检测：</w:t>
      </w:r>
    </w:p>
    <w:p w14:paraId="54BA83F1">
      <w:pPr>
        <w:pStyle w:val="37"/>
        <w:pageBreakBefore w:val="0"/>
        <w:widowControl/>
        <w:numPr>
          <w:ilvl w:val="0"/>
          <w:numId w:val="7"/>
        </w:numPr>
        <w:wordWrap/>
        <w:overflowPunct/>
        <w:topLinePunct w:val="0"/>
        <w:bidi w:val="0"/>
        <w:spacing w:beforeAutospacing="0" w:afterAutospacing="0" w:line="240" w:lineRule="auto"/>
        <w:ind w:left="0" w:leftChars="0" w:right="0" w:firstLine="452" w:firstLineChars="200"/>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静息血氧饱和度；</w:t>
      </w:r>
    </w:p>
    <w:p w14:paraId="56049B9E">
      <w:pPr>
        <w:pStyle w:val="37"/>
        <w:pageBreakBefore w:val="0"/>
        <w:widowControl/>
        <w:numPr>
          <w:ilvl w:val="0"/>
          <w:numId w:val="7"/>
        </w:numPr>
        <w:wordWrap/>
        <w:overflowPunct/>
        <w:topLinePunct w:val="0"/>
        <w:bidi w:val="0"/>
        <w:spacing w:beforeAutospacing="0" w:afterAutospacing="0" w:line="240" w:lineRule="auto"/>
        <w:ind w:left="0" w:leftChars="0" w:right="0" w:firstLine="452" w:firstLineChars="200"/>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肺活量；</w:t>
      </w:r>
    </w:p>
    <w:p w14:paraId="456D0703">
      <w:pPr>
        <w:pStyle w:val="37"/>
        <w:pageBreakBefore w:val="0"/>
        <w:widowControl/>
        <w:numPr>
          <w:ilvl w:val="0"/>
          <w:numId w:val="7"/>
        </w:numPr>
        <w:wordWrap/>
        <w:overflowPunct/>
        <w:topLinePunct w:val="0"/>
        <w:bidi w:val="0"/>
        <w:spacing w:beforeAutospacing="0" w:afterAutospacing="0" w:line="240" w:lineRule="auto"/>
        <w:ind w:left="0" w:leftChars="0" w:right="0" w:firstLine="452" w:firstLineChars="200"/>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胸廓扩张度；</w:t>
      </w:r>
    </w:p>
    <w:p w14:paraId="26BE526D">
      <w:pPr>
        <w:pStyle w:val="37"/>
        <w:pageBreakBefore w:val="0"/>
        <w:widowControl/>
        <w:numPr>
          <w:ilvl w:val="0"/>
          <w:numId w:val="7"/>
        </w:numPr>
        <w:wordWrap/>
        <w:overflowPunct/>
        <w:topLinePunct w:val="0"/>
        <w:bidi w:val="0"/>
        <w:spacing w:beforeAutospacing="0" w:afterAutospacing="0" w:line="240" w:lineRule="auto"/>
        <w:ind w:left="0" w:leftChars="0" w:right="0" w:firstLine="452" w:firstLineChars="200"/>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运动耐量；</w:t>
      </w:r>
    </w:p>
    <w:p w14:paraId="1D20B6BA">
      <w:pPr>
        <w:pStyle w:val="37"/>
        <w:pageBreakBefore w:val="0"/>
        <w:widowControl/>
        <w:numPr>
          <w:ilvl w:val="0"/>
          <w:numId w:val="7"/>
        </w:numPr>
        <w:wordWrap/>
        <w:overflowPunct/>
        <w:topLinePunct w:val="0"/>
        <w:bidi w:val="0"/>
        <w:spacing w:beforeAutospacing="0" w:afterAutospacing="0" w:line="240" w:lineRule="auto"/>
        <w:ind w:left="0" w:leftChars="0" w:right="0" w:firstLine="452" w:firstLineChars="200"/>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高原反应病史。</w:t>
      </w:r>
    </w:p>
    <w:p w14:paraId="0F7E00EC">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eastAsia="en-US"/>
        </w:rPr>
      </w:pPr>
      <w:r>
        <w:rPr>
          <w:rFonts w:hint="eastAsia" w:ascii="宋体" w:hAnsi="宋体" w:eastAsia="宋体" w:cs="宋体"/>
          <w:color w:val="000000"/>
          <w:spacing w:val="8"/>
          <w:kern w:val="0"/>
          <w:sz w:val="21"/>
          <w:szCs w:val="21"/>
          <w:lang w:eastAsia="en-US"/>
        </w:rPr>
        <w:t>建立高原脊柱侧弯风险等级。</w:t>
      </w:r>
    </w:p>
    <w:p w14:paraId="01505BB6">
      <w:pPr>
        <w:pStyle w:val="73"/>
        <w:rPr>
          <w:rFonts w:hint="eastAsia" w:ascii="宋体" w:eastAsia="宋体"/>
          <w:lang w:val="en-US" w:eastAsia="en-US"/>
        </w:rPr>
      </w:pPr>
      <w:r>
        <w:rPr>
          <w:rFonts w:hint="eastAsia" w:ascii="宋体" w:eastAsia="宋体"/>
          <w:lang w:val="en-US" w:eastAsia="en-US"/>
        </w:rPr>
        <w:t>康复训练实施流程训练方案制定</w:t>
      </w:r>
      <w:r>
        <w:rPr>
          <w:rFonts w:hint="eastAsia" w:ascii="宋体" w:eastAsia="宋体"/>
          <w:lang w:val="en-US" w:eastAsia="zh-CN"/>
        </w:rPr>
        <w:t>，</w:t>
      </w:r>
      <w:r>
        <w:rPr>
          <w:rFonts w:hint="eastAsia" w:ascii="宋体" w:eastAsia="宋体"/>
          <w:lang w:val="en-US" w:eastAsia="en-US"/>
        </w:rPr>
        <w:t>根据：</w:t>
      </w:r>
    </w:p>
    <w:p w14:paraId="400212BD">
      <w:pPr>
        <w:pStyle w:val="37"/>
        <w:pageBreakBefore w:val="0"/>
        <w:widowControl/>
        <w:numPr>
          <w:ilvl w:val="0"/>
          <w:numId w:val="8"/>
        </w:numPr>
        <w:wordWrap/>
        <w:overflowPunct/>
        <w:topLinePunct w:val="0"/>
        <w:bidi w:val="0"/>
        <w:spacing w:beforeAutospacing="0" w:afterAutospacing="0" w:line="240" w:lineRule="auto"/>
        <w:ind w:left="0" w:leftChars="0" w:right="0" w:firstLine="452" w:firstLineChars="200"/>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Cobb角；</w:t>
      </w:r>
    </w:p>
    <w:p w14:paraId="630CF2FB">
      <w:pPr>
        <w:pStyle w:val="37"/>
        <w:pageBreakBefore w:val="0"/>
        <w:widowControl/>
        <w:numPr>
          <w:ilvl w:val="0"/>
          <w:numId w:val="8"/>
        </w:numPr>
        <w:wordWrap/>
        <w:overflowPunct/>
        <w:topLinePunct w:val="0"/>
        <w:bidi w:val="0"/>
        <w:spacing w:beforeAutospacing="0" w:afterAutospacing="0" w:line="240" w:lineRule="auto"/>
        <w:ind w:left="0" w:leftChars="0" w:right="0" w:firstLine="452" w:firstLineChars="200"/>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年龄；</w:t>
      </w:r>
    </w:p>
    <w:p w14:paraId="2A92CC80">
      <w:pPr>
        <w:pStyle w:val="37"/>
        <w:pageBreakBefore w:val="0"/>
        <w:widowControl/>
        <w:numPr>
          <w:ilvl w:val="0"/>
          <w:numId w:val="8"/>
        </w:numPr>
        <w:wordWrap/>
        <w:overflowPunct/>
        <w:topLinePunct w:val="0"/>
        <w:bidi w:val="0"/>
        <w:spacing w:beforeAutospacing="0" w:afterAutospacing="0" w:line="240" w:lineRule="auto"/>
        <w:ind w:left="0" w:leftChars="0" w:right="0" w:firstLine="452" w:firstLineChars="200"/>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骨龄；</w:t>
      </w:r>
    </w:p>
    <w:p w14:paraId="6008511F">
      <w:pPr>
        <w:pStyle w:val="37"/>
        <w:pageBreakBefore w:val="0"/>
        <w:widowControl/>
        <w:numPr>
          <w:ilvl w:val="0"/>
          <w:numId w:val="8"/>
        </w:numPr>
        <w:wordWrap/>
        <w:overflowPunct/>
        <w:topLinePunct w:val="0"/>
        <w:bidi w:val="0"/>
        <w:spacing w:beforeAutospacing="0" w:afterAutospacing="0" w:line="240" w:lineRule="auto"/>
        <w:ind w:left="0" w:leftChars="0" w:right="0" w:firstLine="452" w:firstLineChars="200"/>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Risser分级；</w:t>
      </w:r>
    </w:p>
    <w:p w14:paraId="658A185F">
      <w:pPr>
        <w:pStyle w:val="37"/>
        <w:pageBreakBefore w:val="0"/>
        <w:widowControl/>
        <w:numPr>
          <w:ilvl w:val="0"/>
          <w:numId w:val="8"/>
        </w:numPr>
        <w:wordWrap/>
        <w:overflowPunct/>
        <w:topLinePunct w:val="0"/>
        <w:bidi w:val="0"/>
        <w:spacing w:beforeAutospacing="0" w:afterAutospacing="0" w:line="240" w:lineRule="auto"/>
        <w:ind w:left="0" w:leftChars="0" w:right="0" w:firstLine="452" w:firstLineChars="200"/>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中医证型；</w:t>
      </w:r>
    </w:p>
    <w:p w14:paraId="74EE1EED">
      <w:pPr>
        <w:pStyle w:val="37"/>
        <w:pageBreakBefore w:val="0"/>
        <w:widowControl/>
        <w:numPr>
          <w:ilvl w:val="0"/>
          <w:numId w:val="8"/>
        </w:numPr>
        <w:wordWrap/>
        <w:overflowPunct/>
        <w:topLinePunct w:val="0"/>
        <w:bidi w:val="0"/>
        <w:spacing w:beforeAutospacing="0" w:afterAutospacing="0" w:line="240" w:lineRule="auto"/>
        <w:ind w:left="0" w:leftChars="0" w:right="0" w:firstLine="452" w:firstLineChars="200"/>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高原适应情况。</w:t>
      </w:r>
    </w:p>
    <w:p w14:paraId="5E604690">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eastAsia="en-US"/>
        </w:rPr>
      </w:pPr>
      <w:r>
        <w:rPr>
          <w:rFonts w:hint="eastAsia" w:ascii="宋体" w:hAnsi="宋体" w:eastAsia="宋体" w:cs="宋体"/>
          <w:color w:val="000000"/>
          <w:spacing w:val="8"/>
          <w:kern w:val="0"/>
          <w:sz w:val="21"/>
          <w:szCs w:val="21"/>
          <w:lang w:eastAsia="en-US"/>
        </w:rPr>
        <w:t>制定个体化康复方案。</w:t>
      </w:r>
    </w:p>
    <w:p w14:paraId="6459D6CE">
      <w:pPr>
        <w:pStyle w:val="70"/>
        <w:spacing w:before="120" w:after="120"/>
        <w:rPr>
          <w:rFonts w:hint="eastAsia"/>
          <w:lang w:val="en-US" w:eastAsia="zh-CN"/>
        </w:rPr>
      </w:pPr>
      <w:r>
        <w:rPr>
          <w:rFonts w:hint="eastAsia"/>
          <w:lang w:val="en-US" w:eastAsia="en-US"/>
        </w:rPr>
        <w:t>临床</w:t>
      </w:r>
      <w:r>
        <w:rPr>
          <w:rFonts w:hint="eastAsia"/>
          <w:lang w:val="en-US" w:eastAsia="zh-CN"/>
        </w:rPr>
        <w:t>干预流程</w:t>
      </w:r>
    </w:p>
    <w:p w14:paraId="0B9015AE">
      <w:pPr>
        <w:pStyle w:val="71"/>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黑体" w:hAnsi="黑体" w:eastAsia="黑体" w:cs="黑体"/>
          <w:lang w:val="en-US" w:eastAsia="en-US"/>
        </w:rPr>
      </w:pPr>
      <w:r>
        <w:rPr>
          <w:rFonts w:hint="eastAsia" w:ascii="黑体" w:hAnsi="黑体" w:eastAsia="黑体" w:cs="黑体"/>
          <w:lang w:val="en-US" w:eastAsia="en-US"/>
        </w:rPr>
        <w:t>轻度侧弯（10°～25°）</w:t>
      </w:r>
    </w:p>
    <w:p w14:paraId="417C33E8">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eastAsia="en-US"/>
        </w:rPr>
      </w:pPr>
      <w:r>
        <w:rPr>
          <w:rFonts w:hint="eastAsia" w:ascii="宋体" w:hAnsi="宋体" w:eastAsia="宋体" w:cs="宋体"/>
          <w:color w:val="000000"/>
          <w:spacing w:val="8"/>
          <w:kern w:val="0"/>
          <w:sz w:val="21"/>
          <w:szCs w:val="21"/>
          <w:lang w:eastAsia="en-US"/>
        </w:rPr>
        <w:t>观察+柔筋衡脊疗法</w:t>
      </w:r>
    </w:p>
    <w:p w14:paraId="2D8E8117">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val="en-US" w:eastAsia="zh-CN"/>
        </w:rPr>
      </w:pPr>
      <w:r>
        <w:rPr>
          <w:rFonts w:hint="eastAsia" w:ascii="宋体" w:hAnsi="宋体" w:eastAsia="宋体" w:cs="宋体"/>
          <w:color w:val="000000"/>
          <w:spacing w:val="8"/>
          <w:kern w:val="0"/>
          <w:sz w:val="21"/>
          <w:szCs w:val="21"/>
          <w:lang w:eastAsia="en-US"/>
        </w:rPr>
        <w:t>以“整体辨证、筋骨并重、内外兼治、动静互补”为治疗理念，以“筋骨并重”为关键靶点，维护二者之间的动静平衡。柔筋衡脊疗法</w:t>
      </w:r>
      <w:r>
        <w:rPr>
          <w:rFonts w:hint="eastAsia" w:ascii="宋体" w:hAnsi="宋体" w:eastAsia="宋体" w:cs="宋体"/>
          <w:color w:val="000000"/>
          <w:spacing w:val="8"/>
          <w:kern w:val="0"/>
          <w:sz w:val="21"/>
          <w:szCs w:val="21"/>
          <w:lang w:val="en-US" w:eastAsia="zh-CN"/>
        </w:rPr>
        <w:t>分为</w:t>
      </w:r>
      <w:r>
        <w:rPr>
          <w:rFonts w:hint="eastAsia" w:ascii="宋体" w:hAnsi="宋体" w:eastAsia="宋体" w:cs="宋体"/>
          <w:color w:val="000000"/>
          <w:spacing w:val="8"/>
          <w:kern w:val="0"/>
          <w:sz w:val="21"/>
          <w:szCs w:val="21"/>
          <w:lang w:eastAsia="en-US"/>
        </w:rPr>
        <w:t>柔筋衡脊手法</w:t>
      </w:r>
      <w:r>
        <w:rPr>
          <w:rFonts w:hint="eastAsia" w:ascii="宋体" w:hAnsi="宋体" w:eastAsia="宋体" w:cs="宋体"/>
          <w:color w:val="000000"/>
          <w:spacing w:val="8"/>
          <w:kern w:val="0"/>
          <w:sz w:val="21"/>
          <w:szCs w:val="21"/>
          <w:lang w:val="en-US" w:eastAsia="zh-CN"/>
        </w:rPr>
        <w:t>和</w:t>
      </w:r>
      <w:r>
        <w:rPr>
          <w:rFonts w:hint="eastAsia" w:ascii="宋体" w:hAnsi="宋体" w:eastAsia="宋体" w:cs="宋体"/>
          <w:color w:val="000000"/>
          <w:spacing w:val="8"/>
          <w:kern w:val="0"/>
          <w:sz w:val="21"/>
          <w:szCs w:val="21"/>
          <w:lang w:eastAsia="en-US"/>
        </w:rPr>
        <w:t>柔筋衡脊</w:t>
      </w:r>
      <w:r>
        <w:rPr>
          <w:rFonts w:hint="eastAsia" w:ascii="宋体" w:hAnsi="宋体" w:eastAsia="宋体" w:cs="宋体"/>
          <w:color w:val="000000"/>
          <w:spacing w:val="8"/>
          <w:kern w:val="0"/>
          <w:sz w:val="21"/>
          <w:szCs w:val="21"/>
          <w:lang w:val="en-US" w:eastAsia="zh-CN"/>
        </w:rPr>
        <w:t>功法。</w:t>
      </w:r>
    </w:p>
    <w:p w14:paraId="46593746">
      <w:pPr>
        <w:pStyle w:val="73"/>
        <w:rPr>
          <w:rFonts w:hint="eastAsia" w:ascii="宋体" w:eastAsia="宋体"/>
          <w:lang w:val="en-US" w:eastAsia="en-US"/>
        </w:rPr>
      </w:pPr>
      <w:r>
        <w:rPr>
          <w:rFonts w:hint="eastAsia" w:ascii="宋体" w:hAnsi="宋体" w:eastAsia="宋体" w:cs="宋体"/>
          <w:color w:val="000000"/>
          <w:spacing w:val="8"/>
          <w:kern w:val="0"/>
          <w:sz w:val="21"/>
          <w:szCs w:val="21"/>
          <w:lang w:eastAsia="en-US"/>
        </w:rPr>
        <w:t>柔筋衡脊手法</w:t>
      </w:r>
      <w:r>
        <w:rPr>
          <w:rFonts w:hint="eastAsia" w:ascii="宋体" w:hAnsi="宋体" w:eastAsia="宋体" w:cs="宋体"/>
          <w:color w:val="000000"/>
          <w:spacing w:val="8"/>
          <w:kern w:val="0"/>
          <w:sz w:val="21"/>
          <w:szCs w:val="21"/>
          <w:lang w:eastAsia="zh-CN"/>
        </w:rPr>
        <w:t>，</w:t>
      </w:r>
      <w:r>
        <w:rPr>
          <w:rFonts w:hint="eastAsia" w:ascii="宋体" w:eastAsia="宋体"/>
          <w:lang w:val="en-US" w:eastAsia="en-US"/>
        </w:rPr>
        <w:t>具体手法介绍如下:</w:t>
      </w:r>
    </w:p>
    <w:p w14:paraId="62E19841">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val="en-US" w:eastAsia="zh-CN"/>
        </w:rPr>
      </w:pPr>
    </w:p>
    <w:p w14:paraId="02D2CCF5">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eastAsia="en-US"/>
        </w:rPr>
      </w:pPr>
      <w:r>
        <w:rPr>
          <w:rFonts w:hint="eastAsia" w:ascii="宋体" w:hAnsi="宋体" w:eastAsia="宋体" w:cs="宋体"/>
          <w:color w:val="000000"/>
          <w:spacing w:val="8"/>
          <w:kern w:val="0"/>
          <w:sz w:val="21"/>
          <w:szCs w:val="21"/>
          <w:lang w:eastAsia="en-US"/>
        </w:rPr>
        <w:t>柔筋衡脊手法根据脊柱侧凸患者脊柱全长X线的特征，由准备部分、治疗部分、结束部分组成准备部分包括揉法、推法、法放松患者脊柱两侧肌肉,尤其松解由于眷柱侧弯顶椎区挛缩的肌肉;治疗部分包括颈椎松肌理筋手法、胸椎俯卧冲压手法、胸椎按背扳肩整复手法、腰椎斜扳手法、推腰扳腿手法、屈髋屈膝冲压手法、屈膝屈髋施压外旋外展伸腿手法、屈髋屈膝蹬足手法、对抗牵引牵抖手法，以上九种治疗手法涉及脊柱侧凸患者顶椎区、骨盆区、下肢区，符合中医手法“局部-整体”整体观治疗理念。结束部分包括揉法、推法、捋法、拍法加强气血运行，缓解肌肉紧张痉挛状态。(如下表</w:t>
      </w:r>
      <w:r>
        <w:rPr>
          <w:rFonts w:hint="eastAsia" w:ascii="宋体" w:hAnsi="宋体" w:eastAsia="宋体" w:cs="宋体"/>
          <w:color w:val="000000"/>
          <w:spacing w:val="8"/>
          <w:kern w:val="0"/>
          <w:sz w:val="21"/>
          <w:szCs w:val="21"/>
          <w:lang w:val="en-US" w:eastAsia="zh-CN"/>
        </w:rPr>
        <w:t>1</w:t>
      </w:r>
      <w:r>
        <w:rPr>
          <w:rFonts w:hint="eastAsia" w:ascii="宋体" w:hAnsi="宋体" w:eastAsia="宋体" w:cs="宋体"/>
          <w:color w:val="000000"/>
          <w:spacing w:val="8"/>
          <w:kern w:val="0"/>
          <w:sz w:val="21"/>
          <w:szCs w:val="21"/>
          <w:lang w:eastAsia="en-US"/>
        </w:rPr>
        <w:t>所示,为柔筋衡脊手法概况)</w:t>
      </w:r>
    </w:p>
    <w:tbl>
      <w:tblPr>
        <w:tblStyle w:val="21"/>
        <w:tblpPr w:leftFromText="180" w:rightFromText="180" w:vertAnchor="text" w:horzAnchor="page" w:tblpX="1102" w:tblpY="254"/>
        <w:tblOverlap w:val="never"/>
        <w:tblW w:w="97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59"/>
        <w:gridCol w:w="1460"/>
        <w:gridCol w:w="1460"/>
        <w:gridCol w:w="2109"/>
        <w:gridCol w:w="3217"/>
      </w:tblGrid>
      <w:tr w14:paraId="564C1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rPr>
        <w:tc>
          <w:tcPr>
            <w:tcW w:w="1459" w:type="dxa"/>
            <w:tcBorders>
              <w:top w:val="single" w:color="000000" w:sz="12" w:space="0"/>
              <w:left w:val="single" w:color="000000" w:sz="12" w:space="0"/>
              <w:bottom w:val="nil"/>
              <w:right w:val="nil"/>
            </w:tcBorders>
            <w:vAlign w:val="center"/>
          </w:tcPr>
          <w:p w14:paraId="6E059A7A">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部分</w:t>
            </w:r>
          </w:p>
          <w:p w14:paraId="0A9AC9F3">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（三部）</w:t>
            </w:r>
          </w:p>
        </w:tc>
        <w:tc>
          <w:tcPr>
            <w:tcW w:w="1460" w:type="dxa"/>
            <w:tcBorders>
              <w:top w:val="single" w:color="000000" w:sz="12" w:space="0"/>
              <w:bottom w:val="nil"/>
              <w:right w:val="nil"/>
            </w:tcBorders>
            <w:vAlign w:val="center"/>
          </w:tcPr>
          <w:p w14:paraId="7EB4B5E2">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体位</w:t>
            </w:r>
          </w:p>
          <w:p w14:paraId="654F07F6">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（三位）</w:t>
            </w:r>
          </w:p>
        </w:tc>
        <w:tc>
          <w:tcPr>
            <w:tcW w:w="1460" w:type="dxa"/>
            <w:tcBorders>
              <w:top w:val="single" w:color="000000" w:sz="12" w:space="0"/>
              <w:bottom w:val="nil"/>
              <w:right w:val="nil"/>
            </w:tcBorders>
            <w:vAlign w:val="center"/>
          </w:tcPr>
          <w:p w14:paraId="2447C830">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区域</w:t>
            </w:r>
          </w:p>
          <w:p w14:paraId="695FC87D">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（三区）</w:t>
            </w:r>
          </w:p>
        </w:tc>
        <w:tc>
          <w:tcPr>
            <w:tcW w:w="2109" w:type="dxa"/>
            <w:tcBorders>
              <w:top w:val="single" w:color="000000" w:sz="12" w:space="0"/>
              <w:bottom w:val="nil"/>
              <w:right w:val="nil"/>
            </w:tcBorders>
            <w:vAlign w:val="center"/>
          </w:tcPr>
          <w:p w14:paraId="78C2CD3E">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解剖位置</w:t>
            </w:r>
          </w:p>
          <w:p w14:paraId="5326EBBD">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（一整体）</w:t>
            </w:r>
          </w:p>
        </w:tc>
        <w:tc>
          <w:tcPr>
            <w:tcW w:w="3217" w:type="dxa"/>
            <w:tcBorders>
              <w:top w:val="single" w:color="000000" w:sz="12" w:space="0"/>
              <w:bottom w:val="nil"/>
              <w:right w:val="single" w:color="000000" w:sz="12" w:space="0"/>
            </w:tcBorders>
            <w:vAlign w:val="center"/>
          </w:tcPr>
          <w:p w14:paraId="18909BC4">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手法（九种治疗手法）</w:t>
            </w:r>
          </w:p>
        </w:tc>
      </w:tr>
      <w:tr w14:paraId="20905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459" w:type="dxa"/>
            <w:tcBorders>
              <w:left w:val="single" w:color="000000" w:sz="12" w:space="0"/>
              <w:bottom w:val="nil"/>
              <w:right w:val="nil"/>
            </w:tcBorders>
            <w:vAlign w:val="center"/>
          </w:tcPr>
          <w:p w14:paraId="5198D263">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准备部分</w:t>
            </w:r>
          </w:p>
        </w:tc>
        <w:tc>
          <w:tcPr>
            <w:tcW w:w="1460" w:type="dxa"/>
            <w:tcBorders>
              <w:bottom w:val="nil"/>
              <w:right w:val="nil"/>
            </w:tcBorders>
            <w:vAlign w:val="center"/>
          </w:tcPr>
          <w:p w14:paraId="486C16DC">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p>
        </w:tc>
        <w:tc>
          <w:tcPr>
            <w:tcW w:w="1460" w:type="dxa"/>
            <w:tcBorders>
              <w:bottom w:val="nil"/>
              <w:right w:val="nil"/>
            </w:tcBorders>
            <w:vAlign w:val="center"/>
          </w:tcPr>
          <w:p w14:paraId="6B052A2B">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p>
        </w:tc>
        <w:tc>
          <w:tcPr>
            <w:tcW w:w="2109" w:type="dxa"/>
            <w:tcBorders>
              <w:bottom w:val="nil"/>
              <w:right w:val="nil"/>
            </w:tcBorders>
            <w:vAlign w:val="center"/>
          </w:tcPr>
          <w:p w14:paraId="0FEBA2F8">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p>
        </w:tc>
        <w:tc>
          <w:tcPr>
            <w:tcW w:w="3217" w:type="dxa"/>
            <w:tcBorders>
              <w:bottom w:val="nil"/>
              <w:right w:val="single" w:color="000000" w:sz="12" w:space="0"/>
            </w:tcBorders>
            <w:vAlign w:val="center"/>
          </w:tcPr>
          <w:p w14:paraId="3FB09BCB">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揉法、推法、捋法</w:t>
            </w:r>
          </w:p>
        </w:tc>
      </w:tr>
      <w:tr w14:paraId="42874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459" w:type="dxa"/>
            <w:vMerge w:val="restart"/>
            <w:tcBorders>
              <w:left w:val="single" w:color="000000" w:sz="12" w:space="0"/>
              <w:bottom w:val="nil"/>
              <w:right w:val="nil"/>
            </w:tcBorders>
            <w:vAlign w:val="center"/>
          </w:tcPr>
          <w:p w14:paraId="0BB367E5">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治疗部分</w:t>
            </w:r>
          </w:p>
        </w:tc>
        <w:tc>
          <w:tcPr>
            <w:tcW w:w="1460" w:type="dxa"/>
            <w:vMerge w:val="restart"/>
            <w:tcBorders>
              <w:bottom w:val="nil"/>
              <w:right w:val="nil"/>
            </w:tcBorders>
            <w:vAlign w:val="center"/>
          </w:tcPr>
          <w:p w14:paraId="09679B29">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俯卧位</w:t>
            </w:r>
          </w:p>
        </w:tc>
        <w:tc>
          <w:tcPr>
            <w:tcW w:w="1460" w:type="dxa"/>
            <w:vMerge w:val="restart"/>
            <w:tcBorders>
              <w:bottom w:val="nil"/>
              <w:right w:val="nil"/>
            </w:tcBorders>
            <w:vAlign w:val="center"/>
          </w:tcPr>
          <w:p w14:paraId="5D11109B">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顶椎区/主弯区</w:t>
            </w:r>
          </w:p>
        </w:tc>
        <w:tc>
          <w:tcPr>
            <w:tcW w:w="2109" w:type="dxa"/>
            <w:tcBorders>
              <w:bottom w:val="nil"/>
              <w:right w:val="nil"/>
            </w:tcBorders>
            <w:vAlign w:val="center"/>
          </w:tcPr>
          <w:p w14:paraId="7FEB038B">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颈椎</w:t>
            </w:r>
          </w:p>
        </w:tc>
        <w:tc>
          <w:tcPr>
            <w:tcW w:w="3217" w:type="dxa"/>
            <w:tcBorders>
              <w:bottom w:val="nil"/>
              <w:right w:val="single" w:color="000000" w:sz="12" w:space="0"/>
            </w:tcBorders>
            <w:vAlign w:val="center"/>
          </w:tcPr>
          <w:p w14:paraId="0DFCB116">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颈椎松肌理筋手法</w:t>
            </w:r>
          </w:p>
        </w:tc>
      </w:tr>
      <w:tr w14:paraId="666CE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459" w:type="dxa"/>
            <w:vMerge w:val="continue"/>
            <w:tcBorders>
              <w:left w:val="single" w:color="000000" w:sz="12" w:space="0"/>
              <w:bottom w:val="nil"/>
              <w:right w:val="nil"/>
            </w:tcBorders>
            <w:vAlign w:val="center"/>
          </w:tcPr>
          <w:p w14:paraId="17336582">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p>
        </w:tc>
        <w:tc>
          <w:tcPr>
            <w:tcW w:w="1460" w:type="dxa"/>
            <w:vMerge w:val="continue"/>
            <w:tcBorders>
              <w:bottom w:val="nil"/>
              <w:right w:val="nil"/>
            </w:tcBorders>
            <w:vAlign w:val="center"/>
          </w:tcPr>
          <w:p w14:paraId="259BD560">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p>
        </w:tc>
        <w:tc>
          <w:tcPr>
            <w:tcW w:w="1460" w:type="dxa"/>
            <w:vMerge w:val="continue"/>
            <w:tcBorders>
              <w:bottom w:val="nil"/>
              <w:right w:val="nil"/>
            </w:tcBorders>
            <w:vAlign w:val="center"/>
          </w:tcPr>
          <w:p w14:paraId="3CA6182E">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p>
        </w:tc>
        <w:tc>
          <w:tcPr>
            <w:tcW w:w="2109" w:type="dxa"/>
            <w:vMerge w:val="restart"/>
            <w:tcBorders>
              <w:bottom w:val="nil"/>
              <w:right w:val="nil"/>
            </w:tcBorders>
            <w:vAlign w:val="center"/>
          </w:tcPr>
          <w:p w14:paraId="438ED6DC">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胸椎</w:t>
            </w:r>
          </w:p>
        </w:tc>
        <w:tc>
          <w:tcPr>
            <w:tcW w:w="3217" w:type="dxa"/>
            <w:tcBorders>
              <w:bottom w:val="nil"/>
              <w:right w:val="single" w:color="000000" w:sz="12" w:space="0"/>
            </w:tcBorders>
            <w:vAlign w:val="center"/>
          </w:tcPr>
          <w:p w14:paraId="23DB0C0C">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胸椎俯卧冲压手法</w:t>
            </w:r>
          </w:p>
        </w:tc>
      </w:tr>
      <w:tr w14:paraId="54B2B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459" w:type="dxa"/>
            <w:vMerge w:val="continue"/>
            <w:tcBorders>
              <w:left w:val="single" w:color="000000" w:sz="12" w:space="0"/>
              <w:bottom w:val="nil"/>
              <w:right w:val="nil"/>
            </w:tcBorders>
            <w:vAlign w:val="center"/>
          </w:tcPr>
          <w:p w14:paraId="322943D1">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p>
        </w:tc>
        <w:tc>
          <w:tcPr>
            <w:tcW w:w="1460" w:type="dxa"/>
            <w:vMerge w:val="continue"/>
            <w:tcBorders>
              <w:bottom w:val="nil"/>
              <w:right w:val="nil"/>
            </w:tcBorders>
            <w:vAlign w:val="center"/>
          </w:tcPr>
          <w:p w14:paraId="2AB281B0">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p>
        </w:tc>
        <w:tc>
          <w:tcPr>
            <w:tcW w:w="1460" w:type="dxa"/>
            <w:vMerge w:val="continue"/>
            <w:tcBorders>
              <w:bottom w:val="nil"/>
              <w:right w:val="nil"/>
            </w:tcBorders>
            <w:vAlign w:val="center"/>
          </w:tcPr>
          <w:p w14:paraId="1E2374C2">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p>
        </w:tc>
        <w:tc>
          <w:tcPr>
            <w:tcW w:w="2109" w:type="dxa"/>
            <w:vMerge w:val="continue"/>
            <w:tcBorders>
              <w:bottom w:val="nil"/>
              <w:right w:val="nil"/>
            </w:tcBorders>
            <w:vAlign w:val="center"/>
          </w:tcPr>
          <w:p w14:paraId="526A4868">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p>
        </w:tc>
        <w:tc>
          <w:tcPr>
            <w:tcW w:w="3217" w:type="dxa"/>
            <w:tcBorders>
              <w:bottom w:val="nil"/>
              <w:right w:val="single" w:color="000000" w:sz="12" w:space="0"/>
            </w:tcBorders>
            <w:vAlign w:val="center"/>
          </w:tcPr>
          <w:p w14:paraId="5F282880">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胸椎按背扳肩整复手法</w:t>
            </w:r>
          </w:p>
        </w:tc>
      </w:tr>
      <w:tr w14:paraId="7429E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459" w:type="dxa"/>
            <w:vMerge w:val="continue"/>
            <w:tcBorders>
              <w:left w:val="single" w:color="000000" w:sz="12" w:space="0"/>
              <w:bottom w:val="nil"/>
              <w:right w:val="nil"/>
            </w:tcBorders>
            <w:vAlign w:val="center"/>
          </w:tcPr>
          <w:p w14:paraId="27D4A86F">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p>
        </w:tc>
        <w:tc>
          <w:tcPr>
            <w:tcW w:w="1460" w:type="dxa"/>
            <w:vMerge w:val="continue"/>
            <w:tcBorders>
              <w:bottom w:val="nil"/>
              <w:right w:val="nil"/>
            </w:tcBorders>
            <w:vAlign w:val="center"/>
          </w:tcPr>
          <w:p w14:paraId="29370247">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p>
        </w:tc>
        <w:tc>
          <w:tcPr>
            <w:tcW w:w="1460" w:type="dxa"/>
            <w:vMerge w:val="continue"/>
            <w:tcBorders>
              <w:bottom w:val="nil"/>
              <w:right w:val="nil"/>
            </w:tcBorders>
            <w:vAlign w:val="center"/>
          </w:tcPr>
          <w:p w14:paraId="6113A832">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p>
        </w:tc>
        <w:tc>
          <w:tcPr>
            <w:tcW w:w="2109" w:type="dxa"/>
            <w:vMerge w:val="continue"/>
            <w:tcBorders>
              <w:bottom w:val="nil"/>
              <w:right w:val="nil"/>
            </w:tcBorders>
            <w:vAlign w:val="center"/>
          </w:tcPr>
          <w:p w14:paraId="15C08C35">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p>
        </w:tc>
        <w:tc>
          <w:tcPr>
            <w:tcW w:w="3217" w:type="dxa"/>
            <w:tcBorders>
              <w:bottom w:val="nil"/>
              <w:right w:val="single" w:color="000000" w:sz="12" w:space="0"/>
            </w:tcBorders>
            <w:vAlign w:val="center"/>
          </w:tcPr>
          <w:p w14:paraId="1F494B59">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胸椎调横正骨手法</w:t>
            </w:r>
          </w:p>
        </w:tc>
      </w:tr>
      <w:tr w14:paraId="775BC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459" w:type="dxa"/>
            <w:vMerge w:val="continue"/>
            <w:tcBorders>
              <w:left w:val="single" w:color="000000" w:sz="12" w:space="0"/>
              <w:bottom w:val="nil"/>
              <w:right w:val="nil"/>
            </w:tcBorders>
            <w:vAlign w:val="center"/>
          </w:tcPr>
          <w:p w14:paraId="5EB0E725">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p>
        </w:tc>
        <w:tc>
          <w:tcPr>
            <w:tcW w:w="1460" w:type="dxa"/>
            <w:vMerge w:val="restart"/>
            <w:tcBorders>
              <w:bottom w:val="nil"/>
              <w:right w:val="nil"/>
            </w:tcBorders>
            <w:vAlign w:val="center"/>
          </w:tcPr>
          <w:p w14:paraId="39FFB923">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侧卧位</w:t>
            </w:r>
          </w:p>
        </w:tc>
        <w:tc>
          <w:tcPr>
            <w:tcW w:w="1460" w:type="dxa"/>
            <w:vMerge w:val="continue"/>
            <w:tcBorders>
              <w:bottom w:val="nil"/>
              <w:right w:val="nil"/>
            </w:tcBorders>
            <w:vAlign w:val="center"/>
          </w:tcPr>
          <w:p w14:paraId="2987DED5">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p>
        </w:tc>
        <w:tc>
          <w:tcPr>
            <w:tcW w:w="2109" w:type="dxa"/>
            <w:vMerge w:val="restart"/>
            <w:tcBorders>
              <w:bottom w:val="nil"/>
              <w:right w:val="nil"/>
            </w:tcBorders>
            <w:vAlign w:val="center"/>
          </w:tcPr>
          <w:p w14:paraId="0C834C81">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腰椎</w:t>
            </w:r>
          </w:p>
        </w:tc>
        <w:tc>
          <w:tcPr>
            <w:tcW w:w="3217" w:type="dxa"/>
            <w:tcBorders>
              <w:bottom w:val="nil"/>
              <w:right w:val="single" w:color="000000" w:sz="12" w:space="0"/>
            </w:tcBorders>
            <w:vAlign w:val="center"/>
          </w:tcPr>
          <w:p w14:paraId="63A17042">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腰椎斜扳手法</w:t>
            </w:r>
          </w:p>
        </w:tc>
      </w:tr>
      <w:tr w14:paraId="2A7D2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459" w:type="dxa"/>
            <w:vMerge w:val="continue"/>
            <w:tcBorders>
              <w:left w:val="single" w:color="000000" w:sz="12" w:space="0"/>
              <w:bottom w:val="nil"/>
              <w:right w:val="nil"/>
            </w:tcBorders>
            <w:vAlign w:val="center"/>
          </w:tcPr>
          <w:p w14:paraId="26377E9D">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p>
        </w:tc>
        <w:tc>
          <w:tcPr>
            <w:tcW w:w="1460" w:type="dxa"/>
            <w:vMerge w:val="continue"/>
            <w:tcBorders>
              <w:bottom w:val="nil"/>
              <w:right w:val="nil"/>
            </w:tcBorders>
            <w:vAlign w:val="center"/>
          </w:tcPr>
          <w:p w14:paraId="7838D720">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p>
        </w:tc>
        <w:tc>
          <w:tcPr>
            <w:tcW w:w="1460" w:type="dxa"/>
            <w:vMerge w:val="continue"/>
            <w:tcBorders>
              <w:bottom w:val="nil"/>
              <w:right w:val="nil"/>
            </w:tcBorders>
            <w:vAlign w:val="center"/>
          </w:tcPr>
          <w:p w14:paraId="176F4E23">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p>
        </w:tc>
        <w:tc>
          <w:tcPr>
            <w:tcW w:w="2109" w:type="dxa"/>
            <w:vMerge w:val="continue"/>
            <w:tcBorders>
              <w:bottom w:val="nil"/>
              <w:right w:val="nil"/>
            </w:tcBorders>
            <w:vAlign w:val="center"/>
          </w:tcPr>
          <w:p w14:paraId="6636F4F0">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p>
        </w:tc>
        <w:tc>
          <w:tcPr>
            <w:tcW w:w="3217" w:type="dxa"/>
            <w:tcBorders>
              <w:bottom w:val="nil"/>
              <w:right w:val="single" w:color="000000" w:sz="12" w:space="0"/>
            </w:tcBorders>
            <w:vAlign w:val="center"/>
          </w:tcPr>
          <w:p w14:paraId="7A47CFEA">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推腰扳腿手法</w:t>
            </w:r>
          </w:p>
        </w:tc>
      </w:tr>
      <w:tr w14:paraId="1BE8A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459" w:type="dxa"/>
            <w:vMerge w:val="continue"/>
            <w:tcBorders>
              <w:left w:val="single" w:color="000000" w:sz="12" w:space="0"/>
              <w:bottom w:val="nil"/>
              <w:right w:val="nil"/>
            </w:tcBorders>
            <w:vAlign w:val="center"/>
          </w:tcPr>
          <w:p w14:paraId="15DB29F7">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p>
        </w:tc>
        <w:tc>
          <w:tcPr>
            <w:tcW w:w="1460" w:type="dxa"/>
            <w:vMerge w:val="continue"/>
            <w:tcBorders>
              <w:bottom w:val="nil"/>
              <w:right w:val="nil"/>
            </w:tcBorders>
            <w:vAlign w:val="center"/>
          </w:tcPr>
          <w:p w14:paraId="742EAF84">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p>
        </w:tc>
        <w:tc>
          <w:tcPr>
            <w:tcW w:w="1460" w:type="dxa"/>
            <w:vMerge w:val="continue"/>
            <w:tcBorders>
              <w:bottom w:val="nil"/>
              <w:right w:val="nil"/>
            </w:tcBorders>
            <w:vAlign w:val="center"/>
          </w:tcPr>
          <w:p w14:paraId="65D12299">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p>
        </w:tc>
        <w:tc>
          <w:tcPr>
            <w:tcW w:w="2109" w:type="dxa"/>
            <w:vMerge w:val="continue"/>
            <w:tcBorders>
              <w:bottom w:val="nil"/>
              <w:right w:val="nil"/>
            </w:tcBorders>
            <w:vAlign w:val="center"/>
          </w:tcPr>
          <w:p w14:paraId="79E81CE2">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p>
        </w:tc>
        <w:tc>
          <w:tcPr>
            <w:tcW w:w="3217" w:type="dxa"/>
            <w:tcBorders>
              <w:bottom w:val="nil"/>
              <w:right w:val="single" w:color="000000" w:sz="12" w:space="0"/>
            </w:tcBorders>
            <w:vAlign w:val="center"/>
          </w:tcPr>
          <w:p w14:paraId="47CF3D74">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腰椎调横正骨手法</w:t>
            </w:r>
          </w:p>
        </w:tc>
      </w:tr>
      <w:tr w14:paraId="7A5CA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459" w:type="dxa"/>
            <w:vMerge w:val="continue"/>
            <w:tcBorders>
              <w:left w:val="single" w:color="000000" w:sz="12" w:space="0"/>
              <w:bottom w:val="nil"/>
              <w:right w:val="nil"/>
            </w:tcBorders>
            <w:vAlign w:val="center"/>
          </w:tcPr>
          <w:p w14:paraId="6F464923">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p>
        </w:tc>
        <w:tc>
          <w:tcPr>
            <w:tcW w:w="1460" w:type="dxa"/>
            <w:vMerge w:val="restart"/>
            <w:tcBorders>
              <w:bottom w:val="nil"/>
              <w:right w:val="nil"/>
            </w:tcBorders>
            <w:vAlign w:val="center"/>
          </w:tcPr>
          <w:p w14:paraId="11D28C2B">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仰卧位</w:t>
            </w:r>
          </w:p>
        </w:tc>
        <w:tc>
          <w:tcPr>
            <w:tcW w:w="1460" w:type="dxa"/>
            <w:vMerge w:val="restart"/>
            <w:tcBorders>
              <w:bottom w:val="nil"/>
              <w:right w:val="nil"/>
            </w:tcBorders>
            <w:vAlign w:val="center"/>
          </w:tcPr>
          <w:p w14:paraId="76FC51E5">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骨盆区</w:t>
            </w:r>
          </w:p>
        </w:tc>
        <w:tc>
          <w:tcPr>
            <w:tcW w:w="2109" w:type="dxa"/>
            <w:vMerge w:val="restart"/>
            <w:tcBorders>
              <w:bottom w:val="nil"/>
              <w:right w:val="nil"/>
            </w:tcBorders>
            <w:vAlign w:val="center"/>
          </w:tcPr>
          <w:p w14:paraId="0D6C10D2">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骨盆、骶髂关节</w:t>
            </w:r>
          </w:p>
        </w:tc>
        <w:tc>
          <w:tcPr>
            <w:tcW w:w="3217" w:type="dxa"/>
            <w:tcBorders>
              <w:bottom w:val="nil"/>
              <w:right w:val="single" w:color="000000" w:sz="12" w:space="0"/>
            </w:tcBorders>
            <w:vAlign w:val="center"/>
          </w:tcPr>
          <w:p w14:paraId="30F131A3">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屈髋屈膝冲压手法</w:t>
            </w:r>
          </w:p>
        </w:tc>
      </w:tr>
      <w:tr w14:paraId="20D10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459" w:type="dxa"/>
            <w:vMerge w:val="continue"/>
            <w:tcBorders>
              <w:left w:val="single" w:color="000000" w:sz="12" w:space="0"/>
              <w:bottom w:val="nil"/>
              <w:right w:val="nil"/>
            </w:tcBorders>
            <w:vAlign w:val="center"/>
          </w:tcPr>
          <w:p w14:paraId="449B9417">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p>
        </w:tc>
        <w:tc>
          <w:tcPr>
            <w:tcW w:w="1460" w:type="dxa"/>
            <w:vMerge w:val="continue"/>
            <w:tcBorders>
              <w:bottom w:val="nil"/>
              <w:right w:val="nil"/>
            </w:tcBorders>
            <w:vAlign w:val="center"/>
          </w:tcPr>
          <w:p w14:paraId="3ECE4FF4">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p>
        </w:tc>
        <w:tc>
          <w:tcPr>
            <w:tcW w:w="1460" w:type="dxa"/>
            <w:vMerge w:val="continue"/>
            <w:tcBorders>
              <w:bottom w:val="nil"/>
              <w:right w:val="nil"/>
            </w:tcBorders>
            <w:vAlign w:val="center"/>
          </w:tcPr>
          <w:p w14:paraId="672B5729">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p>
        </w:tc>
        <w:tc>
          <w:tcPr>
            <w:tcW w:w="2109" w:type="dxa"/>
            <w:vMerge w:val="continue"/>
            <w:tcBorders>
              <w:bottom w:val="nil"/>
              <w:right w:val="nil"/>
            </w:tcBorders>
            <w:vAlign w:val="center"/>
          </w:tcPr>
          <w:p w14:paraId="60CA056B">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p>
        </w:tc>
        <w:tc>
          <w:tcPr>
            <w:tcW w:w="3217" w:type="dxa"/>
            <w:tcBorders>
              <w:bottom w:val="nil"/>
              <w:right w:val="single" w:color="000000" w:sz="12" w:space="0"/>
            </w:tcBorders>
            <w:vAlign w:val="center"/>
          </w:tcPr>
          <w:p w14:paraId="536FE917">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屈髋屈膝施压外旋外展伸腿手法</w:t>
            </w:r>
          </w:p>
        </w:tc>
      </w:tr>
      <w:tr w14:paraId="1F28C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459" w:type="dxa"/>
            <w:vMerge w:val="continue"/>
            <w:tcBorders>
              <w:left w:val="single" w:color="000000" w:sz="12" w:space="0"/>
              <w:bottom w:val="nil"/>
              <w:right w:val="nil"/>
            </w:tcBorders>
            <w:vAlign w:val="center"/>
          </w:tcPr>
          <w:p w14:paraId="63A751D1">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p>
        </w:tc>
        <w:tc>
          <w:tcPr>
            <w:tcW w:w="1460" w:type="dxa"/>
            <w:vMerge w:val="continue"/>
            <w:tcBorders>
              <w:bottom w:val="nil"/>
              <w:right w:val="nil"/>
            </w:tcBorders>
            <w:vAlign w:val="center"/>
          </w:tcPr>
          <w:p w14:paraId="3C015B63">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p>
        </w:tc>
        <w:tc>
          <w:tcPr>
            <w:tcW w:w="1460" w:type="dxa"/>
            <w:vMerge w:val="restart"/>
            <w:tcBorders>
              <w:bottom w:val="nil"/>
              <w:right w:val="nil"/>
            </w:tcBorders>
            <w:vAlign w:val="center"/>
          </w:tcPr>
          <w:p w14:paraId="30D7725C">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下肢区</w:t>
            </w:r>
          </w:p>
        </w:tc>
        <w:tc>
          <w:tcPr>
            <w:tcW w:w="2109" w:type="dxa"/>
            <w:vMerge w:val="restart"/>
            <w:tcBorders>
              <w:bottom w:val="nil"/>
              <w:right w:val="nil"/>
            </w:tcBorders>
            <w:vAlign w:val="center"/>
          </w:tcPr>
          <w:p w14:paraId="414DD83E">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双下肢</w:t>
            </w:r>
          </w:p>
        </w:tc>
        <w:tc>
          <w:tcPr>
            <w:tcW w:w="3217" w:type="dxa"/>
            <w:tcBorders>
              <w:bottom w:val="nil"/>
              <w:right w:val="single" w:color="000000" w:sz="12" w:space="0"/>
            </w:tcBorders>
            <w:vAlign w:val="center"/>
          </w:tcPr>
          <w:p w14:paraId="4ED4E108">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屈髋屈膝蹬足手法</w:t>
            </w:r>
          </w:p>
        </w:tc>
      </w:tr>
      <w:tr w14:paraId="6D673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459" w:type="dxa"/>
            <w:vMerge w:val="continue"/>
            <w:tcBorders>
              <w:left w:val="single" w:color="000000" w:sz="12" w:space="0"/>
              <w:bottom w:val="nil"/>
              <w:right w:val="nil"/>
            </w:tcBorders>
            <w:vAlign w:val="center"/>
          </w:tcPr>
          <w:p w14:paraId="1DCE5091">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p>
        </w:tc>
        <w:tc>
          <w:tcPr>
            <w:tcW w:w="1460" w:type="dxa"/>
            <w:vMerge w:val="continue"/>
            <w:tcBorders>
              <w:bottom w:val="nil"/>
              <w:right w:val="nil"/>
            </w:tcBorders>
            <w:vAlign w:val="center"/>
          </w:tcPr>
          <w:p w14:paraId="6F2CE229">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p>
        </w:tc>
        <w:tc>
          <w:tcPr>
            <w:tcW w:w="1460" w:type="dxa"/>
            <w:vMerge w:val="continue"/>
            <w:tcBorders>
              <w:bottom w:val="nil"/>
              <w:right w:val="nil"/>
            </w:tcBorders>
            <w:vAlign w:val="center"/>
          </w:tcPr>
          <w:p w14:paraId="57C98B07">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p>
        </w:tc>
        <w:tc>
          <w:tcPr>
            <w:tcW w:w="2109" w:type="dxa"/>
            <w:vMerge w:val="continue"/>
            <w:tcBorders>
              <w:bottom w:val="nil"/>
              <w:right w:val="nil"/>
            </w:tcBorders>
            <w:vAlign w:val="center"/>
          </w:tcPr>
          <w:p w14:paraId="007695E0">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p>
        </w:tc>
        <w:tc>
          <w:tcPr>
            <w:tcW w:w="3217" w:type="dxa"/>
            <w:tcBorders>
              <w:bottom w:val="nil"/>
              <w:right w:val="single" w:color="000000" w:sz="12" w:space="0"/>
            </w:tcBorders>
            <w:vAlign w:val="center"/>
          </w:tcPr>
          <w:p w14:paraId="42A6E0F5">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对抗牵引牵抖手法</w:t>
            </w:r>
          </w:p>
        </w:tc>
      </w:tr>
      <w:tr w14:paraId="4C42B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459" w:type="dxa"/>
            <w:tcBorders>
              <w:left w:val="single" w:color="000000" w:sz="12" w:space="0"/>
              <w:bottom w:val="single" w:color="000000" w:sz="12" w:space="0"/>
              <w:right w:val="nil"/>
            </w:tcBorders>
            <w:vAlign w:val="center"/>
          </w:tcPr>
          <w:p w14:paraId="61DB4596">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结束部分</w:t>
            </w:r>
          </w:p>
        </w:tc>
        <w:tc>
          <w:tcPr>
            <w:tcW w:w="1460" w:type="dxa"/>
            <w:tcBorders>
              <w:bottom w:val="single" w:color="000000" w:sz="12" w:space="0"/>
              <w:right w:val="nil"/>
            </w:tcBorders>
            <w:vAlign w:val="center"/>
          </w:tcPr>
          <w:p w14:paraId="13E4F51A">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p>
        </w:tc>
        <w:tc>
          <w:tcPr>
            <w:tcW w:w="1460" w:type="dxa"/>
            <w:tcBorders>
              <w:bottom w:val="single" w:color="000000" w:sz="12" w:space="0"/>
              <w:right w:val="nil"/>
            </w:tcBorders>
            <w:vAlign w:val="center"/>
          </w:tcPr>
          <w:p w14:paraId="0790B59E">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p>
        </w:tc>
        <w:tc>
          <w:tcPr>
            <w:tcW w:w="2109" w:type="dxa"/>
            <w:tcBorders>
              <w:bottom w:val="single" w:color="000000" w:sz="12" w:space="0"/>
              <w:right w:val="nil"/>
            </w:tcBorders>
            <w:vAlign w:val="center"/>
          </w:tcPr>
          <w:p w14:paraId="519E76E6">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p>
        </w:tc>
        <w:tc>
          <w:tcPr>
            <w:tcW w:w="3217" w:type="dxa"/>
            <w:tcBorders>
              <w:bottom w:val="single" w:color="000000" w:sz="12" w:space="0"/>
              <w:right w:val="single" w:color="000000" w:sz="12" w:space="0"/>
            </w:tcBorders>
            <w:vAlign w:val="center"/>
          </w:tcPr>
          <w:p w14:paraId="2D0F9EC8">
            <w:pPr>
              <w:pStyle w:val="64"/>
              <w:keepNext w:val="0"/>
              <w:keepLines w:val="0"/>
              <w:pageBreakBefore w:val="0"/>
              <w:widowControl/>
              <w:numPr>
                <w:ilvl w:val="0"/>
                <w:numId w:val="0"/>
              </w:numP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揉法、推法、捋法、拍法</w:t>
            </w:r>
          </w:p>
        </w:tc>
      </w:tr>
    </w:tbl>
    <w:p w14:paraId="1FD2D61E">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center"/>
        <w:textAlignment w:val="auto"/>
        <w:rPr>
          <w:rFonts w:hint="eastAsia" w:ascii="宋体" w:hAnsi="宋体" w:eastAsia="宋体" w:cs="宋体"/>
          <w:color w:val="000000"/>
          <w:spacing w:val="8"/>
          <w:kern w:val="0"/>
          <w:sz w:val="21"/>
          <w:szCs w:val="21"/>
          <w:lang w:eastAsia="en-US"/>
        </w:rPr>
      </w:pPr>
      <w:r>
        <w:rPr>
          <w:rFonts w:hint="eastAsia" w:ascii="宋体" w:hAnsi="宋体" w:eastAsia="宋体" w:cs="宋体"/>
          <w:color w:val="000000"/>
          <w:spacing w:val="8"/>
          <w:kern w:val="0"/>
          <w:sz w:val="21"/>
          <w:szCs w:val="21"/>
          <w:lang w:eastAsia="en-US"/>
        </w:rPr>
        <w:t>表</w:t>
      </w:r>
      <w:r>
        <w:rPr>
          <w:rFonts w:hint="eastAsia" w:ascii="宋体" w:hAnsi="宋体" w:eastAsia="宋体" w:cs="宋体"/>
          <w:color w:val="000000"/>
          <w:spacing w:val="8"/>
          <w:kern w:val="0"/>
          <w:sz w:val="21"/>
          <w:szCs w:val="21"/>
          <w:lang w:val="en-US" w:eastAsia="zh-CN"/>
        </w:rPr>
        <w:t xml:space="preserve">1 </w:t>
      </w:r>
      <w:r>
        <w:rPr>
          <w:rFonts w:hint="eastAsia" w:ascii="宋体" w:hAnsi="宋体" w:eastAsia="宋体" w:cs="宋体"/>
          <w:color w:val="000000"/>
          <w:spacing w:val="8"/>
          <w:kern w:val="0"/>
          <w:sz w:val="21"/>
          <w:szCs w:val="21"/>
          <w:lang w:eastAsia="en-US"/>
        </w:rPr>
        <w:t>柔筋衡脊手法概况</w:t>
      </w:r>
    </w:p>
    <w:p w14:paraId="34D0E25F">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eastAsia="en-US"/>
        </w:rPr>
      </w:pPr>
    </w:p>
    <w:p w14:paraId="25113EA1">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eastAsia="en-US"/>
        </w:rPr>
      </w:pPr>
      <w:r>
        <w:rPr>
          <w:rFonts w:hint="eastAsia" w:ascii="宋体" w:hAnsi="宋体" w:eastAsia="宋体" w:cs="宋体"/>
          <w:color w:val="000000"/>
          <w:spacing w:val="8"/>
          <w:kern w:val="0"/>
          <w:sz w:val="21"/>
          <w:szCs w:val="21"/>
          <w:lang w:eastAsia="en-US"/>
        </w:rPr>
        <w:t>放松手法(准备部分、结束部分)</w:t>
      </w:r>
    </w:p>
    <w:p w14:paraId="463000D1">
      <w:pPr>
        <w:pStyle w:val="37"/>
        <w:pageBreakBefore w:val="0"/>
        <w:widowControl/>
        <w:numPr>
          <w:ilvl w:val="0"/>
          <w:numId w:val="9"/>
        </w:numPr>
        <w:wordWrap/>
        <w:overflowPunct/>
        <w:topLinePunct w:val="0"/>
        <w:bidi w:val="0"/>
        <w:spacing w:beforeAutospacing="0" w:afterAutospacing="0" w:line="240" w:lineRule="auto"/>
        <w:ind w:left="0" w:leftChars="0" w:right="0" w:firstLine="452" w:firstLineChars="200"/>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揉法:俯卧位，充分暴露脊柱，治疗者以单手或双手于施治部位做轻而和缓的旋转揉动，自上而下按揉2~3次。</w:t>
      </w:r>
    </w:p>
    <w:p w14:paraId="1ECE18B1">
      <w:pPr>
        <w:pStyle w:val="37"/>
        <w:pageBreakBefore w:val="0"/>
        <w:widowControl/>
        <w:numPr>
          <w:ilvl w:val="0"/>
          <w:numId w:val="9"/>
        </w:numPr>
        <w:wordWrap/>
        <w:overflowPunct/>
        <w:topLinePunct w:val="0"/>
        <w:bidi w:val="0"/>
        <w:spacing w:beforeAutospacing="0" w:afterAutospacing="0" w:line="240" w:lineRule="auto"/>
        <w:ind w:left="0" w:leftChars="0" w:right="0" w:firstLine="452" w:firstLineChars="200"/>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推法:取俯卧位，充分暴露脊柱，治疗者双手拇指或掌根部分别置于脊柱棘突两侧2cm处，自上而下直推2~3次。</w:t>
      </w:r>
    </w:p>
    <w:p w14:paraId="44078283">
      <w:pPr>
        <w:pStyle w:val="37"/>
        <w:pageBreakBefore w:val="0"/>
        <w:widowControl/>
        <w:numPr>
          <w:ilvl w:val="0"/>
          <w:numId w:val="9"/>
        </w:numPr>
        <w:wordWrap/>
        <w:overflowPunct/>
        <w:topLinePunct w:val="0"/>
        <w:bidi w:val="0"/>
        <w:spacing w:beforeAutospacing="0" w:afterAutospacing="0" w:line="240" w:lineRule="auto"/>
        <w:ind w:left="0" w:leftChars="0" w:right="0" w:firstLine="452" w:firstLineChars="200"/>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捋法:患者俯卧位，充分暴露脊柱，治疗者用手掌紧贴皮肤于肢体近端向远端推移，自上而下顺捋2~3次。</w:t>
      </w:r>
    </w:p>
    <w:p w14:paraId="0FCD9027">
      <w:pPr>
        <w:pStyle w:val="37"/>
        <w:pageBreakBefore w:val="0"/>
        <w:widowControl/>
        <w:numPr>
          <w:ilvl w:val="0"/>
          <w:numId w:val="9"/>
        </w:numPr>
        <w:wordWrap/>
        <w:overflowPunct/>
        <w:topLinePunct w:val="0"/>
        <w:bidi w:val="0"/>
        <w:spacing w:beforeAutospacing="0" w:afterAutospacing="0" w:line="240" w:lineRule="auto"/>
        <w:ind w:left="0" w:leftChars="0" w:right="0" w:firstLine="452" w:firstLineChars="200"/>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拍法:患者俯卧位，充分暴露脊柱，治疗者用拇指腹和手掌掌侧着力，五指自然并拢，掌指关节微屈，使掌心空虚，然后以虚掌做节律的拍击肩背部、腰骶部、臀部及下肢，自上而下有节律拍击2~3次。</w:t>
      </w:r>
    </w:p>
    <w:p w14:paraId="0A19F300">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eastAsia="en-US"/>
        </w:rPr>
      </w:pPr>
      <w:r>
        <w:rPr>
          <w:rFonts w:hint="eastAsia" w:ascii="宋体" w:hAnsi="宋体" w:eastAsia="宋体" w:cs="宋体"/>
          <w:color w:val="000000"/>
          <w:spacing w:val="8"/>
          <w:kern w:val="0"/>
          <w:sz w:val="21"/>
          <w:szCs w:val="21"/>
          <w:lang w:eastAsia="en-US"/>
        </w:rPr>
        <w:t>治疗手法</w:t>
      </w:r>
    </w:p>
    <w:p w14:paraId="0D905057">
      <w:pPr>
        <w:pStyle w:val="37"/>
        <w:pageBreakBefore w:val="0"/>
        <w:widowControl/>
        <w:numPr>
          <w:ilvl w:val="0"/>
          <w:numId w:val="10"/>
        </w:numPr>
        <w:wordWrap/>
        <w:overflowPunct/>
        <w:topLinePunct w:val="0"/>
        <w:bidi w:val="0"/>
        <w:spacing w:beforeAutospacing="0" w:afterAutospacing="0" w:line="240" w:lineRule="auto"/>
        <w:ind w:left="0" w:leftChars="0" w:right="0" w:firstLine="452" w:firstLineChars="200"/>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颈椎松肌理筋手法:患者俯卧位，治疗者沿着横突连线、棘突旁线、棘突正中线，采用拇指按揉及顺肌纤维自上而下推压等方法，手法自上而下，以轻、重、轻相结合进行理筋推压。</w:t>
      </w:r>
    </w:p>
    <w:p w14:paraId="6FF7968B">
      <w:pPr>
        <w:pStyle w:val="37"/>
        <w:pageBreakBefore w:val="0"/>
        <w:widowControl/>
        <w:numPr>
          <w:ilvl w:val="0"/>
          <w:numId w:val="10"/>
        </w:numPr>
        <w:wordWrap/>
        <w:overflowPunct/>
        <w:topLinePunct w:val="0"/>
        <w:bidi w:val="0"/>
        <w:spacing w:beforeAutospacing="0" w:afterAutospacing="0" w:line="240" w:lineRule="auto"/>
        <w:ind w:left="0" w:leftChars="0" w:right="0" w:firstLine="452" w:firstLineChars="200"/>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胸椎俯卧冲压手法:患者俯卧位，双手自然分开放于床两侧，治疗者立于患者一侧，前臂交叉，右手掌根部按于胸椎棘突左方，左手掌根部按于胸椎棘突右方，令患者做深呼吸，当其呼气时，双手同时用一冲击压力下按，操作过程中可根据患者棘突左右偏移、旋转不同，治疗者调整手部作用力的方向进行操作。若患者无棘突一侧偏移旋转，治疗者手部作用力不做调整。</w:t>
      </w:r>
    </w:p>
    <w:p w14:paraId="1A003C7A">
      <w:pPr>
        <w:pStyle w:val="37"/>
        <w:pageBreakBefore w:val="0"/>
        <w:widowControl/>
        <w:numPr>
          <w:ilvl w:val="0"/>
          <w:numId w:val="10"/>
        </w:numPr>
        <w:wordWrap/>
        <w:overflowPunct/>
        <w:topLinePunct w:val="0"/>
        <w:bidi w:val="0"/>
        <w:spacing w:beforeAutospacing="0" w:afterAutospacing="0" w:line="240" w:lineRule="auto"/>
        <w:ind w:left="0" w:leftChars="0" w:right="0" w:firstLine="452" w:firstLineChars="200"/>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胸椎按背扳肩整复手法:患者俯卧，治疗者站于胸椎棘突偏凸侧，以一手掌根部抵住偏凸棘突对侧，另一手抓住对侧肩部向后扳，使胸椎后伸扭转至极限位，然后两手协调用力，做一突发有控制地扳动，扩大扭转幅度3°~5，并向患者前上方推压辣突。</w:t>
      </w:r>
    </w:p>
    <w:p w14:paraId="67CA80D1">
      <w:pPr>
        <w:pStyle w:val="37"/>
        <w:pageBreakBefore w:val="0"/>
        <w:widowControl/>
        <w:numPr>
          <w:ilvl w:val="0"/>
          <w:numId w:val="10"/>
        </w:numPr>
        <w:wordWrap/>
        <w:overflowPunct/>
        <w:topLinePunct w:val="0"/>
        <w:bidi w:val="0"/>
        <w:spacing w:beforeAutospacing="0" w:afterAutospacing="0" w:line="240" w:lineRule="auto"/>
        <w:ind w:left="0" w:leftChars="0" w:right="0" w:firstLine="452" w:firstLineChars="200"/>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胸椎调横正骨手法:以左侧为例，左手从患者肩上穿腋下，置于左胸背部，右手从后背腋下穿过，紧握患者右手腕部，患者双手在其颈部交叉握住，医者之胸紧贴患者之背部，待患者充分放松，向左侧外展上提患者双肩，使患者挺胸，医者有固定感时突然发力向左侧上方外展上提，此时可听到胸椎部的弹响声，右侧则相反。</w:t>
      </w:r>
    </w:p>
    <w:p w14:paraId="21D018A0">
      <w:pPr>
        <w:pStyle w:val="37"/>
        <w:pageBreakBefore w:val="0"/>
        <w:widowControl/>
        <w:numPr>
          <w:ilvl w:val="0"/>
          <w:numId w:val="10"/>
        </w:numPr>
        <w:wordWrap/>
        <w:overflowPunct/>
        <w:topLinePunct w:val="0"/>
        <w:bidi w:val="0"/>
        <w:spacing w:beforeAutospacing="0" w:afterAutospacing="0" w:line="240" w:lineRule="auto"/>
        <w:ind w:left="0" w:leftChars="0" w:right="0" w:firstLine="452" w:firstLineChars="200"/>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腰部斜扳手法:患者取侧卧位，卧侧下肢自然伸直，上侧下肢屈髋屈膝自然放于卧侧小腿上。治疗者站立其面前，以一手或肘抵住其肩前部，另一手或肘抵于臀部。两手或两肘同时协调做反向用力，先做5~8次腰部小幅度的扭转活动，使腰部形成连续的小幅度扭转而放松。待腰部完全放松后，再使腰部扭转至有明显阻力位时，略停片刻，然后施以“巧力寸劲”，做一个突发的、增大幅度的快速扳动，常可闻及“喀喀”的弹响声。</w:t>
      </w:r>
    </w:p>
    <w:p w14:paraId="4751D1EE">
      <w:pPr>
        <w:pStyle w:val="37"/>
        <w:pageBreakBefore w:val="0"/>
        <w:widowControl/>
        <w:numPr>
          <w:ilvl w:val="0"/>
          <w:numId w:val="10"/>
        </w:numPr>
        <w:wordWrap/>
        <w:overflowPunct/>
        <w:topLinePunct w:val="0"/>
        <w:bidi w:val="0"/>
        <w:spacing w:beforeAutospacing="0" w:afterAutospacing="0" w:line="240" w:lineRule="auto"/>
        <w:ind w:left="0" w:leftChars="0" w:right="0" w:firstLine="452" w:firstLineChars="200"/>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推腰扳腿手法:患者取健侧卧位，术者立于患者身后，以一手掌顶推患部腰椎向前，另一手臂从膝部托起患肢，先转动髋关节3~5圈，双手在协调下做反方向用力，顺势将髋关节在外展约30°位置下做后伸活动3~5次。</w:t>
      </w:r>
    </w:p>
    <w:p w14:paraId="2191D232">
      <w:pPr>
        <w:pStyle w:val="37"/>
        <w:pageBreakBefore w:val="0"/>
        <w:widowControl/>
        <w:numPr>
          <w:ilvl w:val="0"/>
          <w:numId w:val="10"/>
        </w:numPr>
        <w:wordWrap/>
        <w:overflowPunct/>
        <w:topLinePunct w:val="0"/>
        <w:bidi w:val="0"/>
        <w:spacing w:beforeAutospacing="0" w:afterAutospacing="0" w:line="240" w:lineRule="auto"/>
        <w:ind w:left="0" w:leftChars="0" w:right="0" w:firstLine="452" w:firstLineChars="200"/>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腰椎调横正骨手法:以右侧为例，患者双手上举置于脑后，助手面对患者，固定患者双腿，右手从腋下绕颈部顺势右旋，左手拇指顶于患者的右侧棘突向对侧施力，常伴随轻微弹响声;若是左侧则方向相反。</w:t>
      </w:r>
    </w:p>
    <w:p w14:paraId="3DC37BF4">
      <w:pPr>
        <w:pStyle w:val="37"/>
        <w:pageBreakBefore w:val="0"/>
        <w:widowControl/>
        <w:numPr>
          <w:ilvl w:val="0"/>
          <w:numId w:val="10"/>
        </w:numPr>
        <w:wordWrap/>
        <w:overflowPunct/>
        <w:topLinePunct w:val="0"/>
        <w:bidi w:val="0"/>
        <w:spacing w:beforeAutospacing="0" w:afterAutospacing="0" w:line="240" w:lineRule="auto"/>
        <w:ind w:left="0" w:leftChars="0" w:right="0" w:firstLine="452" w:firstLineChars="200"/>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屈髋屈膝冲压手法:患者仰卧位，双下肢伸直，医师站于患侧，一手抓住患侧踝部，另一手抓扶膝部，将患肢做屈髋屈膝动作。在屈髋至最大角度时，医师将扶膝之手改用前臂屈肘按压其小腿(向腹部对侧按下)，再向上、向外各按压1~2次，每按压一次，医师双手紧握踝部向下用力牵拉抖动一下。</w:t>
      </w:r>
    </w:p>
    <w:p w14:paraId="74EEB7B0">
      <w:pPr>
        <w:pStyle w:val="37"/>
        <w:pageBreakBefore w:val="0"/>
        <w:widowControl/>
        <w:numPr>
          <w:ilvl w:val="0"/>
          <w:numId w:val="10"/>
        </w:numPr>
        <w:wordWrap/>
        <w:overflowPunct/>
        <w:topLinePunct w:val="0"/>
        <w:bidi w:val="0"/>
        <w:spacing w:beforeAutospacing="0" w:afterAutospacing="0" w:line="240" w:lineRule="auto"/>
        <w:ind w:left="0" w:leftChars="0" w:right="0" w:firstLine="452" w:firstLineChars="200"/>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屈膝屈髋按压外旋外展伸膝手法:患者取仰卧位，健侧下肢伸直，助手立于健侧，双手分别紧按健侧髋、膝关节部以固定，术者站于患侧，双手分别紧握患肢踝关节及膝关节，做屈膝屈髋到最大限度时，用肘部按压患侧小腿胫前3~4次后，按压力度视患者体质及病情而定。再外旋外展髋关节后伸直患肢，上述动作连续重复2~3次。</w:t>
      </w:r>
    </w:p>
    <w:p w14:paraId="6E73F248">
      <w:pPr>
        <w:pStyle w:val="37"/>
        <w:pageBreakBefore w:val="0"/>
        <w:widowControl/>
        <w:numPr>
          <w:ilvl w:val="0"/>
          <w:numId w:val="10"/>
        </w:numPr>
        <w:wordWrap/>
        <w:overflowPunct/>
        <w:topLinePunct w:val="0"/>
        <w:bidi w:val="0"/>
        <w:spacing w:beforeAutospacing="0" w:afterAutospacing="0" w:line="240" w:lineRule="auto"/>
        <w:ind w:left="0" w:leftChars="0" w:right="0" w:firstLine="452" w:firstLineChars="200"/>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屈髋屈膝蹬足手法:患者取仰卧位。术者一手紧握患侧下肢踝关节后方，一手扶住膝关节上方，使其在屈髋屈膝最大限度时，用力快速向下拔伸。重复3次。</w:t>
      </w:r>
    </w:p>
    <w:p w14:paraId="067C9E00">
      <w:pPr>
        <w:pStyle w:val="73"/>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eastAsia="en-US"/>
        </w:rPr>
        <w:t>柔筋衡脊功法</w:t>
      </w:r>
      <w:r>
        <w:rPr>
          <w:rFonts w:hint="eastAsia" w:ascii="宋体" w:hAnsi="宋体" w:eastAsia="宋体" w:cs="宋体"/>
          <w:color w:val="000000"/>
          <w:spacing w:val="8"/>
          <w:kern w:val="0"/>
          <w:sz w:val="21"/>
          <w:szCs w:val="21"/>
          <w:lang w:eastAsia="zh-CN"/>
        </w:rPr>
        <w:t>，</w:t>
      </w:r>
      <w:r>
        <w:rPr>
          <w:rFonts w:hint="eastAsia" w:ascii="宋体" w:eastAsia="宋体"/>
          <w:lang w:val="en-US" w:eastAsia="en-US"/>
        </w:rPr>
        <w:t>具体手法介绍如下:</w:t>
      </w:r>
    </w:p>
    <w:p w14:paraId="3E4A2FAD">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eastAsia="en-US"/>
        </w:rPr>
      </w:pPr>
      <w:r>
        <w:rPr>
          <w:rFonts w:hint="eastAsia" w:ascii="宋体" w:hAnsi="宋体" w:eastAsia="宋体" w:cs="宋体"/>
          <w:color w:val="000000"/>
          <w:spacing w:val="8"/>
          <w:kern w:val="0"/>
          <w:sz w:val="21"/>
          <w:szCs w:val="21"/>
          <w:lang w:eastAsia="en-US"/>
        </w:rPr>
        <w:t>通过特定的功能锻炼，针对不同侧凸类型结合姿势调整、呼吸技术、肌肉激活等多种手段恢复椎体、肋骨、双肩及骨盆的正常解剖位置，改善AIS患者在冠状面、矢状面和轴面的畸形改变。</w:t>
      </w:r>
    </w:p>
    <w:p w14:paraId="5A78D124">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eastAsia="en-US"/>
        </w:rPr>
      </w:pPr>
      <w:r>
        <w:rPr>
          <w:rFonts w:hint="eastAsia" w:ascii="宋体" w:hAnsi="宋体" w:eastAsia="宋体" w:cs="宋体"/>
          <w:color w:val="000000"/>
          <w:spacing w:val="8"/>
          <w:kern w:val="0"/>
          <w:sz w:val="21"/>
          <w:szCs w:val="21"/>
          <w:lang w:eastAsia="en-US"/>
        </w:rPr>
        <w:t>由准备部分、治疗部分、结束部分组成：准备部分包括调息训练放松患者脊柱两侧肌肉，尤其松解由于脊柱侧弯顶椎区挛缩的肌肉；治疗部分包强脊训练（强脊式、通调式、理筋式）、脊正训练（束肩推脊训练、推脊降臀训练、推脊提臀训练、束脊降臀训练），功能锻炼符合中医“整体-局部-整体”的观治疗理念</w:t>
      </w:r>
      <w:r>
        <w:rPr>
          <w:rFonts w:hint="eastAsia" w:ascii="宋体" w:hAnsi="宋体" w:eastAsia="宋体" w:cs="宋体"/>
          <w:color w:val="000000"/>
          <w:spacing w:val="8"/>
          <w:kern w:val="0"/>
          <w:sz w:val="21"/>
          <w:szCs w:val="21"/>
          <w:lang w:eastAsia="zh-CN"/>
        </w:rPr>
        <w:t>（</w:t>
      </w:r>
      <w:r>
        <w:rPr>
          <w:rFonts w:hint="eastAsia" w:ascii="宋体" w:hAnsi="宋体" w:eastAsia="宋体" w:cs="宋体"/>
          <w:color w:val="000000"/>
          <w:spacing w:val="8"/>
          <w:kern w:val="0"/>
          <w:sz w:val="21"/>
          <w:szCs w:val="21"/>
          <w:lang w:eastAsia="en-US"/>
        </w:rPr>
        <w:t>如下表</w:t>
      </w:r>
      <w:r>
        <w:rPr>
          <w:rFonts w:hint="eastAsia" w:ascii="宋体" w:hAnsi="宋体" w:eastAsia="宋体" w:cs="宋体"/>
          <w:color w:val="000000"/>
          <w:spacing w:val="8"/>
          <w:kern w:val="0"/>
          <w:sz w:val="21"/>
          <w:szCs w:val="21"/>
          <w:lang w:val="en-US" w:eastAsia="zh-CN"/>
        </w:rPr>
        <w:t>2</w:t>
      </w:r>
      <w:r>
        <w:rPr>
          <w:rFonts w:hint="eastAsia" w:ascii="宋体" w:hAnsi="宋体" w:eastAsia="宋体" w:cs="宋体"/>
          <w:color w:val="000000"/>
          <w:spacing w:val="8"/>
          <w:kern w:val="0"/>
          <w:sz w:val="21"/>
          <w:szCs w:val="21"/>
          <w:lang w:eastAsia="en-US"/>
        </w:rPr>
        <w:t>所示,柔筋衡脊功法操概况</w:t>
      </w:r>
      <w:r>
        <w:rPr>
          <w:rFonts w:hint="eastAsia" w:ascii="宋体" w:hAnsi="宋体" w:eastAsia="宋体" w:cs="宋体"/>
          <w:color w:val="000000"/>
          <w:spacing w:val="8"/>
          <w:kern w:val="0"/>
          <w:sz w:val="21"/>
          <w:szCs w:val="21"/>
          <w:lang w:eastAsia="zh-CN"/>
        </w:rPr>
        <w:t>）</w:t>
      </w:r>
      <w:r>
        <w:rPr>
          <w:rFonts w:hint="eastAsia" w:ascii="宋体" w:hAnsi="宋体" w:eastAsia="宋体" w:cs="宋体"/>
          <w:color w:val="000000"/>
          <w:spacing w:val="8"/>
          <w:kern w:val="0"/>
          <w:sz w:val="21"/>
          <w:szCs w:val="21"/>
          <w:lang w:eastAsia="en-US"/>
        </w:rPr>
        <w:t>。</w:t>
      </w:r>
    </w:p>
    <w:p w14:paraId="5D161F53">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eastAsia="en-US"/>
        </w:rPr>
      </w:pPr>
    </w:p>
    <w:p w14:paraId="3A8DC00B">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center"/>
        <w:textAlignment w:val="auto"/>
        <w:rPr>
          <w:rFonts w:hint="eastAsia" w:ascii="宋体" w:hAnsi="宋体" w:eastAsia="宋体" w:cs="宋体"/>
          <w:color w:val="000000"/>
          <w:spacing w:val="8"/>
          <w:kern w:val="0"/>
          <w:sz w:val="21"/>
          <w:szCs w:val="21"/>
          <w:lang w:eastAsia="en-US"/>
        </w:rPr>
      </w:pPr>
      <w:r>
        <w:rPr>
          <w:rFonts w:hint="eastAsia" w:ascii="宋体" w:hAnsi="宋体" w:eastAsia="宋体" w:cs="宋体"/>
          <w:color w:val="000000"/>
          <w:spacing w:val="8"/>
          <w:kern w:val="0"/>
          <w:sz w:val="21"/>
          <w:szCs w:val="21"/>
          <w:lang w:eastAsia="en-US"/>
        </w:rPr>
        <w:t>表</w:t>
      </w:r>
      <w:r>
        <w:rPr>
          <w:rFonts w:hint="eastAsia" w:ascii="宋体" w:hAnsi="宋体" w:eastAsia="宋体" w:cs="宋体"/>
          <w:color w:val="000000"/>
          <w:spacing w:val="8"/>
          <w:kern w:val="0"/>
          <w:sz w:val="21"/>
          <w:szCs w:val="21"/>
          <w:lang w:val="en-US" w:eastAsia="zh-CN"/>
        </w:rPr>
        <w:t>2</w:t>
      </w:r>
      <w:r>
        <w:rPr>
          <w:rFonts w:hint="eastAsia" w:ascii="宋体" w:hAnsi="宋体" w:eastAsia="宋体" w:cs="宋体"/>
          <w:color w:val="000000"/>
          <w:spacing w:val="8"/>
          <w:kern w:val="0"/>
          <w:sz w:val="21"/>
          <w:szCs w:val="21"/>
          <w:lang w:eastAsia="en-US"/>
        </w:rPr>
        <w:t xml:space="preserve"> 柔筋衡脊功法概况</w:t>
      </w:r>
    </w:p>
    <w:tbl>
      <w:tblPr>
        <w:tblStyle w:val="20"/>
        <w:tblW w:w="9364" w:type="dxa"/>
        <w:jc w:val="center"/>
        <w:tblLayout w:type="fixed"/>
        <w:tblCellMar>
          <w:top w:w="0" w:type="dxa"/>
          <w:left w:w="0" w:type="dxa"/>
          <w:bottom w:w="0" w:type="dxa"/>
          <w:right w:w="0" w:type="dxa"/>
        </w:tblCellMar>
      </w:tblPr>
      <w:tblGrid>
        <w:gridCol w:w="2264"/>
        <w:gridCol w:w="1601"/>
        <w:gridCol w:w="3241"/>
        <w:gridCol w:w="2257"/>
      </w:tblGrid>
      <w:tr w14:paraId="449CB763">
        <w:tblPrEx>
          <w:tblCellMar>
            <w:top w:w="0" w:type="dxa"/>
            <w:left w:w="0" w:type="dxa"/>
            <w:bottom w:w="0" w:type="dxa"/>
            <w:right w:w="0" w:type="dxa"/>
          </w:tblCellMar>
        </w:tblPrEx>
        <w:trPr>
          <w:tblHeader/>
          <w:jc w:val="center"/>
        </w:trPr>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4064B">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rPr>
            </w:pPr>
            <w:r>
              <w:rPr>
                <w:rFonts w:hint="eastAsia" w:ascii="宋体" w:hAnsi="宋体" w:eastAsia="宋体" w:cs="宋体"/>
                <w:color w:val="000000"/>
                <w:spacing w:val="8"/>
                <w:kern w:val="0"/>
                <w:sz w:val="18"/>
                <w:szCs w:val="18"/>
                <w:lang w:val="en-US" w:eastAsia="zh-CN"/>
              </w:rPr>
              <w:t>部分（三部）</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928A0">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rPr>
            </w:pPr>
            <w:r>
              <w:rPr>
                <w:rFonts w:hint="eastAsia" w:ascii="宋体" w:hAnsi="宋体" w:eastAsia="宋体" w:cs="宋体"/>
                <w:color w:val="000000"/>
                <w:spacing w:val="8"/>
                <w:kern w:val="0"/>
                <w:sz w:val="18"/>
                <w:szCs w:val="18"/>
                <w:lang w:val="en-US" w:eastAsia="zh-CN"/>
              </w:rPr>
              <w:t>三势</w:t>
            </w:r>
          </w:p>
        </w:tc>
        <w:tc>
          <w:tcPr>
            <w:tcW w:w="3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AE7C6">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rPr>
            </w:pPr>
            <w:r>
              <w:rPr>
                <w:rFonts w:hint="eastAsia" w:ascii="宋体" w:hAnsi="宋体" w:eastAsia="宋体" w:cs="宋体"/>
                <w:color w:val="000000"/>
                <w:spacing w:val="8"/>
                <w:kern w:val="0"/>
                <w:sz w:val="18"/>
                <w:szCs w:val="18"/>
                <w:lang w:val="en-US" w:eastAsia="zh-CN"/>
              </w:rPr>
              <w:t>区域（三区）</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6AE4B">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rPr>
            </w:pPr>
            <w:r>
              <w:rPr>
                <w:rFonts w:hint="eastAsia" w:ascii="宋体" w:hAnsi="宋体" w:eastAsia="宋体" w:cs="宋体"/>
                <w:color w:val="000000"/>
                <w:spacing w:val="8"/>
                <w:kern w:val="0"/>
                <w:sz w:val="18"/>
                <w:szCs w:val="18"/>
                <w:lang w:val="en-US" w:eastAsia="zh-CN"/>
              </w:rPr>
              <w:t>练功部分</w:t>
            </w:r>
          </w:p>
        </w:tc>
      </w:tr>
      <w:tr w14:paraId="435CB298">
        <w:tblPrEx>
          <w:tblCellMar>
            <w:top w:w="0" w:type="dxa"/>
            <w:left w:w="0" w:type="dxa"/>
            <w:bottom w:w="0" w:type="dxa"/>
            <w:right w:w="0" w:type="dxa"/>
          </w:tblCellMar>
        </w:tblPrEx>
        <w:trPr>
          <w:jc w:val="center"/>
        </w:trPr>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1FEA9">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rPr>
            </w:pPr>
            <w:r>
              <w:rPr>
                <w:rFonts w:hint="eastAsia" w:ascii="宋体" w:hAnsi="宋体" w:eastAsia="宋体" w:cs="宋体"/>
                <w:color w:val="000000"/>
                <w:spacing w:val="8"/>
                <w:kern w:val="0"/>
                <w:sz w:val="18"/>
                <w:szCs w:val="18"/>
                <w:lang w:val="en-US" w:eastAsia="zh-CN"/>
              </w:rPr>
              <w:t>准备部分</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1948D">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rPr>
            </w:pPr>
            <w:r>
              <w:rPr>
                <w:rFonts w:hint="eastAsia" w:ascii="宋体" w:hAnsi="宋体" w:eastAsia="宋体" w:cs="宋体"/>
                <w:color w:val="000000"/>
                <w:spacing w:val="8"/>
                <w:kern w:val="0"/>
                <w:sz w:val="18"/>
                <w:szCs w:val="18"/>
                <w:lang w:val="en-US" w:eastAsia="zh-CN"/>
              </w:rPr>
              <w:t>调息训练</w:t>
            </w:r>
          </w:p>
        </w:tc>
        <w:tc>
          <w:tcPr>
            <w:tcW w:w="3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ECB30">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rPr>
            </w:pP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BF641">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rPr>
            </w:pPr>
            <w:r>
              <w:rPr>
                <w:rFonts w:hint="eastAsia" w:ascii="宋体" w:hAnsi="宋体" w:eastAsia="宋体" w:cs="宋体"/>
                <w:color w:val="000000"/>
                <w:spacing w:val="8"/>
                <w:kern w:val="0"/>
                <w:sz w:val="18"/>
                <w:szCs w:val="18"/>
                <w:lang w:val="en-US" w:eastAsia="zh-CN"/>
              </w:rPr>
              <w:t>调息训练</w:t>
            </w:r>
          </w:p>
        </w:tc>
      </w:tr>
      <w:tr w14:paraId="4F7CE20D">
        <w:tblPrEx>
          <w:tblCellMar>
            <w:top w:w="0" w:type="dxa"/>
            <w:left w:w="0" w:type="dxa"/>
            <w:bottom w:w="0" w:type="dxa"/>
            <w:right w:w="0" w:type="dxa"/>
          </w:tblCellMar>
        </w:tblPrEx>
        <w:trPr>
          <w:jc w:val="center"/>
        </w:trPr>
        <w:tc>
          <w:tcPr>
            <w:tcW w:w="22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4BCB70">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rPr>
            </w:pPr>
            <w:r>
              <w:rPr>
                <w:rFonts w:hint="eastAsia" w:ascii="宋体" w:hAnsi="宋体" w:eastAsia="宋体" w:cs="宋体"/>
                <w:color w:val="000000"/>
                <w:spacing w:val="8"/>
                <w:kern w:val="0"/>
                <w:sz w:val="18"/>
                <w:szCs w:val="18"/>
                <w:lang w:val="en-US" w:eastAsia="zh-CN"/>
              </w:rPr>
              <w:t>治疗部份</w:t>
            </w:r>
          </w:p>
        </w:tc>
        <w:tc>
          <w:tcPr>
            <w:tcW w:w="16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3E767B">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rPr>
            </w:pPr>
            <w:r>
              <w:rPr>
                <w:rFonts w:hint="eastAsia" w:ascii="宋体" w:hAnsi="宋体" w:eastAsia="宋体" w:cs="宋体"/>
                <w:color w:val="000000"/>
                <w:spacing w:val="8"/>
                <w:kern w:val="0"/>
                <w:sz w:val="18"/>
                <w:szCs w:val="18"/>
                <w:lang w:val="en-US" w:eastAsia="zh-CN"/>
              </w:rPr>
              <w:t>强脊训练</w:t>
            </w:r>
          </w:p>
        </w:tc>
        <w:tc>
          <w:tcPr>
            <w:tcW w:w="32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C18C99">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rPr>
            </w:pPr>
            <w:r>
              <w:rPr>
                <w:rFonts w:hint="eastAsia" w:ascii="宋体" w:hAnsi="宋体" w:eastAsia="宋体" w:cs="宋体"/>
                <w:color w:val="000000"/>
                <w:spacing w:val="8"/>
                <w:kern w:val="0"/>
                <w:sz w:val="18"/>
                <w:szCs w:val="18"/>
                <w:lang w:val="en-US" w:eastAsia="zh-CN"/>
              </w:rPr>
              <w:t>全脊柱</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CE798">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rPr>
            </w:pPr>
            <w:r>
              <w:rPr>
                <w:rFonts w:hint="eastAsia" w:ascii="宋体" w:hAnsi="宋体" w:eastAsia="宋体" w:cs="宋体"/>
                <w:color w:val="000000"/>
                <w:spacing w:val="8"/>
                <w:kern w:val="0"/>
                <w:sz w:val="18"/>
                <w:szCs w:val="18"/>
                <w:lang w:val="en-US" w:eastAsia="zh-CN"/>
              </w:rPr>
              <w:t>强脊式</w:t>
            </w:r>
          </w:p>
        </w:tc>
      </w:tr>
      <w:tr w14:paraId="14EE24D9">
        <w:tblPrEx>
          <w:tblCellMar>
            <w:top w:w="0" w:type="dxa"/>
            <w:left w:w="0" w:type="dxa"/>
            <w:bottom w:w="0" w:type="dxa"/>
            <w:right w:w="0" w:type="dxa"/>
          </w:tblCellMar>
        </w:tblPrEx>
        <w:trPr>
          <w:jc w:val="center"/>
        </w:trPr>
        <w:tc>
          <w:tcPr>
            <w:tcW w:w="22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C20CAB">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rPr>
            </w:pPr>
          </w:p>
        </w:tc>
        <w:tc>
          <w:tcPr>
            <w:tcW w:w="1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BD7702">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rPr>
            </w:pPr>
          </w:p>
        </w:tc>
        <w:tc>
          <w:tcPr>
            <w:tcW w:w="32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50B9B4">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rPr>
            </w:pP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1F3F3">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rPr>
            </w:pPr>
            <w:r>
              <w:rPr>
                <w:rFonts w:hint="eastAsia" w:ascii="宋体" w:hAnsi="宋体" w:eastAsia="宋体" w:cs="宋体"/>
                <w:color w:val="000000"/>
                <w:spacing w:val="8"/>
                <w:kern w:val="0"/>
                <w:sz w:val="18"/>
                <w:szCs w:val="18"/>
                <w:lang w:val="en-US" w:eastAsia="zh-CN"/>
              </w:rPr>
              <w:t>通调式</w:t>
            </w:r>
          </w:p>
        </w:tc>
      </w:tr>
      <w:tr w14:paraId="32458FBF">
        <w:tblPrEx>
          <w:tblCellMar>
            <w:top w:w="0" w:type="dxa"/>
            <w:left w:w="0" w:type="dxa"/>
            <w:bottom w:w="0" w:type="dxa"/>
            <w:right w:w="0" w:type="dxa"/>
          </w:tblCellMar>
        </w:tblPrEx>
        <w:trPr>
          <w:jc w:val="center"/>
        </w:trPr>
        <w:tc>
          <w:tcPr>
            <w:tcW w:w="22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0169B3">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rPr>
            </w:pPr>
          </w:p>
        </w:tc>
        <w:tc>
          <w:tcPr>
            <w:tcW w:w="1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E26834">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rPr>
            </w:pPr>
          </w:p>
        </w:tc>
        <w:tc>
          <w:tcPr>
            <w:tcW w:w="32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007933">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rPr>
            </w:pP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67D1E">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rPr>
            </w:pPr>
            <w:r>
              <w:rPr>
                <w:rFonts w:hint="eastAsia" w:ascii="宋体" w:hAnsi="宋体" w:eastAsia="宋体" w:cs="宋体"/>
                <w:color w:val="000000"/>
                <w:spacing w:val="8"/>
                <w:kern w:val="0"/>
                <w:sz w:val="18"/>
                <w:szCs w:val="18"/>
                <w:lang w:val="en-US" w:eastAsia="zh-CN"/>
              </w:rPr>
              <w:t>理筋式</w:t>
            </w:r>
          </w:p>
        </w:tc>
      </w:tr>
      <w:tr w14:paraId="4A1A3C43">
        <w:tblPrEx>
          <w:tblCellMar>
            <w:top w:w="0" w:type="dxa"/>
            <w:left w:w="0" w:type="dxa"/>
            <w:bottom w:w="0" w:type="dxa"/>
            <w:right w:w="0" w:type="dxa"/>
          </w:tblCellMar>
        </w:tblPrEx>
        <w:trPr>
          <w:jc w:val="center"/>
        </w:trPr>
        <w:tc>
          <w:tcPr>
            <w:tcW w:w="22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96E004">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rPr>
            </w:pPr>
          </w:p>
        </w:tc>
        <w:tc>
          <w:tcPr>
            <w:tcW w:w="16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D878BA">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rPr>
            </w:pPr>
            <w:r>
              <w:rPr>
                <w:rFonts w:hint="eastAsia" w:ascii="宋体" w:hAnsi="宋体" w:eastAsia="宋体" w:cs="宋体"/>
                <w:color w:val="000000"/>
                <w:spacing w:val="8"/>
                <w:kern w:val="0"/>
                <w:sz w:val="18"/>
                <w:szCs w:val="18"/>
                <w:lang w:val="en-US" w:eastAsia="zh-CN"/>
              </w:rPr>
              <w:t>脊正训练</w:t>
            </w:r>
          </w:p>
        </w:tc>
        <w:tc>
          <w:tcPr>
            <w:tcW w:w="3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A9FE9">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rPr>
            </w:pPr>
            <w:r>
              <w:rPr>
                <w:rFonts w:hint="eastAsia" w:ascii="宋体" w:hAnsi="宋体" w:eastAsia="宋体" w:cs="宋体"/>
                <w:color w:val="000000"/>
                <w:spacing w:val="8"/>
                <w:kern w:val="0"/>
                <w:sz w:val="18"/>
                <w:szCs w:val="18"/>
                <w:lang w:val="en-US" w:eastAsia="zh-CN"/>
              </w:rPr>
              <w:t>胸弯</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30CE6">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rPr>
            </w:pPr>
            <w:r>
              <w:rPr>
                <w:rFonts w:hint="eastAsia" w:ascii="宋体" w:hAnsi="宋体" w:eastAsia="宋体" w:cs="宋体"/>
                <w:color w:val="000000"/>
                <w:spacing w:val="8"/>
                <w:kern w:val="0"/>
                <w:sz w:val="18"/>
                <w:szCs w:val="18"/>
                <w:lang w:val="en-US" w:eastAsia="zh-CN"/>
              </w:rPr>
              <w:t>束肩推脊训练</w:t>
            </w:r>
          </w:p>
        </w:tc>
      </w:tr>
      <w:tr w14:paraId="24B75968">
        <w:tblPrEx>
          <w:tblCellMar>
            <w:top w:w="0" w:type="dxa"/>
            <w:left w:w="0" w:type="dxa"/>
            <w:bottom w:w="0" w:type="dxa"/>
            <w:right w:w="0" w:type="dxa"/>
          </w:tblCellMar>
        </w:tblPrEx>
        <w:trPr>
          <w:jc w:val="center"/>
        </w:trPr>
        <w:tc>
          <w:tcPr>
            <w:tcW w:w="22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845541">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rPr>
            </w:pPr>
          </w:p>
        </w:tc>
        <w:tc>
          <w:tcPr>
            <w:tcW w:w="1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69F33B">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rPr>
            </w:pPr>
          </w:p>
        </w:tc>
        <w:tc>
          <w:tcPr>
            <w:tcW w:w="32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5E123B">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rPr>
            </w:pPr>
            <w:r>
              <w:rPr>
                <w:rFonts w:hint="eastAsia" w:ascii="宋体" w:hAnsi="宋体" w:eastAsia="宋体" w:cs="宋体"/>
                <w:color w:val="000000"/>
                <w:spacing w:val="8"/>
                <w:kern w:val="0"/>
                <w:sz w:val="18"/>
                <w:szCs w:val="18"/>
                <w:lang w:val="en-US" w:eastAsia="zh-CN"/>
              </w:rPr>
              <w:t>胸腰弯（长胸腰弯）</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425DC">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rPr>
            </w:pPr>
            <w:r>
              <w:rPr>
                <w:rFonts w:hint="eastAsia" w:ascii="宋体" w:hAnsi="宋体" w:eastAsia="宋体" w:cs="宋体"/>
                <w:color w:val="000000"/>
                <w:spacing w:val="8"/>
                <w:kern w:val="0"/>
                <w:sz w:val="18"/>
                <w:szCs w:val="18"/>
                <w:lang w:val="en-US" w:eastAsia="zh-CN"/>
              </w:rPr>
              <w:t>推脊降臀训练</w:t>
            </w:r>
          </w:p>
        </w:tc>
      </w:tr>
      <w:tr w14:paraId="6DBFE59D">
        <w:tblPrEx>
          <w:tblCellMar>
            <w:top w:w="0" w:type="dxa"/>
            <w:left w:w="0" w:type="dxa"/>
            <w:bottom w:w="0" w:type="dxa"/>
            <w:right w:w="0" w:type="dxa"/>
          </w:tblCellMar>
        </w:tblPrEx>
        <w:trPr>
          <w:jc w:val="center"/>
        </w:trPr>
        <w:tc>
          <w:tcPr>
            <w:tcW w:w="22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FFD5F2">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rPr>
            </w:pPr>
          </w:p>
        </w:tc>
        <w:tc>
          <w:tcPr>
            <w:tcW w:w="1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4DC278">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rPr>
            </w:pPr>
          </w:p>
        </w:tc>
        <w:tc>
          <w:tcPr>
            <w:tcW w:w="32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3FD57F">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rPr>
            </w:pP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4D321">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rPr>
            </w:pPr>
            <w:r>
              <w:rPr>
                <w:rFonts w:hint="eastAsia" w:ascii="宋体" w:hAnsi="宋体" w:eastAsia="宋体" w:cs="宋体"/>
                <w:color w:val="000000"/>
                <w:spacing w:val="8"/>
                <w:kern w:val="0"/>
                <w:sz w:val="18"/>
                <w:szCs w:val="18"/>
                <w:lang w:val="en-US" w:eastAsia="zh-CN"/>
              </w:rPr>
              <w:t>推脊提臀训练</w:t>
            </w:r>
          </w:p>
        </w:tc>
      </w:tr>
      <w:tr w14:paraId="3E4E2D00">
        <w:tblPrEx>
          <w:tblCellMar>
            <w:top w:w="0" w:type="dxa"/>
            <w:left w:w="0" w:type="dxa"/>
            <w:bottom w:w="0" w:type="dxa"/>
            <w:right w:w="0" w:type="dxa"/>
          </w:tblCellMar>
        </w:tblPrEx>
        <w:trPr>
          <w:jc w:val="center"/>
        </w:trPr>
        <w:tc>
          <w:tcPr>
            <w:tcW w:w="22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9C3D48">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rPr>
            </w:pPr>
          </w:p>
        </w:tc>
        <w:tc>
          <w:tcPr>
            <w:tcW w:w="1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E5B76B">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rPr>
            </w:pPr>
          </w:p>
        </w:tc>
        <w:tc>
          <w:tcPr>
            <w:tcW w:w="3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BFA11">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rPr>
            </w:pPr>
            <w:r>
              <w:rPr>
                <w:rFonts w:hint="eastAsia" w:ascii="宋体" w:hAnsi="宋体" w:eastAsia="宋体" w:cs="宋体"/>
                <w:color w:val="000000"/>
                <w:spacing w:val="8"/>
                <w:kern w:val="0"/>
                <w:sz w:val="18"/>
                <w:szCs w:val="18"/>
                <w:lang w:val="en-US" w:eastAsia="zh-CN"/>
              </w:rPr>
              <w:t>腰弯</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A3999">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rPr>
            </w:pPr>
            <w:r>
              <w:rPr>
                <w:rFonts w:hint="eastAsia" w:ascii="宋体" w:hAnsi="宋体" w:eastAsia="宋体" w:cs="宋体"/>
                <w:color w:val="000000"/>
                <w:spacing w:val="8"/>
                <w:kern w:val="0"/>
                <w:sz w:val="18"/>
                <w:szCs w:val="18"/>
                <w:lang w:val="en-US" w:eastAsia="zh-CN"/>
              </w:rPr>
              <w:t>束脊降臀训练</w:t>
            </w:r>
          </w:p>
        </w:tc>
      </w:tr>
      <w:tr w14:paraId="51232F21">
        <w:tblPrEx>
          <w:tblCellMar>
            <w:top w:w="0" w:type="dxa"/>
            <w:left w:w="0" w:type="dxa"/>
            <w:bottom w:w="0" w:type="dxa"/>
            <w:right w:w="0" w:type="dxa"/>
          </w:tblCellMar>
        </w:tblPrEx>
        <w:trPr>
          <w:jc w:val="center"/>
        </w:trPr>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ED460">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rPr>
            </w:pPr>
            <w:r>
              <w:rPr>
                <w:rFonts w:hint="eastAsia" w:ascii="宋体" w:hAnsi="宋体" w:eastAsia="宋体" w:cs="宋体"/>
                <w:color w:val="000000"/>
                <w:spacing w:val="8"/>
                <w:kern w:val="0"/>
                <w:sz w:val="18"/>
                <w:szCs w:val="18"/>
                <w:lang w:val="en-US" w:eastAsia="zh-CN"/>
              </w:rPr>
              <w:t>结束部分</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A9002">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rPr>
            </w:pPr>
            <w:r>
              <w:rPr>
                <w:rFonts w:hint="eastAsia" w:ascii="宋体" w:hAnsi="宋体" w:eastAsia="宋体" w:cs="宋体"/>
                <w:color w:val="000000"/>
                <w:spacing w:val="8"/>
                <w:kern w:val="0"/>
                <w:sz w:val="18"/>
                <w:szCs w:val="18"/>
                <w:lang w:val="en-US" w:eastAsia="zh-CN"/>
              </w:rPr>
              <w:t>调息训练</w:t>
            </w:r>
          </w:p>
        </w:tc>
        <w:tc>
          <w:tcPr>
            <w:tcW w:w="3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EBCC9">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rPr>
            </w:pP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62833">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rPr>
            </w:pPr>
            <w:r>
              <w:rPr>
                <w:rFonts w:hint="eastAsia" w:ascii="宋体" w:hAnsi="宋体" w:eastAsia="宋体" w:cs="宋体"/>
                <w:color w:val="000000"/>
                <w:spacing w:val="8"/>
                <w:kern w:val="0"/>
                <w:sz w:val="18"/>
                <w:szCs w:val="18"/>
                <w:lang w:val="en-US" w:eastAsia="zh-CN"/>
              </w:rPr>
              <w:t>调息训练</w:t>
            </w:r>
          </w:p>
        </w:tc>
      </w:tr>
    </w:tbl>
    <w:p w14:paraId="7587AC07">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eastAsia="en-US"/>
        </w:rPr>
      </w:pPr>
    </w:p>
    <w:p w14:paraId="30A82564">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eastAsia="en-US"/>
        </w:rPr>
      </w:pPr>
      <w:r>
        <w:rPr>
          <w:rFonts w:hint="eastAsia" w:ascii="宋体" w:hAnsi="宋体" w:eastAsia="宋体" w:cs="宋体"/>
          <w:color w:val="000000"/>
          <w:spacing w:val="8"/>
          <w:kern w:val="0"/>
          <w:sz w:val="21"/>
          <w:szCs w:val="21"/>
          <w:lang w:eastAsia="en-US"/>
        </w:rPr>
        <w:t>放松训练（准备与结束部分）</w:t>
      </w:r>
    </w:p>
    <w:p w14:paraId="0E17AE46">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eastAsia="en-US"/>
        </w:rPr>
      </w:pPr>
      <w:r>
        <w:rPr>
          <w:rFonts w:hint="eastAsia" w:ascii="宋体" w:hAnsi="宋体" w:eastAsia="宋体" w:cs="宋体"/>
          <w:color w:val="000000"/>
          <w:spacing w:val="8"/>
          <w:kern w:val="0"/>
          <w:sz w:val="21"/>
          <w:szCs w:val="21"/>
          <w:lang w:eastAsia="en-US"/>
        </w:rPr>
        <w:t>调息训练：取仰卧位，采用腹式呼吸，吸气时鼓起腹部，呼气时腹部回缩，手放患者肚子上感受并提醒，12个呼吸为1组，做3组。</w:t>
      </w:r>
    </w:p>
    <w:p w14:paraId="4B239E20">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eastAsia="en-US"/>
        </w:rPr>
      </w:pPr>
      <w:r>
        <w:rPr>
          <w:rFonts w:hint="eastAsia" w:ascii="宋体" w:hAnsi="宋体" w:eastAsia="宋体" w:cs="宋体"/>
          <w:color w:val="000000"/>
          <w:spacing w:val="8"/>
          <w:kern w:val="0"/>
          <w:sz w:val="21"/>
          <w:szCs w:val="21"/>
          <w:lang w:eastAsia="en-US"/>
        </w:rPr>
        <w:t>治疗训练（强脊训练、脊正训练）</w:t>
      </w:r>
    </w:p>
    <w:p w14:paraId="3D11AA96">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eastAsia="en-US"/>
        </w:rPr>
      </w:pPr>
      <w:r>
        <w:rPr>
          <w:rFonts w:hint="eastAsia" w:ascii="宋体" w:hAnsi="宋体" w:eastAsia="宋体" w:cs="宋体"/>
          <w:color w:val="000000"/>
          <w:spacing w:val="8"/>
          <w:kern w:val="0"/>
          <w:sz w:val="21"/>
          <w:szCs w:val="21"/>
          <w:lang w:eastAsia="en-US"/>
        </w:rPr>
        <w:t>强脊训练（强脊式、通调式、理筋式）</w:t>
      </w:r>
    </w:p>
    <w:p w14:paraId="7DCCE878">
      <w:pPr>
        <w:pStyle w:val="37"/>
        <w:pageBreakBefore w:val="0"/>
        <w:widowControl/>
        <w:numPr>
          <w:ilvl w:val="0"/>
          <w:numId w:val="11"/>
        </w:numPr>
        <w:wordWrap/>
        <w:overflowPunct/>
        <w:topLinePunct w:val="0"/>
        <w:bidi w:val="0"/>
        <w:spacing w:beforeAutospacing="0" w:afterAutospacing="0" w:line="240" w:lineRule="auto"/>
        <w:ind w:left="0" w:leftChars="0" w:right="0" w:firstLine="452" w:firstLineChars="200"/>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强脊式：俯卧位，脸部朝下，双臂以肩关节为支撑点，轻轻抬起， 手臂向上的同时轻轻抬头，双肩向后向上收起。与此同时，双脚轻轻抬起，腰底部肌肉收缩，尽量让肋骨和腹部支撑身体，10秒为一个动作，然后放松肌肉，四肢和头部回归原位休息3-5秒。12次/组，做3～5组。</w:t>
      </w:r>
    </w:p>
    <w:p w14:paraId="1634F471">
      <w:pPr>
        <w:pStyle w:val="37"/>
        <w:pageBreakBefore w:val="0"/>
        <w:widowControl/>
        <w:numPr>
          <w:ilvl w:val="0"/>
          <w:numId w:val="11"/>
        </w:numPr>
        <w:wordWrap/>
        <w:overflowPunct/>
        <w:topLinePunct w:val="0"/>
        <w:bidi w:val="0"/>
        <w:spacing w:beforeAutospacing="0" w:afterAutospacing="0" w:line="240" w:lineRule="auto"/>
        <w:ind w:left="0" w:leftChars="0" w:right="0" w:firstLine="452" w:firstLineChars="200"/>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通调式：取跪姿，四肢着地，双手放于肩膀正下方，双膝放于臀部正下方，保持背部平直。同时伸展一侧的手臂和对侧的腿，尽量保持两者在一条直线上，保持躯干稳定。伸展持续8-10秒，然后慢慢回到起始姿势。然后换另一侧进行相同动作。12次/组，做3～5组。</w:t>
      </w:r>
    </w:p>
    <w:p w14:paraId="1AFF8FC5">
      <w:pPr>
        <w:pStyle w:val="37"/>
        <w:pageBreakBefore w:val="0"/>
        <w:widowControl/>
        <w:numPr>
          <w:ilvl w:val="0"/>
          <w:numId w:val="11"/>
        </w:numPr>
        <w:wordWrap/>
        <w:overflowPunct/>
        <w:topLinePunct w:val="0"/>
        <w:bidi w:val="0"/>
        <w:spacing w:beforeAutospacing="0" w:afterAutospacing="0" w:line="240" w:lineRule="auto"/>
        <w:ind w:left="0" w:leftChars="0" w:right="0" w:firstLine="452" w:firstLineChars="200"/>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理筋式：俯卧位，腰部发力，手臂往前伸，同侧手臂与侧脸夹角呈45°，上半身微微抬起。伴随呼吸手臂回收，双侧前臂与侧脸平行，上臂与驱赶夹角呈45°，上背发力，肩胛骨收紧，将肩膀往下往后拉。随后手臂略微放松到V字型，手臂全程不触碰地面。12次/组，做3～5组。</w:t>
      </w:r>
    </w:p>
    <w:p w14:paraId="23E3972C">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eastAsia="en-US"/>
        </w:rPr>
      </w:pPr>
      <w:r>
        <w:rPr>
          <w:rFonts w:hint="eastAsia" w:ascii="宋体" w:hAnsi="宋体" w:eastAsia="宋体" w:cs="宋体"/>
          <w:color w:val="000000"/>
          <w:spacing w:val="8"/>
          <w:kern w:val="0"/>
          <w:sz w:val="21"/>
          <w:szCs w:val="21"/>
          <w:lang w:eastAsia="en-US"/>
        </w:rPr>
        <w:t>脊正训练（束肩推脊训练、推脊降臀训练、束脊降臀训练，训练过程需要配合室内训练架或肋目架、凳子等辅助道具。）</w:t>
      </w:r>
    </w:p>
    <w:p w14:paraId="2C4E4F41">
      <w:pPr>
        <w:pStyle w:val="37"/>
        <w:pageBreakBefore w:val="0"/>
        <w:widowControl/>
        <w:numPr>
          <w:ilvl w:val="0"/>
          <w:numId w:val="12"/>
        </w:numPr>
        <w:wordWrap/>
        <w:overflowPunct/>
        <w:topLinePunct w:val="0"/>
        <w:bidi w:val="0"/>
        <w:spacing w:beforeAutospacing="0" w:afterAutospacing="0" w:line="240" w:lineRule="auto"/>
        <w:ind w:left="0" w:leftChars="0" w:right="0" w:firstLine="452" w:firstLineChars="200"/>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束肩推脊训练：（以胸弯右凸为例），患者双膝打开，稳坐在肋木前的凳子上，双前臂向上抓紧上方的肋木，保持双肩水平，躯干和头部保持轴向一致，移动躯干向左侧运动至最大位置保持10～15秒，放松躯干回至原位休息3～5秒，重复以上动作，10次/组每次练习3～5组。</w:t>
      </w:r>
    </w:p>
    <w:p w14:paraId="5B9B9AE7">
      <w:pPr>
        <w:pStyle w:val="37"/>
        <w:pageBreakBefore w:val="0"/>
        <w:widowControl/>
        <w:numPr>
          <w:ilvl w:val="0"/>
          <w:numId w:val="12"/>
        </w:numPr>
        <w:wordWrap/>
        <w:overflowPunct/>
        <w:topLinePunct w:val="0"/>
        <w:bidi w:val="0"/>
        <w:spacing w:beforeAutospacing="0" w:afterAutospacing="0" w:line="240" w:lineRule="auto"/>
        <w:ind w:left="0" w:leftChars="0" w:right="0" w:firstLine="452" w:firstLineChars="200"/>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推脊降臀训练：（以胸腰弯左凸为例），患者双膝打开，稳坐在肋木前的凳子上，双前臂向上抓紧上方的肋木，臀部向左调正位置使左侧臀部完全悬空，后伸左下肢使左侧大腿面与躯干呈一条轴线，同时移动躯干向左侧运动至最大位置保持10～15秒，放松躯干回至原位休息3～5秒，重复以上动作，10次/组每次练习3～5组。</w:t>
      </w:r>
    </w:p>
    <w:p w14:paraId="185AF6BD">
      <w:pPr>
        <w:pStyle w:val="37"/>
        <w:pageBreakBefore w:val="0"/>
        <w:widowControl/>
        <w:numPr>
          <w:ilvl w:val="0"/>
          <w:numId w:val="12"/>
        </w:numPr>
        <w:wordWrap/>
        <w:overflowPunct/>
        <w:topLinePunct w:val="0"/>
        <w:bidi w:val="0"/>
        <w:spacing w:beforeAutospacing="0" w:afterAutospacing="0" w:line="240" w:lineRule="auto"/>
        <w:ind w:left="0" w:leftChars="0" w:right="0" w:firstLine="452" w:firstLineChars="200"/>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推脊提臀训练：（以腰弯左凸为例）患者翘起左侧腿并搭于另一侧腿上，稳坐在肋木前的凳子上，双手抓紧前方的肋木；随后，将左臀部向右调整位置，使左侧臀部完全悬空，同时患者主动移动腰段至其最大位置（固定上半身），并在该位置保持静态姿势10至15秒；之后，患者放松躯干，缓慢回至起始位置休息3至5秒；此动作需重复10次为1组，每次练习进行3至5组。</w:t>
      </w:r>
    </w:p>
    <w:p w14:paraId="2A4D8B22">
      <w:pPr>
        <w:pStyle w:val="37"/>
        <w:pageBreakBefore w:val="0"/>
        <w:widowControl/>
        <w:numPr>
          <w:ilvl w:val="0"/>
          <w:numId w:val="12"/>
        </w:numPr>
        <w:wordWrap/>
        <w:overflowPunct/>
        <w:topLinePunct w:val="0"/>
        <w:bidi w:val="0"/>
        <w:spacing w:beforeAutospacing="0" w:afterAutospacing="0" w:line="240" w:lineRule="auto"/>
        <w:ind w:left="0" w:leftChars="0" w:right="0" w:firstLine="452" w:firstLineChars="200"/>
        <w:textAlignment w:val="auto"/>
        <w:rPr>
          <w:rFonts w:hint="eastAsia" w:ascii="宋体" w:hAnsi="宋体" w:eastAsia="宋体" w:cs="宋体"/>
          <w:color w:val="000000"/>
          <w:spacing w:val="8"/>
          <w:kern w:val="0"/>
          <w:sz w:val="21"/>
          <w:szCs w:val="21"/>
          <w:lang w:eastAsia="en-US"/>
        </w:rPr>
      </w:pPr>
      <w:r>
        <w:rPr>
          <w:rFonts w:hint="eastAsia" w:ascii="宋体" w:hAnsi="宋体" w:eastAsia="宋体" w:cs="宋体"/>
          <w:color w:val="000000"/>
          <w:spacing w:val="8"/>
          <w:kern w:val="0"/>
          <w:sz w:val="21"/>
          <w:szCs w:val="21"/>
          <w:lang w:val="en-US" w:eastAsia="en-US" w:bidi="ar-SA"/>
        </w:rPr>
        <w:t>束脊降臀训练：（以腰弯左凸为例），患者双膝打开，稳坐在肋木前的凳子上，双前臂向上抓紧上方的肋木，保持双肩水平，躯干和头部保持轴向一致，臀部向左调正位置使左侧臀部完全悬空，后伸右下肢使左侧大腿面与躯干呈一条轴线，保持10～15秒，放松躯干回至原位休息3～5秒，重复以上动作，10次/组每次练习3～5组。</w:t>
      </w:r>
    </w:p>
    <w:p w14:paraId="0A581EF1">
      <w:pPr>
        <w:pStyle w:val="71"/>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黑体" w:hAnsi="黑体" w:eastAsia="黑体" w:cs="黑体"/>
          <w:lang w:val="en-US" w:eastAsia="en-US"/>
        </w:rPr>
      </w:pPr>
      <w:r>
        <w:rPr>
          <w:rFonts w:hint="eastAsia" w:ascii="黑体" w:hAnsi="黑体" w:eastAsia="黑体" w:cs="黑体"/>
          <w:lang w:val="en-US" w:eastAsia="en-US"/>
        </w:rPr>
        <w:t xml:space="preserve">施术后处理 </w:t>
      </w:r>
    </w:p>
    <w:p w14:paraId="39B1BADC">
      <w:pPr>
        <w:pageBreakBefore w:val="0"/>
        <w:widowControl/>
        <w:wordWrap/>
        <w:overflowPunct/>
        <w:topLinePunct w:val="0"/>
        <w:bidi w:val="0"/>
        <w:adjustRightInd w:val="0"/>
        <w:spacing w:beforeAutospacing="0" w:afterAutospacing="0" w:line="240" w:lineRule="auto"/>
        <w:ind w:left="0" w:leftChars="0" w:right="0" w:firstLine="452" w:firstLineChars="200"/>
        <w:jc w:val="left"/>
        <w:textAlignment w:val="auto"/>
        <w:rPr>
          <w:rFonts w:hint="eastAsia" w:ascii="宋体" w:hAnsi="宋体" w:eastAsia="宋体" w:cs="宋体"/>
          <w:color w:val="000000"/>
          <w:kern w:val="0"/>
          <w:sz w:val="21"/>
          <w:szCs w:val="21"/>
          <w:lang w:bidi="ar"/>
        </w:rPr>
      </w:pPr>
      <w:r>
        <w:rPr>
          <w:rFonts w:hint="eastAsia" w:ascii="宋体" w:hAnsi="宋体" w:eastAsia="宋体" w:cs="宋体"/>
          <w:color w:val="000000"/>
          <w:spacing w:val="8"/>
          <w:kern w:val="0"/>
          <w:sz w:val="21"/>
          <w:szCs w:val="21"/>
          <w:lang w:eastAsia="en-US"/>
        </w:rPr>
        <w:t>受术者宜短暂休息5～10分钟，</w:t>
      </w:r>
      <w:r>
        <w:rPr>
          <w:rFonts w:hint="eastAsia" w:ascii="宋体" w:hAnsi="宋体" w:eastAsia="宋体" w:cs="宋体"/>
          <w:color w:val="000000"/>
          <w:spacing w:val="8"/>
          <w:kern w:val="0"/>
          <w:sz w:val="21"/>
          <w:szCs w:val="21"/>
          <w:lang w:val="en-US" w:eastAsia="zh-CN"/>
        </w:rPr>
        <w:t>应用中医适宜技术帮助患者放松腰背部肌肉</w:t>
      </w:r>
      <w:r>
        <w:rPr>
          <w:rFonts w:hint="eastAsia" w:ascii="宋体" w:hAnsi="宋体" w:eastAsia="宋体" w:cs="宋体"/>
          <w:color w:val="000000"/>
          <w:spacing w:val="8"/>
          <w:kern w:val="0"/>
          <w:sz w:val="21"/>
          <w:szCs w:val="21"/>
          <w:lang w:eastAsia="en-US"/>
        </w:rPr>
        <w:t>嘱受术者注意局部保暖</w:t>
      </w:r>
      <w:r>
        <w:rPr>
          <w:rFonts w:hint="eastAsia" w:ascii="宋体" w:hAnsi="宋体" w:eastAsia="宋体" w:cs="宋体"/>
          <w:color w:val="000000"/>
          <w:kern w:val="0"/>
          <w:sz w:val="21"/>
          <w:szCs w:val="21"/>
          <w:lang w:bidi="ar"/>
        </w:rPr>
        <w:t>。</w:t>
      </w:r>
    </w:p>
    <w:p w14:paraId="743E0060">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eastAsia="en-US"/>
        </w:rPr>
      </w:pPr>
      <w:r>
        <w:rPr>
          <w:rFonts w:hint="eastAsia" w:ascii="宋体" w:hAnsi="宋体" w:eastAsia="宋体" w:cs="宋体"/>
          <w:color w:val="000000"/>
          <w:spacing w:val="8"/>
          <w:kern w:val="0"/>
          <w:sz w:val="21"/>
          <w:szCs w:val="21"/>
          <w:lang w:eastAsia="en-US"/>
        </w:rPr>
        <w:t>中医适宜技术：每次治疗结束后,我们会对患者进行中医特色治疗，温灸刮痧是以经脉腧穴理论为基础，同时将针刺、艾灸、刮痧、推拿等方法有机地结合在一起的疗法。在体表一定部位反复刮动，使局部出现痧斑，再通过艾的温热和药力作用刺激经络、穴位或病痛部位，达到温经散寒、驱邪外出，疏通经络，扶阳固脱，活血化瘀，和谐脏腑，使治疗效果显著。</w:t>
      </w:r>
    </w:p>
    <w:p w14:paraId="6E931283">
      <w:pPr>
        <w:pStyle w:val="71"/>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黑体" w:hAnsi="黑体" w:eastAsia="黑体" w:cs="黑体"/>
          <w:lang w:val="en-US" w:eastAsia="en-US"/>
        </w:rPr>
      </w:pPr>
      <w:r>
        <w:rPr>
          <w:rFonts w:hint="eastAsia" w:ascii="黑体" w:hAnsi="黑体" w:eastAsia="黑体" w:cs="黑体"/>
          <w:lang w:val="en-US" w:eastAsia="en-US"/>
        </w:rPr>
        <w:t>中度侧弯（25°～40°）</w:t>
      </w:r>
    </w:p>
    <w:p w14:paraId="12BCB5BF">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eastAsia="en-US"/>
        </w:rPr>
      </w:pPr>
      <w:r>
        <w:rPr>
          <w:rFonts w:hint="eastAsia" w:ascii="宋体" w:hAnsi="宋体" w:eastAsia="宋体" w:cs="宋体"/>
          <w:color w:val="000000"/>
          <w:spacing w:val="8"/>
          <w:kern w:val="0"/>
          <w:sz w:val="21"/>
          <w:szCs w:val="21"/>
          <w:lang w:eastAsia="en-US"/>
        </w:rPr>
        <w:t>支具治疗+柔筋衡脊疗法</w:t>
      </w:r>
    </w:p>
    <w:p w14:paraId="16923BE0">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eastAsia="en-US"/>
        </w:rPr>
      </w:pPr>
      <w:r>
        <w:rPr>
          <w:rFonts w:hint="eastAsia" w:ascii="宋体" w:hAnsi="宋体" w:eastAsia="宋体" w:cs="宋体"/>
          <w:color w:val="000000"/>
          <w:spacing w:val="8"/>
          <w:kern w:val="0"/>
          <w:sz w:val="21"/>
          <w:szCs w:val="21"/>
          <w:lang w:eastAsia="en-US"/>
        </w:rPr>
        <w:t>支具治疗的方法脊柱侧弯支具治疗是轻中度（Cobb角25°～40°）且骨骼尚未闭合（生长潜能大）的青少年患者最核心的保守治疗方法，其主要目的是限制侧弯进展、引导脊柱向正常生理曲度恢复，降低未来手术的概率。</w:t>
      </w:r>
    </w:p>
    <w:p w14:paraId="6858BB24">
      <w:pPr>
        <w:pStyle w:val="73"/>
        <w:rPr>
          <w:rFonts w:hint="eastAsia" w:ascii="宋体" w:hAnsi="宋体" w:eastAsia="宋体" w:cs="宋体"/>
          <w:color w:val="000000"/>
          <w:spacing w:val="8"/>
          <w:kern w:val="0"/>
          <w:sz w:val="21"/>
          <w:szCs w:val="21"/>
          <w:lang w:val="en-US" w:eastAsia="en-US"/>
        </w:rPr>
      </w:pPr>
      <w:r>
        <w:rPr>
          <w:rFonts w:hint="eastAsia" w:ascii="宋体" w:hAnsi="宋体" w:eastAsia="宋体" w:cs="宋体"/>
          <w:color w:val="000000"/>
          <w:spacing w:val="8"/>
          <w:kern w:val="0"/>
          <w:sz w:val="21"/>
          <w:szCs w:val="21"/>
          <w:lang w:val="en-US" w:eastAsia="en-US"/>
        </w:rPr>
        <w:t>支具治疗的系统方法：</w:t>
      </w:r>
    </w:p>
    <w:p w14:paraId="5F9339F9">
      <w:pPr>
        <w:pStyle w:val="37"/>
        <w:pageBreakBefore w:val="0"/>
        <w:widowControl/>
        <w:numPr>
          <w:ilvl w:val="0"/>
          <w:numId w:val="13"/>
        </w:numPr>
        <w:wordWrap/>
        <w:overflowPunct/>
        <w:topLinePunct w:val="0"/>
        <w:bidi w:val="0"/>
        <w:spacing w:beforeAutospacing="0" w:afterAutospacing="0" w:line="240" w:lineRule="auto"/>
        <w:ind w:left="0" w:leftChars="0" w:right="0" w:firstLine="452" w:firstLineChars="200"/>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适用人群评估适用人群：Cobb角在25°～40°之间、骨骼未闭合（Risser征&lt;3级）且侧弯有进展风险的青少年（尤其是10～18岁）效果最佳。轻度侧弯（&lt;25°）但进展快或外观明显不对称者也可使用。不适用人群：Cobb角&gt;50°、骨骼已闭合（Risser征4～5级）或合并严重胸廓畸形、心肺功能受限者，支具仅能改善外观，无法逆转侧弯，需考虑手术治疗。</w:t>
      </w:r>
    </w:p>
    <w:p w14:paraId="299A3315">
      <w:pPr>
        <w:pStyle w:val="37"/>
        <w:pageBreakBefore w:val="0"/>
        <w:widowControl/>
        <w:numPr>
          <w:ilvl w:val="0"/>
          <w:numId w:val="13"/>
        </w:numPr>
        <w:wordWrap/>
        <w:overflowPunct/>
        <w:topLinePunct w:val="0"/>
        <w:bidi w:val="0"/>
        <w:spacing w:beforeAutospacing="0" w:afterAutospacing="0" w:line="240" w:lineRule="auto"/>
        <w:ind w:left="0" w:leftChars="0" w:right="0" w:firstLine="452" w:firstLineChars="200"/>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支具类型选择（需由专业医生与矫形师评估定制）硬性支具（如Boston支具、Chêneau支具）：由高分子材料定制，贴合躯干，通过三点力学原理施加精准的矫形力，适用于中重度侧弯，需全天（16～23小时）佩戴，矫正力大。软性支具（如SpineCor支具）：由弹性面料制成，通过柔和的推压力引导身体主动保持正确姿态，适用于轻度侧弯（&lt;10°）或作为中重度侧弯的辅助矫正，需每天佩戴较长时间（18～20小时），舒适度较高。夜间支具（如Charleston支具、Providence支具）：仅需在夜间（8～10小时）佩戴，利用夜间生长激素分泌高峰进行矫形，适用于单弯或依从性较差的患者。</w:t>
      </w:r>
    </w:p>
    <w:p w14:paraId="50CB0934">
      <w:pPr>
        <w:pStyle w:val="37"/>
        <w:pageBreakBefore w:val="0"/>
        <w:widowControl/>
        <w:numPr>
          <w:ilvl w:val="0"/>
          <w:numId w:val="13"/>
        </w:numPr>
        <w:wordWrap/>
        <w:overflowPunct/>
        <w:topLinePunct w:val="0"/>
        <w:bidi w:val="0"/>
        <w:spacing w:beforeAutospacing="0" w:afterAutospacing="0" w:line="240" w:lineRule="auto"/>
        <w:ind w:left="0" w:leftChars="0" w:right="0" w:firstLine="452" w:firstLineChars="200"/>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佩戴规范与时长佩戴时长：每日需保证有效佩戴时间（通常要求16～23小时，具体视支具类型、侧弯程度及医嘱而定）。仅在洗澡、剧烈运动或特殊场合可短暂摘除，不可私自缩短佩戴时间，否则会大幅降低矫正效果。</w:t>
      </w:r>
    </w:p>
    <w:p w14:paraId="07DA007C">
      <w:pPr>
        <w:pStyle w:val="37"/>
        <w:pageBreakBefore w:val="0"/>
        <w:widowControl/>
        <w:numPr>
          <w:ilvl w:val="0"/>
          <w:numId w:val="13"/>
        </w:numPr>
        <w:wordWrap/>
        <w:overflowPunct/>
        <w:topLinePunct w:val="0"/>
        <w:bidi w:val="0"/>
        <w:spacing w:beforeAutospacing="0" w:afterAutospacing="0" w:line="240" w:lineRule="auto"/>
        <w:ind w:left="0" w:leftChars="0" w:right="0" w:firstLine="452" w:firstLineChars="200"/>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佩戴方式：需穿纯棉、透气的专用支具内衣，避免支具直接接触皮肤；支具需紧密贴合躯干，松紧度以“能伸入1～2指”为宜，过松无矫正力，过紧会压迫内脏、影响呼吸。</w:t>
      </w:r>
    </w:p>
    <w:p w14:paraId="5F382C7D">
      <w:pPr>
        <w:pStyle w:val="37"/>
        <w:pageBreakBefore w:val="0"/>
        <w:widowControl/>
        <w:numPr>
          <w:ilvl w:val="0"/>
          <w:numId w:val="13"/>
        </w:numPr>
        <w:wordWrap/>
        <w:overflowPunct/>
        <w:topLinePunct w:val="0"/>
        <w:bidi w:val="0"/>
        <w:spacing w:beforeAutospacing="0" w:afterAutospacing="0" w:line="240" w:lineRule="auto"/>
        <w:ind w:left="0" w:leftChars="0" w:right="0" w:firstLine="452" w:firstLineChars="200"/>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适应期：初期佩戴需循序渐进，前半个月为适应期，逐步增加佩戴时间，并注意观察骨突部位（如腋下、肋骨）的皮肤，防止压红或压疮。</w:t>
      </w:r>
    </w:p>
    <w:p w14:paraId="72CF5AB3">
      <w:pPr>
        <w:pStyle w:val="37"/>
        <w:pageBreakBefore w:val="0"/>
        <w:widowControl/>
        <w:numPr>
          <w:ilvl w:val="0"/>
          <w:numId w:val="13"/>
        </w:numPr>
        <w:wordWrap/>
        <w:overflowPunct/>
        <w:topLinePunct w:val="0"/>
        <w:bidi w:val="0"/>
        <w:spacing w:beforeAutospacing="0" w:afterAutospacing="0" w:line="240" w:lineRule="auto"/>
        <w:ind w:left="0" w:leftChars="0" w:right="0" w:firstLine="452" w:firstLineChars="200"/>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同时，配合柔筋衡脊疗法和中医适宜技术以增强疗效</w:t>
      </w:r>
      <w:r>
        <w:rPr>
          <w:rFonts w:hint="eastAsia" w:ascii="宋体" w:hAnsi="宋体" w:eastAsia="宋体" w:cs="宋体"/>
          <w:color w:val="000000"/>
          <w:spacing w:val="8"/>
          <w:kern w:val="0"/>
          <w:sz w:val="21"/>
          <w:szCs w:val="21"/>
          <w:lang w:val="en-US" w:eastAsia="zh-CN" w:bidi="ar-SA"/>
        </w:rPr>
        <w:t>（相关操作如6.2.1）</w:t>
      </w:r>
      <w:r>
        <w:rPr>
          <w:rFonts w:hint="eastAsia" w:ascii="宋体" w:hAnsi="宋体" w:eastAsia="宋体" w:cs="宋体"/>
          <w:color w:val="000000"/>
          <w:spacing w:val="8"/>
          <w:kern w:val="0"/>
          <w:sz w:val="21"/>
          <w:szCs w:val="21"/>
          <w:lang w:val="en-US" w:eastAsia="en-US" w:bidi="ar-SA"/>
        </w:rPr>
        <w:t>。</w:t>
      </w:r>
    </w:p>
    <w:p w14:paraId="2E5E5C4F">
      <w:pPr>
        <w:pStyle w:val="71"/>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黑体" w:hAnsi="黑体" w:eastAsia="黑体" w:cs="黑体"/>
          <w:lang w:val="en-US" w:eastAsia="en-US"/>
        </w:rPr>
      </w:pPr>
      <w:r>
        <w:rPr>
          <w:rFonts w:hint="eastAsia" w:ascii="黑体" w:hAnsi="黑体" w:eastAsia="黑体" w:cs="黑体"/>
          <w:lang w:val="en-US" w:eastAsia="en-US"/>
        </w:rPr>
        <w:t>重度侧弯（＞40°）</w:t>
      </w:r>
    </w:p>
    <w:p w14:paraId="523B6F0C">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eastAsia="en-US"/>
        </w:rPr>
      </w:pPr>
      <w:r>
        <w:rPr>
          <w:rFonts w:hint="eastAsia" w:ascii="宋体" w:hAnsi="宋体" w:eastAsia="宋体" w:cs="宋体"/>
          <w:color w:val="000000"/>
          <w:spacing w:val="8"/>
          <w:kern w:val="0"/>
          <w:sz w:val="21"/>
          <w:szCs w:val="21"/>
          <w:lang w:eastAsia="en-US"/>
        </w:rPr>
        <w:t>转诊脊柱专科评估手术适应证。</w:t>
      </w:r>
    </w:p>
    <w:p w14:paraId="2971251D">
      <w:pPr>
        <w:pStyle w:val="67"/>
        <w:spacing w:before="240" w:after="240"/>
        <w:rPr>
          <w:rFonts w:hint="eastAsia"/>
          <w:lang w:val="en-US" w:eastAsia="en-US"/>
        </w:rPr>
      </w:pPr>
      <w:bookmarkStart w:id="52" w:name="_Toc19160"/>
      <w:bookmarkStart w:id="53" w:name="_Toc219835470"/>
      <w:r>
        <w:rPr>
          <w:rFonts w:hint="eastAsia"/>
          <w:lang w:val="en-US" w:eastAsia="en-US"/>
        </w:rPr>
        <w:t>注意事项</w:t>
      </w:r>
      <w:bookmarkEnd w:id="52"/>
      <w:bookmarkEnd w:id="53"/>
      <w:r>
        <w:rPr>
          <w:rFonts w:hint="eastAsia"/>
          <w:lang w:val="en-US" w:eastAsia="en-US"/>
        </w:rPr>
        <w:t xml:space="preserve"> </w:t>
      </w:r>
    </w:p>
    <w:p w14:paraId="453F854D">
      <w:pPr>
        <w:pStyle w:val="37"/>
        <w:pageBreakBefore w:val="0"/>
        <w:widowControl/>
        <w:numPr>
          <w:ilvl w:val="0"/>
          <w:numId w:val="14"/>
        </w:numPr>
        <w:wordWrap/>
        <w:overflowPunct/>
        <w:topLinePunct w:val="0"/>
        <w:bidi w:val="0"/>
        <w:spacing w:beforeAutospacing="0" w:afterAutospacing="0" w:line="240" w:lineRule="auto"/>
        <w:ind w:left="0" w:leftChars="0" w:right="0" w:firstLine="452" w:firstLineChars="200"/>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施术前1小时内，受术者避免进餐及过多饮水。</w:t>
      </w:r>
    </w:p>
    <w:p w14:paraId="74405F8A">
      <w:pPr>
        <w:pStyle w:val="37"/>
        <w:pageBreakBefore w:val="0"/>
        <w:widowControl/>
        <w:numPr>
          <w:ilvl w:val="0"/>
          <w:numId w:val="14"/>
        </w:numPr>
        <w:wordWrap/>
        <w:overflowPunct/>
        <w:topLinePunct w:val="0"/>
        <w:bidi w:val="0"/>
        <w:spacing w:beforeAutospacing="0" w:afterAutospacing="0" w:line="240" w:lineRule="auto"/>
        <w:ind w:left="0" w:leftChars="0" w:right="0" w:firstLine="452" w:firstLineChars="200"/>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操作者应手法柔和，力度应先轻后重，避免受术者出现不适（如头晕、心慌、乏力、肢体疼痛等）。若受术者出现不适应立即停止施术，并注意观察神志、血压、心率等。</w:t>
      </w:r>
    </w:p>
    <w:p w14:paraId="0DBBB531">
      <w:pPr>
        <w:pStyle w:val="37"/>
        <w:pageBreakBefore w:val="0"/>
        <w:widowControl/>
        <w:numPr>
          <w:ilvl w:val="0"/>
          <w:numId w:val="14"/>
        </w:numPr>
        <w:wordWrap/>
        <w:overflowPunct/>
        <w:topLinePunct w:val="0"/>
        <w:bidi w:val="0"/>
        <w:spacing w:beforeAutospacing="0" w:afterAutospacing="0" w:line="240" w:lineRule="auto"/>
        <w:ind w:left="0" w:leftChars="0" w:right="0" w:firstLine="452" w:firstLineChars="200"/>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操作者在操作时不应戴戒指等首饰，指甲应保持短而圆润。</w:t>
      </w:r>
    </w:p>
    <w:p w14:paraId="31962646">
      <w:pPr>
        <w:pStyle w:val="37"/>
        <w:pageBreakBefore w:val="0"/>
        <w:widowControl/>
        <w:numPr>
          <w:ilvl w:val="0"/>
          <w:numId w:val="14"/>
        </w:numPr>
        <w:wordWrap/>
        <w:overflowPunct/>
        <w:topLinePunct w:val="0"/>
        <w:bidi w:val="0"/>
        <w:spacing w:beforeAutospacing="0" w:afterAutospacing="0" w:line="240" w:lineRule="auto"/>
        <w:ind w:left="0" w:leftChars="0" w:right="0" w:firstLine="452" w:firstLineChars="200"/>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施术中，如出现皮肤破损则应及时涂龙胆紫等以防感染，并保护创面。如出现肌肉等软组织损伤（如组织水肿等）则应停止操作必要时进行相关医学观察处理。</w:t>
      </w:r>
    </w:p>
    <w:p w14:paraId="15C55EC1">
      <w:pPr>
        <w:pStyle w:val="37"/>
        <w:pageBreakBefore w:val="0"/>
        <w:widowControl/>
        <w:numPr>
          <w:ilvl w:val="0"/>
          <w:numId w:val="14"/>
        </w:numPr>
        <w:wordWrap/>
        <w:overflowPunct/>
        <w:topLinePunct w:val="0"/>
        <w:bidi w:val="0"/>
        <w:spacing w:beforeAutospacing="0" w:afterAutospacing="0" w:line="240" w:lineRule="auto"/>
        <w:ind w:left="0" w:leftChars="0" w:right="0" w:firstLine="452" w:firstLineChars="200"/>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施术中，如对异性患者胸部、下腹部、臀部等敏感部位进行操作时，应对患者进行告知并征得患者同意，同时应有辅助人员在场。</w:t>
      </w:r>
    </w:p>
    <w:p w14:paraId="7100A160">
      <w:pPr>
        <w:pStyle w:val="67"/>
        <w:spacing w:before="240" w:after="240"/>
        <w:rPr>
          <w:rFonts w:hint="eastAsia"/>
          <w:lang w:val="en-US" w:eastAsia="en-US"/>
        </w:rPr>
      </w:pPr>
      <w:bookmarkStart w:id="54" w:name="_Toc2909"/>
      <w:bookmarkStart w:id="55" w:name="_Toc219835476"/>
      <w:r>
        <w:rPr>
          <w:rFonts w:hint="eastAsia"/>
          <w:lang w:val="en-US" w:eastAsia="en-US"/>
        </w:rPr>
        <w:t>施术禁忌</w:t>
      </w:r>
      <w:bookmarkEnd w:id="54"/>
      <w:bookmarkEnd w:id="55"/>
    </w:p>
    <w:p w14:paraId="660AB072">
      <w:pPr>
        <w:pStyle w:val="70"/>
        <w:spacing w:before="120" w:after="120"/>
        <w:rPr>
          <w:rFonts w:hint="eastAsia"/>
          <w:lang w:val="en-US" w:eastAsia="en-US"/>
        </w:rPr>
      </w:pPr>
      <w:r>
        <w:rPr>
          <w:rFonts w:hint="eastAsia"/>
          <w:lang w:val="en-US" w:eastAsia="en-US"/>
        </w:rPr>
        <w:t>绝对禁忌证（符合任一情况）：</w:t>
      </w:r>
    </w:p>
    <w:p w14:paraId="2E512A9A">
      <w:pPr>
        <w:pStyle w:val="37"/>
        <w:pageBreakBefore w:val="0"/>
        <w:widowControl/>
        <w:numPr>
          <w:ilvl w:val="0"/>
          <w:numId w:val="15"/>
        </w:numPr>
        <w:wordWrap/>
        <w:overflowPunct/>
        <w:topLinePunct w:val="0"/>
        <w:bidi w:val="0"/>
        <w:adjustRightInd w:val="0"/>
        <w:spacing w:beforeAutospacing="0" w:afterAutospacing="0" w:line="240" w:lineRule="auto"/>
        <w:ind w:left="0" w:leftChars="0" w:right="0" w:firstLine="452" w:firstLineChars="200"/>
        <w:jc w:val="left"/>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患者有其它脊髓疾患；</w:t>
      </w:r>
    </w:p>
    <w:p w14:paraId="42458136">
      <w:pPr>
        <w:pStyle w:val="37"/>
        <w:pageBreakBefore w:val="0"/>
        <w:widowControl/>
        <w:numPr>
          <w:ilvl w:val="0"/>
          <w:numId w:val="15"/>
        </w:numPr>
        <w:wordWrap/>
        <w:overflowPunct/>
        <w:topLinePunct w:val="0"/>
        <w:bidi w:val="0"/>
        <w:adjustRightInd w:val="0"/>
        <w:spacing w:beforeAutospacing="0" w:afterAutospacing="0" w:line="240" w:lineRule="auto"/>
        <w:ind w:left="0" w:leftChars="0" w:right="0" w:firstLine="452" w:firstLineChars="200"/>
        <w:jc w:val="left"/>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有出血性疾病史；</w:t>
      </w:r>
    </w:p>
    <w:p w14:paraId="440AED74">
      <w:pPr>
        <w:pStyle w:val="37"/>
        <w:pageBreakBefore w:val="0"/>
        <w:widowControl/>
        <w:numPr>
          <w:ilvl w:val="0"/>
          <w:numId w:val="15"/>
        </w:numPr>
        <w:wordWrap/>
        <w:overflowPunct/>
        <w:topLinePunct w:val="0"/>
        <w:bidi w:val="0"/>
        <w:adjustRightInd w:val="0"/>
        <w:spacing w:beforeAutospacing="0" w:afterAutospacing="0" w:line="240" w:lineRule="auto"/>
        <w:ind w:left="0" w:leftChars="0" w:right="0" w:firstLine="452" w:firstLineChars="200"/>
        <w:jc w:val="left"/>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操作部位存在皮肤感染、溃疡、湿疹或严重瘢痕；</w:t>
      </w:r>
    </w:p>
    <w:p w14:paraId="06733B8C">
      <w:pPr>
        <w:pStyle w:val="37"/>
        <w:pageBreakBefore w:val="0"/>
        <w:widowControl/>
        <w:numPr>
          <w:ilvl w:val="0"/>
          <w:numId w:val="15"/>
        </w:numPr>
        <w:wordWrap/>
        <w:overflowPunct/>
        <w:topLinePunct w:val="0"/>
        <w:bidi w:val="0"/>
        <w:adjustRightInd w:val="0"/>
        <w:spacing w:beforeAutospacing="0" w:afterAutospacing="0" w:line="240" w:lineRule="auto"/>
        <w:ind w:left="0" w:leftChars="0" w:right="0" w:firstLine="452" w:firstLineChars="200"/>
        <w:jc w:val="left"/>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急性感染性疾病发作期；</w:t>
      </w:r>
    </w:p>
    <w:p w14:paraId="03F6CE3A">
      <w:pPr>
        <w:pStyle w:val="37"/>
        <w:pageBreakBefore w:val="0"/>
        <w:widowControl/>
        <w:numPr>
          <w:ilvl w:val="0"/>
          <w:numId w:val="15"/>
        </w:numPr>
        <w:wordWrap/>
        <w:overflowPunct/>
        <w:topLinePunct w:val="0"/>
        <w:bidi w:val="0"/>
        <w:adjustRightInd w:val="0"/>
        <w:spacing w:beforeAutospacing="0" w:afterAutospacing="0" w:line="240" w:lineRule="auto"/>
        <w:ind w:left="0" w:leftChars="0" w:right="0" w:firstLine="452" w:firstLineChars="200"/>
        <w:jc w:val="left"/>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恶性肿瘤患者（尤其是晚期或有转移倾向）。</w:t>
      </w:r>
    </w:p>
    <w:p w14:paraId="258BDC37">
      <w:pPr>
        <w:pStyle w:val="70"/>
        <w:spacing w:before="120" w:after="120"/>
        <w:rPr>
          <w:rFonts w:hint="eastAsia"/>
          <w:lang w:val="en-US" w:eastAsia="en-US"/>
        </w:rPr>
      </w:pPr>
      <w:r>
        <w:rPr>
          <w:rFonts w:hint="eastAsia"/>
          <w:lang w:val="en-US" w:eastAsia="en-US"/>
        </w:rPr>
        <w:t>相对禁忌证（符合任一情况，需谨慎评估）：</w:t>
      </w:r>
    </w:p>
    <w:p w14:paraId="7F0E6B7B">
      <w:pPr>
        <w:pStyle w:val="37"/>
        <w:pageBreakBefore w:val="0"/>
        <w:widowControl/>
        <w:numPr>
          <w:ilvl w:val="0"/>
          <w:numId w:val="16"/>
        </w:numPr>
        <w:wordWrap/>
        <w:overflowPunct/>
        <w:topLinePunct w:val="0"/>
        <w:bidi w:val="0"/>
        <w:adjustRightInd w:val="0"/>
        <w:spacing w:beforeAutospacing="0" w:afterAutospacing="0" w:line="240" w:lineRule="auto"/>
        <w:ind w:left="0" w:leftChars="0" w:right="0" w:firstLine="452" w:firstLineChars="200"/>
        <w:jc w:val="left"/>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不配合治疗的患者；</w:t>
      </w:r>
    </w:p>
    <w:p w14:paraId="4BB88EF3">
      <w:pPr>
        <w:pStyle w:val="37"/>
        <w:pageBreakBefore w:val="0"/>
        <w:widowControl/>
        <w:numPr>
          <w:ilvl w:val="0"/>
          <w:numId w:val="16"/>
        </w:numPr>
        <w:wordWrap/>
        <w:overflowPunct/>
        <w:topLinePunct w:val="0"/>
        <w:bidi w:val="0"/>
        <w:adjustRightInd w:val="0"/>
        <w:spacing w:beforeAutospacing="0" w:afterAutospacing="0" w:line="240" w:lineRule="auto"/>
        <w:ind w:left="0" w:leftChars="0" w:right="0" w:firstLine="452" w:firstLineChars="200"/>
        <w:jc w:val="left"/>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严重心肺疾病；</w:t>
      </w:r>
    </w:p>
    <w:p w14:paraId="3D2C0491">
      <w:pPr>
        <w:pStyle w:val="37"/>
        <w:pageBreakBefore w:val="0"/>
        <w:widowControl/>
        <w:numPr>
          <w:ilvl w:val="0"/>
          <w:numId w:val="16"/>
        </w:numPr>
        <w:wordWrap/>
        <w:overflowPunct/>
        <w:topLinePunct w:val="0"/>
        <w:bidi w:val="0"/>
        <w:adjustRightInd w:val="0"/>
        <w:spacing w:beforeAutospacing="0" w:afterAutospacing="0" w:line="240" w:lineRule="auto"/>
        <w:ind w:left="0" w:leftChars="0" w:right="0" w:firstLine="452" w:firstLineChars="200"/>
        <w:jc w:val="left"/>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精神疾病患者；</w:t>
      </w:r>
    </w:p>
    <w:p w14:paraId="0FFA7AD9">
      <w:pPr>
        <w:pStyle w:val="37"/>
        <w:pageBreakBefore w:val="0"/>
        <w:widowControl/>
        <w:numPr>
          <w:ilvl w:val="0"/>
          <w:numId w:val="16"/>
        </w:numPr>
        <w:wordWrap/>
        <w:overflowPunct/>
        <w:topLinePunct w:val="0"/>
        <w:bidi w:val="0"/>
        <w:adjustRightInd w:val="0"/>
        <w:spacing w:beforeAutospacing="0" w:afterAutospacing="0" w:line="240" w:lineRule="auto"/>
        <w:ind w:left="0" w:leftChars="0" w:right="0" w:firstLine="452" w:firstLineChars="200"/>
        <w:jc w:val="left"/>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智力低下患者。</w:t>
      </w:r>
    </w:p>
    <w:p w14:paraId="418D7EC1">
      <w:pPr>
        <w:pStyle w:val="67"/>
        <w:spacing w:before="240" w:after="240"/>
        <w:rPr>
          <w:rFonts w:hint="eastAsia"/>
          <w:lang w:val="en-US" w:eastAsia="en-US"/>
        </w:rPr>
      </w:pPr>
      <w:bookmarkStart w:id="56" w:name="_Toc219835479"/>
      <w:bookmarkStart w:id="57" w:name="_Toc11327"/>
      <w:bookmarkStart w:id="58" w:name="_Toc208503239"/>
      <w:r>
        <w:rPr>
          <w:rFonts w:hint="eastAsia"/>
          <w:lang w:val="en-US" w:eastAsia="en-US"/>
        </w:rPr>
        <w:t>疗程设计</w:t>
      </w:r>
      <w:bookmarkEnd w:id="56"/>
      <w:bookmarkEnd w:id="57"/>
      <w:bookmarkEnd w:id="58"/>
    </w:p>
    <w:p w14:paraId="2A14085E">
      <w:pPr>
        <w:pStyle w:val="70"/>
        <w:spacing w:before="120" w:after="120"/>
        <w:rPr>
          <w:rFonts w:hint="eastAsia"/>
          <w:lang w:val="en-US" w:eastAsia="en-US"/>
        </w:rPr>
      </w:pPr>
      <w:bookmarkStart w:id="59" w:name="_Toc219835480"/>
      <w:bookmarkStart w:id="60" w:name="_Toc16501"/>
      <w:r>
        <w:rPr>
          <w:rFonts w:hint="eastAsia"/>
          <w:lang w:val="en-US" w:eastAsia="en-US"/>
        </w:rPr>
        <w:t>治疗原则</w:t>
      </w:r>
      <w:bookmarkEnd w:id="59"/>
      <w:bookmarkEnd w:id="60"/>
    </w:p>
    <w:p w14:paraId="6934AF7F">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eastAsia="en-US"/>
        </w:rPr>
      </w:pPr>
      <w:r>
        <w:rPr>
          <w:rFonts w:hint="eastAsia" w:ascii="宋体" w:hAnsi="宋体" w:eastAsia="宋体" w:cs="宋体"/>
          <w:color w:val="000000"/>
          <w:spacing w:val="8"/>
          <w:kern w:val="0"/>
          <w:sz w:val="21"/>
          <w:szCs w:val="21"/>
          <w:lang w:eastAsia="en-US"/>
        </w:rPr>
        <w:t>本疗程设计以“整体辨证、筋骨并重、内外兼治、动静互补</w:t>
      </w:r>
      <w:r>
        <w:rPr>
          <w:rFonts w:hint="eastAsia" w:ascii="宋体" w:hAnsi="宋体" w:eastAsia="宋体" w:cs="宋体"/>
          <w:color w:val="000000"/>
          <w:spacing w:val="8"/>
          <w:kern w:val="0"/>
          <w:sz w:val="21"/>
          <w:szCs w:val="21"/>
          <w:lang w:eastAsia="zh-CN"/>
        </w:rPr>
        <w:t>”</w:t>
      </w:r>
      <w:r>
        <w:rPr>
          <w:rFonts w:hint="eastAsia" w:ascii="宋体" w:hAnsi="宋体" w:eastAsia="宋体" w:cs="宋体"/>
          <w:color w:val="000000"/>
          <w:spacing w:val="8"/>
          <w:kern w:val="0"/>
          <w:sz w:val="21"/>
          <w:szCs w:val="21"/>
          <w:lang w:eastAsia="en-US"/>
        </w:rPr>
        <w:t>为指导原则，在确保操作安全性的前提下，通过规范化</w:t>
      </w:r>
      <w:r>
        <w:rPr>
          <w:rFonts w:hint="eastAsia" w:ascii="宋体" w:hAnsi="宋体" w:eastAsia="宋体" w:cs="宋体"/>
          <w:color w:val="000000"/>
          <w:spacing w:val="8"/>
          <w:kern w:val="0"/>
          <w:sz w:val="21"/>
          <w:szCs w:val="21"/>
          <w:lang w:val="en-US" w:eastAsia="zh-CN"/>
        </w:rPr>
        <w:t>治疗</w:t>
      </w:r>
      <w:r>
        <w:rPr>
          <w:rFonts w:hint="eastAsia" w:ascii="宋体" w:hAnsi="宋体" w:eastAsia="宋体" w:cs="宋体"/>
          <w:color w:val="000000"/>
          <w:spacing w:val="8"/>
          <w:kern w:val="0"/>
          <w:sz w:val="21"/>
          <w:szCs w:val="21"/>
          <w:lang w:eastAsia="en-US"/>
        </w:rPr>
        <w:t>手法，改善</w:t>
      </w:r>
      <w:r>
        <w:rPr>
          <w:rFonts w:hint="eastAsia" w:ascii="宋体" w:hAnsi="宋体" w:eastAsia="宋体" w:cs="宋体"/>
          <w:color w:val="000000"/>
          <w:spacing w:val="8"/>
          <w:kern w:val="0"/>
          <w:sz w:val="21"/>
          <w:szCs w:val="21"/>
          <w:lang w:val="en-US" w:eastAsia="zh-CN"/>
        </w:rPr>
        <w:t>青少年脊柱侧弯患者</w:t>
      </w:r>
      <w:r>
        <w:rPr>
          <w:rFonts w:hint="eastAsia" w:ascii="宋体" w:hAnsi="宋体" w:eastAsia="宋体" w:cs="宋体"/>
          <w:color w:val="000000"/>
          <w:spacing w:val="8"/>
          <w:kern w:val="0"/>
          <w:sz w:val="21"/>
          <w:szCs w:val="21"/>
          <w:lang w:eastAsia="en-US"/>
        </w:rPr>
        <w:t>局部力学失衡状态，</w:t>
      </w:r>
      <w:r>
        <w:rPr>
          <w:rFonts w:hint="eastAsia" w:ascii="宋体" w:hAnsi="宋体" w:eastAsia="宋体" w:cs="宋体"/>
          <w:color w:val="000000"/>
          <w:spacing w:val="8"/>
          <w:kern w:val="0"/>
          <w:sz w:val="21"/>
          <w:szCs w:val="21"/>
          <w:lang w:val="en-US" w:eastAsia="zh-CN"/>
        </w:rPr>
        <w:t>同时应用中医适宜技术缓解由治疗引起的肌肉酸胀等不良反应</w:t>
      </w:r>
      <w:r>
        <w:rPr>
          <w:rFonts w:hint="eastAsia" w:ascii="宋体" w:hAnsi="宋体" w:eastAsia="宋体" w:cs="宋体"/>
          <w:color w:val="000000"/>
          <w:spacing w:val="8"/>
          <w:kern w:val="0"/>
          <w:sz w:val="21"/>
          <w:szCs w:val="21"/>
          <w:lang w:eastAsia="en-US"/>
        </w:rPr>
        <w:t>，达到改善</w:t>
      </w:r>
      <w:r>
        <w:rPr>
          <w:rFonts w:hint="eastAsia" w:ascii="宋体" w:hAnsi="宋体" w:eastAsia="宋体" w:cs="宋体"/>
          <w:color w:val="000000"/>
          <w:spacing w:val="8"/>
          <w:kern w:val="0"/>
          <w:sz w:val="21"/>
          <w:szCs w:val="21"/>
          <w:lang w:val="en-US" w:eastAsia="zh-CN"/>
        </w:rPr>
        <w:t>侧弯</w:t>
      </w:r>
      <w:r>
        <w:rPr>
          <w:rFonts w:hint="eastAsia" w:ascii="宋体" w:hAnsi="宋体" w:eastAsia="宋体" w:cs="宋体"/>
          <w:color w:val="000000"/>
          <w:spacing w:val="8"/>
          <w:kern w:val="0"/>
          <w:sz w:val="21"/>
          <w:szCs w:val="21"/>
          <w:lang w:eastAsia="en-US"/>
        </w:rPr>
        <w:t>状态及降低</w:t>
      </w:r>
      <w:r>
        <w:rPr>
          <w:rFonts w:hint="eastAsia" w:ascii="宋体" w:hAnsi="宋体" w:eastAsia="宋体" w:cs="宋体"/>
          <w:color w:val="000000"/>
          <w:spacing w:val="8"/>
          <w:kern w:val="0"/>
          <w:sz w:val="21"/>
          <w:szCs w:val="21"/>
          <w:lang w:val="en-US" w:eastAsia="zh-CN"/>
        </w:rPr>
        <w:t>侧弯角度</w:t>
      </w:r>
      <w:r>
        <w:rPr>
          <w:rFonts w:hint="eastAsia" w:ascii="宋体" w:hAnsi="宋体" w:eastAsia="宋体" w:cs="宋体"/>
          <w:color w:val="000000"/>
          <w:spacing w:val="8"/>
          <w:kern w:val="0"/>
          <w:sz w:val="21"/>
          <w:szCs w:val="21"/>
          <w:lang w:eastAsia="en-US"/>
        </w:rPr>
        <w:t>风险的目的。</w:t>
      </w:r>
    </w:p>
    <w:p w14:paraId="19DB99EE">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eastAsia="en-US"/>
        </w:rPr>
      </w:pPr>
      <w:r>
        <w:rPr>
          <w:rFonts w:hint="eastAsia" w:ascii="宋体" w:hAnsi="宋体" w:eastAsia="宋体" w:cs="宋体"/>
          <w:color w:val="000000"/>
          <w:spacing w:val="8"/>
          <w:kern w:val="0"/>
          <w:sz w:val="21"/>
          <w:szCs w:val="21"/>
          <w:lang w:eastAsia="en-US"/>
        </w:rPr>
        <w:t>疗程设计应遵循循序渐进、个体化调整原则，避免直接作用于</w:t>
      </w:r>
      <w:r>
        <w:rPr>
          <w:rFonts w:hint="eastAsia" w:ascii="宋体" w:hAnsi="宋体" w:eastAsia="宋体" w:cs="宋体"/>
          <w:color w:val="000000"/>
          <w:spacing w:val="8"/>
          <w:kern w:val="0"/>
          <w:sz w:val="21"/>
          <w:szCs w:val="21"/>
          <w:lang w:val="en-US" w:eastAsia="zh-CN"/>
        </w:rPr>
        <w:t>脊柱</w:t>
      </w:r>
      <w:r>
        <w:rPr>
          <w:rFonts w:hint="eastAsia" w:ascii="宋体" w:hAnsi="宋体" w:eastAsia="宋体" w:cs="宋体"/>
          <w:color w:val="000000"/>
          <w:spacing w:val="8"/>
          <w:kern w:val="0"/>
          <w:sz w:val="21"/>
          <w:szCs w:val="21"/>
          <w:lang w:eastAsia="en-US"/>
        </w:rPr>
        <w:t>等处的手法，避免强刺激、暴力操作及快速旋转、扳动等高风险手法，确保对</w:t>
      </w:r>
      <w:r>
        <w:rPr>
          <w:rFonts w:hint="eastAsia" w:ascii="宋体" w:hAnsi="宋体" w:eastAsia="宋体" w:cs="宋体"/>
          <w:color w:val="000000"/>
          <w:spacing w:val="8"/>
          <w:kern w:val="0"/>
          <w:sz w:val="21"/>
          <w:szCs w:val="21"/>
          <w:lang w:val="en-US" w:eastAsia="zh-CN"/>
        </w:rPr>
        <w:t>青少年脊柱侧弯</w:t>
      </w:r>
      <w:r>
        <w:rPr>
          <w:rFonts w:hint="eastAsia" w:ascii="宋体" w:hAnsi="宋体" w:eastAsia="宋体" w:cs="宋体"/>
          <w:color w:val="000000"/>
          <w:spacing w:val="8"/>
          <w:kern w:val="0"/>
          <w:sz w:val="21"/>
          <w:szCs w:val="21"/>
          <w:lang w:eastAsia="en-US"/>
        </w:rPr>
        <w:t>患者的安全性与可重复性。</w:t>
      </w:r>
    </w:p>
    <w:p w14:paraId="45B46417">
      <w:pPr>
        <w:pStyle w:val="70"/>
        <w:spacing w:before="120" w:after="120"/>
        <w:rPr>
          <w:rFonts w:hint="eastAsia"/>
          <w:lang w:val="en-US" w:eastAsia="en-US"/>
        </w:rPr>
      </w:pPr>
      <w:bookmarkStart w:id="61" w:name="_Toc1202"/>
      <w:bookmarkStart w:id="62" w:name="_Toc219835481"/>
      <w:r>
        <w:rPr>
          <w:rFonts w:hint="eastAsia"/>
          <w:lang w:val="en-US" w:eastAsia="en-US"/>
        </w:rPr>
        <w:t>治疗频次与疗程安排</w:t>
      </w:r>
      <w:bookmarkEnd w:id="61"/>
      <w:bookmarkEnd w:id="62"/>
    </w:p>
    <w:p w14:paraId="22B6401B">
      <w:pPr>
        <w:pStyle w:val="71"/>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黑体" w:hAnsi="黑体" w:eastAsia="黑体" w:cs="黑体"/>
          <w:lang w:val="en-US" w:eastAsia="en-US"/>
        </w:rPr>
      </w:pPr>
      <w:bookmarkStart w:id="63" w:name="_Toc17676"/>
      <w:r>
        <w:rPr>
          <w:rFonts w:hint="eastAsia" w:ascii="黑体" w:hAnsi="黑体" w:eastAsia="黑体" w:cs="黑体"/>
          <w:lang w:val="en-US" w:eastAsia="en-US"/>
        </w:rPr>
        <w:t>治疗频次</w:t>
      </w:r>
      <w:bookmarkEnd w:id="63"/>
    </w:p>
    <w:p w14:paraId="328707A5">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eastAsia="en-US"/>
        </w:rPr>
      </w:pPr>
      <w:r>
        <w:rPr>
          <w:rFonts w:hint="eastAsia" w:ascii="宋体" w:hAnsi="宋体" w:eastAsia="宋体" w:cs="宋体"/>
          <w:color w:val="000000"/>
          <w:spacing w:val="8"/>
          <w:kern w:val="0"/>
          <w:sz w:val="21"/>
          <w:szCs w:val="21"/>
          <w:lang w:eastAsia="en-US"/>
        </w:rPr>
        <w:t>每周治疗</w:t>
      </w:r>
      <w:r>
        <w:rPr>
          <w:rFonts w:hint="eastAsia" w:ascii="宋体" w:hAnsi="宋体" w:eastAsia="宋体" w:cs="宋体"/>
          <w:color w:val="000000"/>
          <w:spacing w:val="8"/>
          <w:kern w:val="0"/>
          <w:sz w:val="21"/>
          <w:szCs w:val="21"/>
          <w:lang w:val="en-US" w:eastAsia="zh-CN"/>
        </w:rPr>
        <w:t>6-7</w:t>
      </w:r>
      <w:r>
        <w:rPr>
          <w:rFonts w:hint="eastAsia" w:ascii="宋体" w:hAnsi="宋体" w:eastAsia="宋体" w:cs="宋体"/>
          <w:color w:val="000000"/>
          <w:spacing w:val="8"/>
          <w:kern w:val="0"/>
          <w:sz w:val="21"/>
          <w:szCs w:val="21"/>
          <w:lang w:eastAsia="en-US"/>
        </w:rPr>
        <w:t>次；症状较重但生命体征平稳者，可在医师评估后适当增加至每周</w:t>
      </w:r>
      <w:r>
        <w:rPr>
          <w:rFonts w:hint="eastAsia" w:ascii="宋体" w:hAnsi="宋体" w:eastAsia="宋体" w:cs="宋体"/>
          <w:color w:val="000000"/>
          <w:spacing w:val="8"/>
          <w:kern w:val="0"/>
          <w:sz w:val="21"/>
          <w:szCs w:val="21"/>
          <w:lang w:val="en-US" w:eastAsia="zh-CN"/>
        </w:rPr>
        <w:t>7</w:t>
      </w:r>
      <w:r>
        <w:rPr>
          <w:rFonts w:hint="eastAsia" w:ascii="宋体" w:hAnsi="宋体" w:eastAsia="宋体" w:cs="宋体"/>
          <w:color w:val="000000"/>
          <w:spacing w:val="8"/>
          <w:kern w:val="0"/>
          <w:sz w:val="21"/>
          <w:szCs w:val="21"/>
          <w:lang w:eastAsia="en-US"/>
        </w:rPr>
        <w:t xml:space="preserve"> 次；合并多系统慢性疾病者，宜控制在每周3 次。</w:t>
      </w:r>
    </w:p>
    <w:p w14:paraId="7D4A53FF">
      <w:pPr>
        <w:pStyle w:val="71"/>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黑体" w:hAnsi="黑体" w:eastAsia="黑体" w:cs="黑体"/>
          <w:lang w:val="en-US" w:eastAsia="en-US"/>
        </w:rPr>
      </w:pPr>
      <w:bookmarkStart w:id="64" w:name="_Toc28096"/>
      <w:r>
        <w:rPr>
          <w:rFonts w:hint="eastAsia" w:ascii="黑体" w:hAnsi="黑体" w:eastAsia="黑体" w:cs="黑体"/>
          <w:lang w:val="en-US" w:eastAsia="en-US"/>
        </w:rPr>
        <w:t>单次治疗时间</w:t>
      </w:r>
      <w:bookmarkEnd w:id="64"/>
    </w:p>
    <w:p w14:paraId="39E2CB50">
      <w:pPr>
        <w:pageBreakBefore w:val="0"/>
        <w:widowControl/>
        <w:wordWrap/>
        <w:overflowPunct/>
        <w:topLinePunct w:val="0"/>
        <w:bidi w:val="0"/>
        <w:adjustRightInd w:val="0"/>
        <w:spacing w:beforeAutospacing="0" w:afterAutospacing="0" w:line="240" w:lineRule="auto"/>
        <w:ind w:left="0" w:leftChars="0" w:right="0" w:firstLine="452" w:firstLineChars="200"/>
        <w:jc w:val="left"/>
        <w:textAlignment w:val="auto"/>
        <w:rPr>
          <w:rFonts w:hint="eastAsia" w:ascii="宋体" w:hAnsi="宋体" w:eastAsia="宋体" w:cs="宋体"/>
          <w:sz w:val="21"/>
          <w:szCs w:val="21"/>
        </w:rPr>
      </w:pPr>
      <w:r>
        <w:rPr>
          <w:rFonts w:hint="eastAsia" w:ascii="宋体" w:hAnsi="宋体" w:eastAsia="宋体" w:cs="宋体"/>
          <w:color w:val="000000"/>
          <w:spacing w:val="8"/>
          <w:kern w:val="0"/>
          <w:sz w:val="21"/>
          <w:szCs w:val="21"/>
          <w:lang w:eastAsia="en-US"/>
        </w:rPr>
        <w:t>每次治疗时间控制在</w:t>
      </w:r>
      <w:r>
        <w:rPr>
          <w:rFonts w:hint="eastAsia" w:ascii="宋体" w:hAnsi="宋体" w:eastAsia="宋体" w:cs="宋体"/>
          <w:color w:val="000000"/>
          <w:spacing w:val="8"/>
          <w:kern w:val="0"/>
          <w:sz w:val="21"/>
          <w:szCs w:val="21"/>
          <w:lang w:val="en-US" w:eastAsia="zh-CN"/>
        </w:rPr>
        <w:t>60</w:t>
      </w:r>
      <w:r>
        <w:rPr>
          <w:rFonts w:hint="eastAsia" w:ascii="宋体" w:hAnsi="宋体" w:eastAsia="宋体" w:cs="宋体"/>
          <w:color w:val="000000"/>
          <w:spacing w:val="8"/>
          <w:kern w:val="0"/>
          <w:sz w:val="21"/>
          <w:szCs w:val="21"/>
          <w:lang w:eastAsia="en-US"/>
        </w:rPr>
        <w:t>分钟，不宜超过</w:t>
      </w:r>
      <w:r>
        <w:rPr>
          <w:rFonts w:hint="eastAsia" w:ascii="宋体" w:hAnsi="宋体" w:eastAsia="宋体" w:cs="宋体"/>
          <w:color w:val="000000"/>
          <w:spacing w:val="8"/>
          <w:kern w:val="0"/>
          <w:sz w:val="21"/>
          <w:szCs w:val="21"/>
          <w:lang w:val="en-US" w:eastAsia="zh-CN"/>
        </w:rPr>
        <w:t>6</w:t>
      </w:r>
      <w:r>
        <w:rPr>
          <w:rFonts w:hint="eastAsia" w:ascii="宋体" w:hAnsi="宋体" w:eastAsia="宋体" w:cs="宋体"/>
          <w:color w:val="000000"/>
          <w:spacing w:val="8"/>
          <w:kern w:val="0"/>
          <w:sz w:val="21"/>
          <w:szCs w:val="21"/>
          <w:lang w:eastAsia="en-US"/>
        </w:rPr>
        <w:t>0分钟，以防诱发疲劳或不适反应。</w:t>
      </w:r>
    </w:p>
    <w:p w14:paraId="5B7F0C1C">
      <w:pPr>
        <w:pStyle w:val="71"/>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黑体" w:hAnsi="黑体" w:eastAsia="黑体" w:cs="黑体"/>
          <w:lang w:val="en-US" w:eastAsia="en-US"/>
        </w:rPr>
      </w:pPr>
      <w:bookmarkStart w:id="65" w:name="_Toc17293"/>
      <w:r>
        <w:rPr>
          <w:rFonts w:hint="eastAsia" w:ascii="黑体" w:hAnsi="黑体" w:eastAsia="黑体" w:cs="黑体"/>
          <w:lang w:val="en-US" w:eastAsia="en-US"/>
        </w:rPr>
        <w:t>疗程设置</w:t>
      </w:r>
      <w:bookmarkEnd w:id="65"/>
    </w:p>
    <w:p w14:paraId="580EEDAE">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eastAsia="en-US"/>
        </w:rPr>
      </w:pPr>
      <w:r>
        <w:rPr>
          <w:rFonts w:hint="eastAsia" w:ascii="宋体" w:hAnsi="宋体" w:eastAsia="宋体" w:cs="宋体"/>
          <w:color w:val="000000"/>
          <w:spacing w:val="8"/>
          <w:kern w:val="0"/>
          <w:sz w:val="21"/>
          <w:szCs w:val="21"/>
          <w:lang w:eastAsia="en-US"/>
        </w:rPr>
        <w:t>以</w:t>
      </w:r>
      <w:r>
        <w:rPr>
          <w:rFonts w:hint="eastAsia" w:ascii="宋体" w:hAnsi="宋体" w:eastAsia="宋体" w:cs="宋体"/>
          <w:color w:val="000000"/>
          <w:spacing w:val="8"/>
          <w:kern w:val="0"/>
          <w:sz w:val="21"/>
          <w:szCs w:val="21"/>
          <w:lang w:val="en-US" w:eastAsia="zh-CN"/>
        </w:rPr>
        <w:t>12周</w:t>
      </w:r>
      <w:r>
        <w:rPr>
          <w:rFonts w:hint="eastAsia" w:ascii="宋体" w:hAnsi="宋体" w:eastAsia="宋体" w:cs="宋体"/>
          <w:color w:val="000000"/>
          <w:spacing w:val="8"/>
          <w:kern w:val="0"/>
          <w:sz w:val="21"/>
          <w:szCs w:val="21"/>
          <w:lang w:eastAsia="en-US"/>
        </w:rPr>
        <w:t>治疗为1个疗程。一般建议连续完成1～2个疗程后进行阶段性疗效评估，根据评估结果决定是否继续治疗或调整方案。</w:t>
      </w:r>
    </w:p>
    <w:p w14:paraId="4CB900C0">
      <w:pPr>
        <w:pStyle w:val="70"/>
        <w:spacing w:before="120" w:after="120"/>
        <w:rPr>
          <w:rFonts w:hint="eastAsia"/>
          <w:lang w:val="en-US" w:eastAsia="en-US"/>
        </w:rPr>
      </w:pPr>
      <w:bookmarkStart w:id="66" w:name="_Toc29091"/>
      <w:bookmarkStart w:id="67" w:name="_Toc219835482"/>
      <w:r>
        <w:rPr>
          <w:rFonts w:hint="eastAsia"/>
          <w:lang w:val="en-US" w:eastAsia="en-US"/>
        </w:rPr>
        <w:t>疗程分期与调整</w:t>
      </w:r>
      <w:bookmarkEnd w:id="66"/>
      <w:bookmarkEnd w:id="67"/>
    </w:p>
    <w:tbl>
      <w:tblPr>
        <w:tblStyle w:val="21"/>
        <w:tblW w:w="87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65"/>
        <w:gridCol w:w="1181"/>
        <w:gridCol w:w="916"/>
        <w:gridCol w:w="1015"/>
        <w:gridCol w:w="2361"/>
        <w:gridCol w:w="2199"/>
      </w:tblGrid>
      <w:tr w14:paraId="5702D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9" w:hRule="atLeast"/>
          <w:tblHeader/>
          <w:jc w:val="center"/>
        </w:trPr>
        <w:tc>
          <w:tcPr>
            <w:tcW w:w="1065" w:type="dxa"/>
            <w:tcBorders>
              <w:top w:val="single" w:color="000000" w:sz="8" w:space="0"/>
              <w:left w:val="single" w:color="000000" w:sz="8" w:space="0"/>
              <w:bottom w:val="single" w:color="000000" w:sz="8" w:space="0"/>
              <w:right w:val="single" w:color="000000" w:sz="8" w:space="0"/>
            </w:tcBorders>
            <w:vAlign w:val="center"/>
          </w:tcPr>
          <w:p w14:paraId="5FB27718">
            <w:pPr>
              <w:pStyle w:val="37"/>
              <w:pageBreakBefore w:val="0"/>
              <w:wordWrap/>
              <w:overflowPunct/>
              <w:topLinePunct w:val="0"/>
              <w:bidi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疗程阶段</w:t>
            </w:r>
          </w:p>
        </w:tc>
        <w:tc>
          <w:tcPr>
            <w:tcW w:w="1181" w:type="dxa"/>
            <w:tcBorders>
              <w:top w:val="single" w:color="000000" w:sz="8" w:space="0"/>
              <w:left w:val="single" w:color="000000" w:sz="8" w:space="0"/>
              <w:bottom w:val="single" w:color="000000" w:sz="8" w:space="0"/>
              <w:right w:val="single" w:color="000000" w:sz="8" w:space="0"/>
            </w:tcBorders>
            <w:vAlign w:val="center"/>
          </w:tcPr>
          <w:p w14:paraId="1692DA4C">
            <w:pPr>
              <w:pStyle w:val="37"/>
              <w:pageBreakBefore w:val="0"/>
              <w:wordWrap/>
              <w:overflowPunct/>
              <w:topLinePunct w:val="0"/>
              <w:bidi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治疗间隔</w:t>
            </w:r>
          </w:p>
        </w:tc>
        <w:tc>
          <w:tcPr>
            <w:tcW w:w="916" w:type="dxa"/>
            <w:tcBorders>
              <w:top w:val="single" w:color="000000" w:sz="8" w:space="0"/>
              <w:left w:val="single" w:color="000000" w:sz="8" w:space="0"/>
              <w:bottom w:val="single" w:color="000000" w:sz="8" w:space="0"/>
              <w:right w:val="single" w:color="000000" w:sz="8" w:space="0"/>
            </w:tcBorders>
            <w:vAlign w:val="center"/>
          </w:tcPr>
          <w:p w14:paraId="519EFF57">
            <w:pPr>
              <w:pStyle w:val="37"/>
              <w:pageBreakBefore w:val="0"/>
              <w:wordWrap/>
              <w:overflowPunct/>
              <w:topLinePunct w:val="0"/>
              <w:bidi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治疗次数</w:t>
            </w:r>
          </w:p>
        </w:tc>
        <w:tc>
          <w:tcPr>
            <w:tcW w:w="1015" w:type="dxa"/>
            <w:tcBorders>
              <w:top w:val="single" w:color="000000" w:sz="8" w:space="0"/>
              <w:left w:val="single" w:color="000000" w:sz="8" w:space="0"/>
              <w:bottom w:val="single" w:color="000000" w:sz="8" w:space="0"/>
              <w:right w:val="single" w:color="000000" w:sz="8" w:space="0"/>
            </w:tcBorders>
            <w:vAlign w:val="center"/>
          </w:tcPr>
          <w:p w14:paraId="6FE86694">
            <w:pPr>
              <w:pStyle w:val="37"/>
              <w:pageBreakBefore w:val="0"/>
              <w:wordWrap/>
              <w:overflowPunct/>
              <w:topLinePunct w:val="0"/>
              <w:bidi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总疗程时长</w:t>
            </w:r>
          </w:p>
        </w:tc>
        <w:tc>
          <w:tcPr>
            <w:tcW w:w="2361" w:type="dxa"/>
            <w:tcBorders>
              <w:top w:val="single" w:color="000000" w:sz="8" w:space="0"/>
              <w:left w:val="single" w:color="000000" w:sz="8" w:space="0"/>
              <w:bottom w:val="single" w:color="000000" w:sz="8" w:space="0"/>
              <w:right w:val="single" w:color="000000" w:sz="8" w:space="0"/>
            </w:tcBorders>
            <w:vAlign w:val="center"/>
          </w:tcPr>
          <w:p w14:paraId="545BBF0C">
            <w:pPr>
              <w:pStyle w:val="37"/>
              <w:pageBreakBefore w:val="0"/>
              <w:wordWrap/>
              <w:overflowPunct/>
              <w:topLinePunct w:val="0"/>
              <w:bidi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适用人群</w:t>
            </w:r>
          </w:p>
        </w:tc>
        <w:tc>
          <w:tcPr>
            <w:tcW w:w="2199" w:type="dxa"/>
            <w:tcBorders>
              <w:top w:val="single" w:color="000000" w:sz="8" w:space="0"/>
              <w:left w:val="single" w:color="000000" w:sz="8" w:space="0"/>
              <w:bottom w:val="single" w:color="000000" w:sz="8" w:space="0"/>
              <w:right w:val="single" w:color="000000" w:sz="8" w:space="0"/>
            </w:tcBorders>
            <w:vAlign w:val="center"/>
          </w:tcPr>
          <w:p w14:paraId="5A279966">
            <w:pPr>
              <w:pStyle w:val="37"/>
              <w:pageBreakBefore w:val="0"/>
              <w:wordWrap/>
              <w:overflowPunct/>
              <w:topLinePunct w:val="0"/>
              <w:bidi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注意事项</w:t>
            </w:r>
          </w:p>
        </w:tc>
      </w:tr>
      <w:tr w14:paraId="57629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9" w:hRule="atLeast"/>
          <w:jc w:val="center"/>
        </w:trPr>
        <w:tc>
          <w:tcPr>
            <w:tcW w:w="1065" w:type="dxa"/>
            <w:tcBorders>
              <w:top w:val="single" w:color="000000" w:sz="8" w:space="0"/>
              <w:left w:val="single" w:color="000000" w:sz="8" w:space="0"/>
              <w:bottom w:val="single" w:color="000000" w:sz="8" w:space="0"/>
              <w:right w:val="single" w:color="000000" w:sz="8" w:space="0"/>
            </w:tcBorders>
            <w:vAlign w:val="center"/>
          </w:tcPr>
          <w:p w14:paraId="5BC4D790">
            <w:pPr>
              <w:pStyle w:val="37"/>
              <w:pageBreakBefore w:val="0"/>
              <w:wordWrap/>
              <w:overflowPunct/>
              <w:topLinePunct w:val="0"/>
              <w:bidi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治疗期</w:t>
            </w:r>
          </w:p>
        </w:tc>
        <w:tc>
          <w:tcPr>
            <w:tcW w:w="1181" w:type="dxa"/>
            <w:tcBorders>
              <w:top w:val="single" w:color="000000" w:sz="8" w:space="0"/>
              <w:left w:val="single" w:color="000000" w:sz="8" w:space="0"/>
              <w:bottom w:val="single" w:color="000000" w:sz="8" w:space="0"/>
              <w:right w:val="single" w:color="000000" w:sz="8" w:space="0"/>
            </w:tcBorders>
            <w:vAlign w:val="center"/>
          </w:tcPr>
          <w:p w14:paraId="01BE13A8">
            <w:pPr>
              <w:pStyle w:val="37"/>
              <w:pageBreakBefore w:val="0"/>
              <w:wordWrap/>
              <w:overflowPunct/>
              <w:topLinePunct w:val="0"/>
              <w:bidi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1周/次</w:t>
            </w:r>
          </w:p>
        </w:tc>
        <w:tc>
          <w:tcPr>
            <w:tcW w:w="916" w:type="dxa"/>
            <w:tcBorders>
              <w:top w:val="single" w:color="000000" w:sz="8" w:space="0"/>
              <w:left w:val="single" w:color="000000" w:sz="8" w:space="0"/>
              <w:bottom w:val="single" w:color="000000" w:sz="8" w:space="0"/>
              <w:right w:val="single" w:color="000000" w:sz="8" w:space="0"/>
            </w:tcBorders>
            <w:vAlign w:val="center"/>
          </w:tcPr>
          <w:p w14:paraId="7DBAF5B7">
            <w:pPr>
              <w:pStyle w:val="37"/>
              <w:pageBreakBefore w:val="0"/>
              <w:wordWrap/>
              <w:overflowPunct/>
              <w:topLinePunct w:val="0"/>
              <w:bidi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6-7次</w:t>
            </w:r>
          </w:p>
        </w:tc>
        <w:tc>
          <w:tcPr>
            <w:tcW w:w="1015" w:type="dxa"/>
            <w:tcBorders>
              <w:top w:val="single" w:color="000000" w:sz="8" w:space="0"/>
              <w:left w:val="single" w:color="000000" w:sz="8" w:space="0"/>
              <w:bottom w:val="single" w:color="000000" w:sz="8" w:space="0"/>
              <w:right w:val="single" w:color="000000" w:sz="8" w:space="0"/>
            </w:tcBorders>
            <w:vAlign w:val="center"/>
          </w:tcPr>
          <w:p w14:paraId="3D4537F1">
            <w:pPr>
              <w:pStyle w:val="37"/>
              <w:pageBreakBefore w:val="0"/>
              <w:wordWrap/>
              <w:overflowPunct/>
              <w:topLinePunct w:val="0"/>
              <w:bidi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12周</w:t>
            </w:r>
          </w:p>
        </w:tc>
        <w:tc>
          <w:tcPr>
            <w:tcW w:w="2361" w:type="dxa"/>
            <w:tcBorders>
              <w:top w:val="single" w:color="000000" w:sz="8" w:space="0"/>
              <w:left w:val="single" w:color="000000" w:sz="8" w:space="0"/>
              <w:bottom w:val="single" w:color="000000" w:sz="8" w:space="0"/>
              <w:right w:val="single" w:color="000000" w:sz="8" w:space="0"/>
            </w:tcBorders>
            <w:vAlign w:val="center"/>
          </w:tcPr>
          <w:p w14:paraId="315E47D0">
            <w:pPr>
              <w:pStyle w:val="37"/>
              <w:pageBreakBefore w:val="0"/>
              <w:wordWrap/>
              <w:overflowPunct/>
              <w:topLinePunct w:val="0"/>
              <w:bidi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所有所有脊柱侧弯患者（Cobb角&gt;10°）</w:t>
            </w:r>
          </w:p>
        </w:tc>
        <w:tc>
          <w:tcPr>
            <w:tcW w:w="2199" w:type="dxa"/>
            <w:tcBorders>
              <w:top w:val="single" w:color="000000" w:sz="8" w:space="0"/>
              <w:left w:val="single" w:color="000000" w:sz="8" w:space="0"/>
              <w:bottom w:val="single" w:color="000000" w:sz="8" w:space="0"/>
              <w:right w:val="single" w:color="000000" w:sz="8" w:space="0"/>
            </w:tcBorders>
            <w:vAlign w:val="center"/>
          </w:tcPr>
          <w:p w14:paraId="289E2B3A">
            <w:pPr>
              <w:pStyle w:val="37"/>
              <w:pageBreakBefore w:val="0"/>
              <w:wordWrap/>
              <w:overflowPunct/>
              <w:topLinePunct w:val="0"/>
              <w:bidi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每次治疗前评估患者Cobb角、ATR。</w:t>
            </w:r>
          </w:p>
        </w:tc>
      </w:tr>
      <w:tr w14:paraId="7249B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9" w:hRule="atLeast"/>
          <w:jc w:val="center"/>
        </w:trPr>
        <w:tc>
          <w:tcPr>
            <w:tcW w:w="1065" w:type="dxa"/>
            <w:tcBorders>
              <w:top w:val="single" w:color="000000" w:sz="8" w:space="0"/>
              <w:left w:val="single" w:color="000000" w:sz="8" w:space="0"/>
              <w:bottom w:val="single" w:color="000000" w:sz="8" w:space="0"/>
              <w:right w:val="single" w:color="000000" w:sz="8" w:space="0"/>
            </w:tcBorders>
            <w:vAlign w:val="center"/>
          </w:tcPr>
          <w:p w14:paraId="3345FF25">
            <w:pPr>
              <w:pStyle w:val="37"/>
              <w:pageBreakBefore w:val="0"/>
              <w:wordWrap/>
              <w:overflowPunct/>
              <w:topLinePunct w:val="0"/>
              <w:bidi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巩固期</w:t>
            </w:r>
          </w:p>
        </w:tc>
        <w:tc>
          <w:tcPr>
            <w:tcW w:w="1181" w:type="dxa"/>
            <w:tcBorders>
              <w:top w:val="single" w:color="000000" w:sz="8" w:space="0"/>
              <w:left w:val="single" w:color="000000" w:sz="8" w:space="0"/>
              <w:bottom w:val="single" w:color="000000" w:sz="8" w:space="0"/>
              <w:right w:val="single" w:color="000000" w:sz="8" w:space="0"/>
            </w:tcBorders>
            <w:vAlign w:val="center"/>
          </w:tcPr>
          <w:p w14:paraId="27B53CE6">
            <w:pPr>
              <w:pStyle w:val="37"/>
              <w:pageBreakBefore w:val="0"/>
              <w:wordWrap/>
              <w:overflowPunct/>
              <w:topLinePunct w:val="0"/>
              <w:bidi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1周/次</w:t>
            </w:r>
          </w:p>
        </w:tc>
        <w:tc>
          <w:tcPr>
            <w:tcW w:w="916" w:type="dxa"/>
            <w:tcBorders>
              <w:top w:val="single" w:color="000000" w:sz="8" w:space="0"/>
              <w:left w:val="single" w:color="000000" w:sz="8" w:space="0"/>
              <w:bottom w:val="single" w:color="000000" w:sz="8" w:space="0"/>
              <w:right w:val="single" w:color="000000" w:sz="8" w:space="0"/>
            </w:tcBorders>
            <w:vAlign w:val="center"/>
          </w:tcPr>
          <w:p w14:paraId="0A2B6B62">
            <w:pPr>
              <w:pStyle w:val="37"/>
              <w:pageBreakBefore w:val="0"/>
              <w:wordWrap/>
              <w:overflowPunct/>
              <w:topLinePunct w:val="0"/>
              <w:bidi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5次</w:t>
            </w:r>
          </w:p>
        </w:tc>
        <w:tc>
          <w:tcPr>
            <w:tcW w:w="1015" w:type="dxa"/>
            <w:tcBorders>
              <w:top w:val="single" w:color="000000" w:sz="8" w:space="0"/>
              <w:left w:val="single" w:color="000000" w:sz="8" w:space="0"/>
              <w:bottom w:val="single" w:color="000000" w:sz="8" w:space="0"/>
              <w:right w:val="single" w:color="000000" w:sz="8" w:space="0"/>
            </w:tcBorders>
            <w:vAlign w:val="center"/>
          </w:tcPr>
          <w:p w14:paraId="695149C8">
            <w:pPr>
              <w:pStyle w:val="37"/>
              <w:pageBreakBefore w:val="0"/>
              <w:wordWrap/>
              <w:overflowPunct/>
              <w:topLinePunct w:val="0"/>
              <w:bidi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12周</w:t>
            </w:r>
          </w:p>
        </w:tc>
        <w:tc>
          <w:tcPr>
            <w:tcW w:w="2361" w:type="dxa"/>
            <w:tcBorders>
              <w:top w:val="single" w:color="000000" w:sz="8" w:space="0"/>
              <w:left w:val="single" w:color="000000" w:sz="8" w:space="0"/>
              <w:bottom w:val="single" w:color="000000" w:sz="8" w:space="0"/>
              <w:right w:val="single" w:color="000000" w:sz="8" w:space="0"/>
            </w:tcBorders>
            <w:vAlign w:val="center"/>
          </w:tcPr>
          <w:p w14:paraId="77316A86">
            <w:pPr>
              <w:pStyle w:val="37"/>
              <w:pageBreakBefore w:val="0"/>
              <w:wordWrap/>
              <w:overflowPunct/>
              <w:topLinePunct w:val="0"/>
              <w:bidi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治疗期Cobb角下降5°或稳定患者</w:t>
            </w:r>
          </w:p>
        </w:tc>
        <w:tc>
          <w:tcPr>
            <w:tcW w:w="2199" w:type="dxa"/>
            <w:tcBorders>
              <w:top w:val="single" w:color="000000" w:sz="8" w:space="0"/>
              <w:left w:val="single" w:color="000000" w:sz="8" w:space="0"/>
              <w:bottom w:val="single" w:color="000000" w:sz="8" w:space="0"/>
              <w:right w:val="single" w:color="000000" w:sz="8" w:space="0"/>
            </w:tcBorders>
            <w:vAlign w:val="center"/>
          </w:tcPr>
          <w:p w14:paraId="58ED6139">
            <w:pPr>
              <w:pStyle w:val="37"/>
              <w:pageBreakBefore w:val="0"/>
              <w:wordWrap/>
              <w:overflowPunct/>
              <w:topLinePunct w:val="0"/>
              <w:bidi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巩固期以稳定侧弯角度为主</w:t>
            </w:r>
          </w:p>
        </w:tc>
      </w:tr>
      <w:tr w14:paraId="1C917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1065" w:type="dxa"/>
            <w:tcBorders>
              <w:top w:val="single" w:color="000000" w:sz="8" w:space="0"/>
              <w:left w:val="single" w:color="000000" w:sz="8" w:space="0"/>
              <w:bottom w:val="single" w:color="000000" w:sz="8" w:space="0"/>
              <w:right w:val="single" w:color="000000" w:sz="8" w:space="0"/>
            </w:tcBorders>
            <w:vAlign w:val="center"/>
          </w:tcPr>
          <w:p w14:paraId="1433E002">
            <w:pPr>
              <w:pStyle w:val="37"/>
              <w:pageBreakBefore w:val="0"/>
              <w:wordWrap/>
              <w:overflowPunct/>
              <w:topLinePunct w:val="0"/>
              <w:bidi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随访期</w:t>
            </w:r>
          </w:p>
        </w:tc>
        <w:tc>
          <w:tcPr>
            <w:tcW w:w="1181" w:type="dxa"/>
            <w:tcBorders>
              <w:top w:val="single" w:color="000000" w:sz="8" w:space="0"/>
              <w:left w:val="single" w:color="000000" w:sz="8" w:space="0"/>
              <w:bottom w:val="single" w:color="000000" w:sz="8" w:space="0"/>
              <w:right w:val="single" w:color="000000" w:sz="8" w:space="0"/>
            </w:tcBorders>
            <w:vAlign w:val="center"/>
          </w:tcPr>
          <w:p w14:paraId="217BFE4F">
            <w:pPr>
              <w:pStyle w:val="37"/>
              <w:pageBreakBefore w:val="0"/>
              <w:wordWrap/>
              <w:overflowPunct/>
              <w:topLinePunct w:val="0"/>
              <w:bidi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3个月/次（随访）</w:t>
            </w:r>
          </w:p>
        </w:tc>
        <w:tc>
          <w:tcPr>
            <w:tcW w:w="916" w:type="dxa"/>
            <w:tcBorders>
              <w:top w:val="single" w:color="000000" w:sz="8" w:space="0"/>
              <w:left w:val="single" w:color="000000" w:sz="8" w:space="0"/>
              <w:bottom w:val="single" w:color="000000" w:sz="8" w:space="0"/>
              <w:right w:val="single" w:color="000000" w:sz="8" w:space="0"/>
            </w:tcBorders>
            <w:vAlign w:val="center"/>
          </w:tcPr>
          <w:p w14:paraId="04F058CA">
            <w:pPr>
              <w:pStyle w:val="37"/>
              <w:pageBreakBefore w:val="0"/>
              <w:wordWrap/>
              <w:overflowPunct/>
              <w:topLinePunct w:val="0"/>
              <w:bidi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w:t>
            </w:r>
          </w:p>
        </w:tc>
        <w:tc>
          <w:tcPr>
            <w:tcW w:w="1015" w:type="dxa"/>
            <w:tcBorders>
              <w:top w:val="single" w:color="000000" w:sz="8" w:space="0"/>
              <w:left w:val="single" w:color="000000" w:sz="8" w:space="0"/>
              <w:bottom w:val="single" w:color="000000" w:sz="8" w:space="0"/>
              <w:right w:val="single" w:color="000000" w:sz="8" w:space="0"/>
            </w:tcBorders>
            <w:vAlign w:val="center"/>
          </w:tcPr>
          <w:p w14:paraId="43F8F920">
            <w:pPr>
              <w:pStyle w:val="37"/>
              <w:pageBreakBefore w:val="0"/>
              <w:wordWrap/>
              <w:overflowPunct/>
              <w:topLinePunct w:val="0"/>
              <w:bidi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6个月</w:t>
            </w:r>
          </w:p>
        </w:tc>
        <w:tc>
          <w:tcPr>
            <w:tcW w:w="2361" w:type="dxa"/>
            <w:tcBorders>
              <w:top w:val="single" w:color="000000" w:sz="8" w:space="0"/>
              <w:left w:val="single" w:color="000000" w:sz="8" w:space="0"/>
              <w:bottom w:val="single" w:color="000000" w:sz="8" w:space="0"/>
              <w:right w:val="single" w:color="000000" w:sz="8" w:space="0"/>
            </w:tcBorders>
            <w:vAlign w:val="center"/>
          </w:tcPr>
          <w:p w14:paraId="7F34570B">
            <w:pPr>
              <w:pStyle w:val="37"/>
              <w:pageBreakBefore w:val="0"/>
              <w:wordWrap/>
              <w:overflowPunct/>
              <w:topLinePunct w:val="0"/>
              <w:bidi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完成治疗期与巩固期的患者</w:t>
            </w:r>
          </w:p>
        </w:tc>
        <w:tc>
          <w:tcPr>
            <w:tcW w:w="2199" w:type="dxa"/>
            <w:tcBorders>
              <w:top w:val="single" w:color="000000" w:sz="8" w:space="0"/>
              <w:left w:val="single" w:color="000000" w:sz="8" w:space="0"/>
              <w:bottom w:val="single" w:color="000000" w:sz="8" w:space="0"/>
              <w:right w:val="single" w:color="000000" w:sz="8" w:space="0"/>
            </w:tcBorders>
            <w:vAlign w:val="center"/>
          </w:tcPr>
          <w:p w14:paraId="4268045F">
            <w:pPr>
              <w:pStyle w:val="37"/>
              <w:pageBreakBefore w:val="0"/>
              <w:wordWrap/>
              <w:overflowPunct/>
              <w:topLinePunct w:val="0"/>
              <w:bidi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随访时监测Cobb角，避免辐射伤害</w:t>
            </w:r>
          </w:p>
        </w:tc>
      </w:tr>
    </w:tbl>
    <w:p w14:paraId="0885842D">
      <w:pPr>
        <w:pStyle w:val="70"/>
        <w:spacing w:before="120" w:after="120"/>
        <w:rPr>
          <w:rFonts w:hint="eastAsia"/>
          <w:lang w:val="en-US" w:eastAsia="en-US"/>
        </w:rPr>
      </w:pPr>
      <w:bookmarkStart w:id="68" w:name="_Toc16661"/>
      <w:bookmarkStart w:id="69" w:name="_Toc219835484"/>
      <w:r>
        <w:rPr>
          <w:rFonts w:hint="eastAsia"/>
          <w:lang w:val="en-US" w:eastAsia="en-US"/>
        </w:rPr>
        <w:t>疗程中止与调整指征</w:t>
      </w:r>
      <w:bookmarkEnd w:id="68"/>
      <w:bookmarkEnd w:id="69"/>
    </w:p>
    <w:p w14:paraId="29C9EED1">
      <w:pPr>
        <w:pageBreakBefore w:val="0"/>
        <w:widowControl/>
        <w:wordWrap/>
        <w:overflowPunct/>
        <w:topLinePunct w:val="0"/>
        <w:bidi w:val="0"/>
        <w:adjustRightInd w:val="0"/>
        <w:spacing w:beforeAutospacing="0" w:afterAutospacing="0" w:line="240" w:lineRule="auto"/>
        <w:ind w:left="0" w:leftChars="0" w:right="0" w:firstLine="452" w:firstLineChars="200"/>
        <w:jc w:val="left"/>
        <w:textAlignment w:val="auto"/>
        <w:rPr>
          <w:rFonts w:hint="eastAsia" w:ascii="宋体" w:hAnsi="宋体" w:eastAsia="宋体" w:cs="宋体"/>
          <w:sz w:val="21"/>
          <w:szCs w:val="21"/>
        </w:rPr>
      </w:pPr>
      <w:r>
        <w:rPr>
          <w:rFonts w:hint="eastAsia" w:ascii="宋体" w:hAnsi="宋体" w:eastAsia="宋体" w:cs="宋体"/>
          <w:color w:val="000000"/>
          <w:spacing w:val="8"/>
          <w:kern w:val="0"/>
          <w:sz w:val="21"/>
          <w:szCs w:val="21"/>
          <w:lang w:eastAsia="en-US"/>
        </w:rPr>
        <w:t>疗程中如出现明显头晕、心悸、血压异常波动、肢体麻木加重或其他不良反应，应立即中止治疗，并进行相应医学评估与处理</w:t>
      </w:r>
      <w:r>
        <w:rPr>
          <w:rFonts w:hint="eastAsia" w:ascii="宋体" w:hAnsi="宋体" w:eastAsia="宋体" w:cs="宋体"/>
          <w:sz w:val="21"/>
          <w:szCs w:val="21"/>
        </w:rPr>
        <w:t>。</w:t>
      </w:r>
    </w:p>
    <w:p w14:paraId="3743C048">
      <w:pPr>
        <w:pageBreakBefore w:val="0"/>
        <w:widowControl/>
        <w:wordWrap/>
        <w:overflowPunct/>
        <w:topLinePunct w:val="0"/>
        <w:bidi w:val="0"/>
        <w:adjustRightInd w:val="0"/>
        <w:spacing w:beforeAutospacing="0" w:afterAutospacing="0" w:line="240" w:lineRule="auto"/>
        <w:ind w:left="0" w:leftChars="0" w:right="0" w:firstLine="452" w:firstLineChars="200"/>
        <w:jc w:val="left"/>
        <w:textAlignment w:val="auto"/>
        <w:rPr>
          <w:rFonts w:hint="eastAsia" w:ascii="宋体" w:hAnsi="宋体" w:eastAsia="宋体" w:cs="宋体"/>
          <w:kern w:val="0"/>
          <w:sz w:val="21"/>
          <w:szCs w:val="21"/>
        </w:rPr>
      </w:pPr>
      <w:r>
        <w:rPr>
          <w:rFonts w:hint="eastAsia" w:ascii="宋体" w:hAnsi="宋体" w:eastAsia="宋体" w:cs="宋体"/>
          <w:color w:val="000000"/>
          <w:spacing w:val="8"/>
          <w:kern w:val="0"/>
          <w:sz w:val="21"/>
          <w:szCs w:val="21"/>
          <w:lang w:eastAsia="en-US"/>
        </w:rPr>
        <w:t>若连续1个疗程治疗后症状无明显改善，或影像学及相关指标提示风险增加，应重新评估适应证，必要时终止推拿治疗</w:t>
      </w:r>
      <w:r>
        <w:rPr>
          <w:rFonts w:hint="eastAsia" w:ascii="宋体" w:hAnsi="宋体" w:eastAsia="宋体" w:cs="宋体"/>
          <w:sz w:val="21"/>
          <w:szCs w:val="21"/>
        </w:rPr>
        <w:t>。</w:t>
      </w:r>
    </w:p>
    <w:p w14:paraId="5A7F2C68">
      <w:pPr>
        <w:pStyle w:val="67"/>
        <w:spacing w:before="240" w:after="240"/>
        <w:rPr>
          <w:rFonts w:hint="eastAsia"/>
          <w:lang w:val="en-US" w:eastAsia="en-US"/>
        </w:rPr>
      </w:pPr>
      <w:bookmarkStart w:id="70" w:name="_Toc208503241"/>
      <w:bookmarkStart w:id="71" w:name="_Toc219835485"/>
      <w:bookmarkStart w:id="72" w:name="_Toc31904"/>
      <w:r>
        <w:rPr>
          <w:rFonts w:hint="eastAsia"/>
          <w:lang w:val="en-US" w:eastAsia="en-US"/>
        </w:rPr>
        <w:t>疗效评价</w:t>
      </w:r>
      <w:bookmarkEnd w:id="70"/>
      <w:bookmarkEnd w:id="71"/>
      <w:bookmarkEnd w:id="72"/>
    </w:p>
    <w:p w14:paraId="184BB2B3">
      <w:pPr>
        <w:pStyle w:val="70"/>
        <w:spacing w:before="120" w:after="120"/>
        <w:rPr>
          <w:rFonts w:hint="eastAsia"/>
          <w:lang w:val="en-US" w:eastAsia="en-US"/>
        </w:rPr>
      </w:pPr>
      <w:bookmarkStart w:id="73" w:name="_Toc219835486"/>
      <w:bookmarkStart w:id="74" w:name="_Toc208503242"/>
      <w:bookmarkStart w:id="75" w:name="_Toc20203"/>
      <w:r>
        <w:rPr>
          <w:rFonts w:hint="eastAsia"/>
          <w:lang w:val="en-US" w:eastAsia="en-US"/>
        </w:rPr>
        <w:t>评价指标</w:t>
      </w:r>
      <w:bookmarkEnd w:id="73"/>
      <w:bookmarkEnd w:id="74"/>
      <w:bookmarkEnd w:id="75"/>
    </w:p>
    <w:p w14:paraId="64076E2E">
      <w:pPr>
        <w:pageBreakBefore w:val="0"/>
        <w:widowControl/>
        <w:wordWrap/>
        <w:overflowPunct/>
        <w:topLinePunct w:val="0"/>
        <w:bidi w:val="0"/>
        <w:adjustRightInd w:val="0"/>
        <w:spacing w:beforeAutospacing="0" w:afterAutospacing="0" w:line="240" w:lineRule="auto"/>
        <w:ind w:left="0" w:leftChars="0" w:right="0" w:firstLine="452" w:firstLineChars="200"/>
        <w:jc w:val="left"/>
        <w:textAlignment w:val="auto"/>
        <w:rPr>
          <w:rFonts w:hint="eastAsia" w:ascii="宋体" w:hAnsi="宋体" w:eastAsia="宋体" w:cs="宋体"/>
          <w:sz w:val="21"/>
          <w:szCs w:val="21"/>
        </w:rPr>
      </w:pPr>
      <w:r>
        <w:rPr>
          <w:rFonts w:hint="eastAsia" w:ascii="宋体" w:hAnsi="宋体" w:eastAsia="宋体" w:cs="宋体"/>
          <w:color w:val="000000"/>
          <w:spacing w:val="8"/>
          <w:kern w:val="0"/>
          <w:sz w:val="21"/>
          <w:szCs w:val="21"/>
          <w:lang w:eastAsia="en-US"/>
        </w:rPr>
        <w:t>疗效评价应坚持客观性、可重复性和安全性原则，采用临床症状、功能状态及辅助检查指标相结合的多维度综合评价体系。</w:t>
      </w:r>
    </w:p>
    <w:p w14:paraId="21D27111">
      <w:pPr>
        <w:pStyle w:val="71"/>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黑体" w:hAnsi="黑体" w:eastAsia="黑体" w:cs="黑体"/>
          <w:lang w:val="en-US" w:eastAsia="en-US"/>
        </w:rPr>
      </w:pPr>
      <w:r>
        <w:rPr>
          <w:rFonts w:hint="eastAsia" w:ascii="黑体" w:hAnsi="黑体" w:eastAsia="黑体" w:cs="黑体"/>
          <w:lang w:val="en-US" w:eastAsia="en-US"/>
        </w:rPr>
        <w:t>核心客观指标</w:t>
      </w:r>
    </w:p>
    <w:p w14:paraId="36C7F89D">
      <w:pPr>
        <w:pageBreakBefore w:val="0"/>
        <w:widowControl/>
        <w:wordWrap/>
        <w:overflowPunct/>
        <w:topLinePunct w:val="0"/>
        <w:bidi w:val="0"/>
        <w:adjustRightInd w:val="0"/>
        <w:spacing w:beforeAutospacing="0" w:afterAutospacing="0" w:line="240" w:lineRule="auto"/>
        <w:ind w:left="0" w:leftChars="0" w:right="0" w:firstLine="452" w:firstLineChars="200"/>
        <w:jc w:val="left"/>
        <w:textAlignment w:val="auto"/>
        <w:rPr>
          <w:rFonts w:hint="eastAsia" w:ascii="宋体" w:hAnsi="宋体" w:eastAsia="宋体" w:cs="宋体"/>
          <w:color w:val="000000"/>
          <w:spacing w:val="8"/>
          <w:kern w:val="0"/>
          <w:sz w:val="21"/>
          <w:szCs w:val="21"/>
          <w:lang w:val="en-US" w:eastAsia="en-US"/>
        </w:rPr>
      </w:pPr>
      <w:r>
        <w:rPr>
          <w:rFonts w:hint="eastAsia" w:ascii="宋体" w:hAnsi="宋体" w:eastAsia="宋体" w:cs="宋体"/>
          <w:color w:val="000000"/>
          <w:spacing w:val="8"/>
          <w:kern w:val="0"/>
          <w:sz w:val="21"/>
          <w:szCs w:val="21"/>
          <w:lang w:val="en-US" w:eastAsia="en-US"/>
        </w:rPr>
        <w:t>核心客观指标用于量化Cobb角的变化，是疗效评价的主要依据，具体指标与测量方法见表</w:t>
      </w:r>
      <w:r>
        <w:rPr>
          <w:rFonts w:hint="eastAsia" w:ascii="宋体" w:hAnsi="宋体" w:eastAsia="宋体" w:cs="宋体"/>
          <w:color w:val="000000"/>
          <w:spacing w:val="8"/>
          <w:kern w:val="0"/>
          <w:sz w:val="21"/>
          <w:szCs w:val="21"/>
          <w:lang w:val="en-US" w:eastAsia="zh-CN"/>
        </w:rPr>
        <w:t>3</w:t>
      </w:r>
      <w:r>
        <w:rPr>
          <w:rFonts w:hint="eastAsia" w:ascii="宋体" w:hAnsi="宋体" w:eastAsia="宋体" w:cs="宋体"/>
          <w:color w:val="000000"/>
          <w:spacing w:val="8"/>
          <w:kern w:val="0"/>
          <w:sz w:val="21"/>
          <w:szCs w:val="21"/>
          <w:lang w:val="en-US" w:eastAsia="en-US"/>
        </w:rPr>
        <w:t>。</w:t>
      </w:r>
    </w:p>
    <w:p w14:paraId="33C5FFF4">
      <w:pPr>
        <w:pageBreakBefore w:val="0"/>
        <w:widowControl/>
        <w:wordWrap/>
        <w:overflowPunct/>
        <w:topLinePunct w:val="0"/>
        <w:bidi w:val="0"/>
        <w:adjustRightInd w:val="0"/>
        <w:spacing w:beforeAutospacing="0" w:afterAutospacing="0" w:line="240" w:lineRule="auto"/>
        <w:ind w:left="0" w:leftChars="0" w:right="0" w:firstLine="452" w:firstLineChars="200"/>
        <w:jc w:val="center"/>
        <w:textAlignment w:val="auto"/>
        <w:rPr>
          <w:rFonts w:hint="eastAsia" w:ascii="宋体" w:hAnsi="宋体" w:eastAsia="宋体" w:cs="宋体"/>
          <w:color w:val="000000"/>
          <w:spacing w:val="8"/>
          <w:kern w:val="0"/>
          <w:sz w:val="21"/>
          <w:szCs w:val="21"/>
          <w:lang w:val="en-US" w:eastAsia="en-US"/>
        </w:rPr>
      </w:pPr>
      <w:r>
        <w:rPr>
          <w:rFonts w:hint="eastAsia" w:ascii="宋体" w:hAnsi="宋体" w:eastAsia="宋体" w:cs="宋体"/>
          <w:color w:val="000000"/>
          <w:spacing w:val="8"/>
          <w:kern w:val="0"/>
          <w:sz w:val="21"/>
          <w:szCs w:val="21"/>
          <w:lang w:val="en-US" w:eastAsia="en-US"/>
        </w:rPr>
        <w:t>表</w:t>
      </w:r>
      <w:r>
        <w:rPr>
          <w:rFonts w:hint="eastAsia" w:ascii="宋体" w:hAnsi="宋体" w:eastAsia="宋体" w:cs="宋体"/>
          <w:color w:val="000000"/>
          <w:spacing w:val="8"/>
          <w:kern w:val="0"/>
          <w:sz w:val="21"/>
          <w:szCs w:val="21"/>
          <w:lang w:val="en-US" w:eastAsia="zh-CN"/>
        </w:rPr>
        <w:t>3</w:t>
      </w:r>
      <w:r>
        <w:rPr>
          <w:rFonts w:hint="eastAsia" w:ascii="宋体" w:hAnsi="宋体" w:eastAsia="宋体" w:cs="宋体"/>
          <w:color w:val="000000"/>
          <w:spacing w:val="8"/>
          <w:kern w:val="0"/>
          <w:sz w:val="21"/>
          <w:szCs w:val="21"/>
          <w:lang w:val="en-US" w:eastAsia="en-US"/>
        </w:rPr>
        <w:t xml:space="preserve"> 核心客观指标及测量要求</w:t>
      </w:r>
    </w:p>
    <w:tbl>
      <w:tblPr>
        <w:tblStyle w:val="21"/>
        <w:tblW w:w="92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275"/>
        <w:gridCol w:w="3764"/>
        <w:gridCol w:w="1845"/>
        <w:gridCol w:w="2394"/>
      </w:tblGrid>
      <w:tr w14:paraId="7F7EB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69" w:hRule="atLeast"/>
          <w:tblHeader/>
          <w:jc w:val="center"/>
        </w:trPr>
        <w:tc>
          <w:tcPr>
            <w:tcW w:w="1275" w:type="dxa"/>
            <w:tcBorders>
              <w:top w:val="single" w:color="000000" w:sz="8" w:space="0"/>
              <w:left w:val="single" w:color="000000" w:sz="8" w:space="0"/>
              <w:bottom w:val="single" w:color="000000" w:sz="8" w:space="0"/>
              <w:right w:val="single" w:color="000000" w:sz="8" w:space="0"/>
            </w:tcBorders>
            <w:vAlign w:val="center"/>
          </w:tcPr>
          <w:p w14:paraId="679249EC">
            <w:pPr>
              <w:pStyle w:val="37"/>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指标名称</w:t>
            </w:r>
          </w:p>
        </w:tc>
        <w:tc>
          <w:tcPr>
            <w:tcW w:w="3764" w:type="dxa"/>
            <w:tcBorders>
              <w:top w:val="single" w:color="000000" w:sz="8" w:space="0"/>
              <w:left w:val="single" w:color="000000" w:sz="8" w:space="0"/>
              <w:bottom w:val="single" w:color="000000" w:sz="8" w:space="0"/>
              <w:right w:val="single" w:color="000000" w:sz="8" w:space="0"/>
            </w:tcBorders>
            <w:vAlign w:val="center"/>
          </w:tcPr>
          <w:p w14:paraId="66D7E9F2">
            <w:pPr>
              <w:pStyle w:val="37"/>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测量方法</w:t>
            </w:r>
          </w:p>
        </w:tc>
        <w:tc>
          <w:tcPr>
            <w:tcW w:w="1845" w:type="dxa"/>
            <w:tcBorders>
              <w:top w:val="single" w:color="000000" w:sz="8" w:space="0"/>
              <w:left w:val="single" w:color="000000" w:sz="8" w:space="0"/>
              <w:bottom w:val="single" w:color="000000" w:sz="8" w:space="0"/>
              <w:right w:val="single" w:color="000000" w:sz="8" w:space="0"/>
            </w:tcBorders>
            <w:vAlign w:val="center"/>
          </w:tcPr>
          <w:p w14:paraId="0357450A">
            <w:pPr>
              <w:pStyle w:val="37"/>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测量时间节点</w:t>
            </w:r>
          </w:p>
        </w:tc>
        <w:tc>
          <w:tcPr>
            <w:tcW w:w="2394" w:type="dxa"/>
            <w:tcBorders>
              <w:top w:val="single" w:color="000000" w:sz="8" w:space="0"/>
              <w:left w:val="single" w:color="000000" w:sz="8" w:space="0"/>
              <w:bottom w:val="single" w:color="000000" w:sz="8" w:space="0"/>
              <w:right w:val="single" w:color="000000" w:sz="8" w:space="0"/>
            </w:tcBorders>
            <w:vAlign w:val="center"/>
          </w:tcPr>
          <w:p w14:paraId="1C0B4B4D">
            <w:pPr>
              <w:pStyle w:val="37"/>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评价标准</w:t>
            </w:r>
          </w:p>
        </w:tc>
      </w:tr>
      <w:tr w14:paraId="66F8E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215" w:hRule="atLeast"/>
          <w:jc w:val="center"/>
        </w:trPr>
        <w:tc>
          <w:tcPr>
            <w:tcW w:w="1275" w:type="dxa"/>
            <w:tcBorders>
              <w:top w:val="single" w:color="000000" w:sz="8" w:space="0"/>
              <w:left w:val="single" w:color="000000" w:sz="8" w:space="0"/>
              <w:bottom w:val="single" w:color="000000" w:sz="8" w:space="0"/>
              <w:right w:val="single" w:color="000000" w:sz="8" w:space="0"/>
            </w:tcBorders>
            <w:vAlign w:val="center"/>
          </w:tcPr>
          <w:p w14:paraId="09302E08">
            <w:pPr>
              <w:pStyle w:val="37"/>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Cobb角</w:t>
            </w:r>
          </w:p>
        </w:tc>
        <w:tc>
          <w:tcPr>
            <w:tcW w:w="3764" w:type="dxa"/>
            <w:tcBorders>
              <w:top w:val="single" w:color="000000" w:sz="8" w:space="0"/>
              <w:left w:val="single" w:color="000000" w:sz="8" w:space="0"/>
              <w:bottom w:val="single" w:color="000000" w:sz="8" w:space="0"/>
              <w:right w:val="single" w:color="000000" w:sz="8" w:space="0"/>
            </w:tcBorders>
            <w:vAlign w:val="center"/>
          </w:tcPr>
          <w:p w14:paraId="5A408251">
            <w:pPr>
              <w:pStyle w:val="37"/>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0" w:leftChars="0" w:right="0" w:firstLine="0" w:firstLineChars="0"/>
              <w:jc w:val="left"/>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沿上端椎的上终板（UEV）和下端椎的下终板（LEV）各画一条直线，分别做这两条直线的垂线，两垂直线的交角即为侧凸Cobb角。</w:t>
            </w:r>
          </w:p>
        </w:tc>
        <w:tc>
          <w:tcPr>
            <w:tcW w:w="1845" w:type="dxa"/>
            <w:tcBorders>
              <w:top w:val="single" w:color="000000" w:sz="8" w:space="0"/>
              <w:left w:val="single" w:color="000000" w:sz="8" w:space="0"/>
              <w:bottom w:val="single" w:color="000000" w:sz="8" w:space="0"/>
              <w:right w:val="single" w:color="000000" w:sz="8" w:space="0"/>
            </w:tcBorders>
            <w:vAlign w:val="center"/>
          </w:tcPr>
          <w:p w14:paraId="67BC41A1">
            <w:pPr>
              <w:pStyle w:val="37"/>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0" w:leftChars="0" w:right="0" w:firstLine="0" w:firstLineChars="0"/>
              <w:jc w:val="left"/>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治疗前、每个治疗阶段后、随访期每月</w:t>
            </w:r>
          </w:p>
        </w:tc>
        <w:tc>
          <w:tcPr>
            <w:tcW w:w="2394" w:type="dxa"/>
            <w:tcBorders>
              <w:top w:val="single" w:color="000000" w:sz="8" w:space="0"/>
              <w:left w:val="single" w:color="000000" w:sz="8" w:space="0"/>
              <w:bottom w:val="single" w:color="000000" w:sz="8" w:space="0"/>
              <w:right w:val="single" w:color="000000" w:sz="8" w:space="0"/>
            </w:tcBorders>
            <w:vAlign w:val="center"/>
          </w:tcPr>
          <w:p w14:paraId="79B83EF6">
            <w:pPr>
              <w:pStyle w:val="37"/>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0" w:leftChars="0" w:right="0" w:firstLine="0" w:firstLineChars="0"/>
              <w:jc w:val="left"/>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Cobb角矫正率=（治疗前Cobb角 -治疗后Cobb角）/治疗前Cobb角×100%</w:t>
            </w:r>
          </w:p>
        </w:tc>
      </w:tr>
      <w:tr w14:paraId="2639A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275" w:hRule="atLeast"/>
          <w:jc w:val="center"/>
        </w:trPr>
        <w:tc>
          <w:tcPr>
            <w:tcW w:w="1275" w:type="dxa"/>
            <w:tcBorders>
              <w:top w:val="single" w:color="000000" w:sz="8" w:space="0"/>
              <w:left w:val="single" w:color="000000" w:sz="8" w:space="0"/>
              <w:bottom w:val="single" w:color="000000" w:sz="8" w:space="0"/>
              <w:right w:val="single" w:color="000000" w:sz="8" w:space="0"/>
            </w:tcBorders>
            <w:vAlign w:val="center"/>
          </w:tcPr>
          <w:p w14:paraId="5565B8F5">
            <w:pPr>
              <w:pStyle w:val="37"/>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ATR</w:t>
            </w:r>
          </w:p>
        </w:tc>
        <w:tc>
          <w:tcPr>
            <w:tcW w:w="3764" w:type="dxa"/>
            <w:tcBorders>
              <w:top w:val="single" w:color="000000" w:sz="8" w:space="0"/>
              <w:left w:val="single" w:color="000000" w:sz="8" w:space="0"/>
              <w:bottom w:val="single" w:color="000000" w:sz="8" w:space="0"/>
              <w:right w:val="single" w:color="000000" w:sz="8" w:space="0"/>
            </w:tcBorders>
            <w:vAlign w:val="center"/>
          </w:tcPr>
          <w:p w14:paraId="1BFA3AC8">
            <w:pPr>
              <w:pStyle w:val="37"/>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0" w:leftChars="0" w:right="0" w:firstLine="0" w:firstLineChars="0"/>
              <w:jc w:val="left"/>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被检查者光脚站立，双脚并拢，双手掌心相对，指尖对齐双脚间隙，双上肢前屈90°。观察者站在被检查者正后方，用脊柱测量尺测量旋转度数，被检查者向前缓慢低头弯腰。将尺从头部向尾部移动，记录最高点度数，即为该弯的旋转度数。旋转度数会在移动过程中不断变化。</w:t>
            </w:r>
          </w:p>
        </w:tc>
        <w:tc>
          <w:tcPr>
            <w:tcW w:w="1845" w:type="dxa"/>
            <w:tcBorders>
              <w:top w:val="single" w:color="000000" w:sz="8" w:space="0"/>
              <w:left w:val="single" w:color="000000" w:sz="8" w:space="0"/>
              <w:bottom w:val="single" w:color="000000" w:sz="8" w:space="0"/>
              <w:right w:val="single" w:color="000000" w:sz="8" w:space="0"/>
            </w:tcBorders>
            <w:vAlign w:val="center"/>
          </w:tcPr>
          <w:p w14:paraId="670B5D78">
            <w:pPr>
              <w:pStyle w:val="37"/>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0" w:leftChars="0" w:right="0" w:firstLine="0" w:firstLineChars="0"/>
              <w:jc w:val="left"/>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治疗前、每个治疗阶段后、随访期每月</w:t>
            </w:r>
          </w:p>
        </w:tc>
        <w:tc>
          <w:tcPr>
            <w:tcW w:w="2394" w:type="dxa"/>
            <w:tcBorders>
              <w:top w:val="single" w:color="000000" w:sz="8" w:space="0"/>
              <w:left w:val="single" w:color="000000" w:sz="8" w:space="0"/>
              <w:bottom w:val="single" w:color="000000" w:sz="8" w:space="0"/>
              <w:right w:val="single" w:color="000000" w:sz="8" w:space="0"/>
            </w:tcBorders>
            <w:vAlign w:val="center"/>
          </w:tcPr>
          <w:p w14:paraId="436D8304">
            <w:pPr>
              <w:pStyle w:val="37"/>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0" w:leftChars="0" w:right="0" w:firstLine="0" w:firstLineChars="0"/>
              <w:jc w:val="left"/>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ATR变化率=（治疗前ATR -治疗后ATR）/治疗前ATR×100%</w:t>
            </w:r>
          </w:p>
        </w:tc>
      </w:tr>
    </w:tbl>
    <w:p w14:paraId="6114451F">
      <w:pPr>
        <w:pStyle w:val="71"/>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黑体" w:hAnsi="黑体" w:eastAsia="黑体" w:cs="黑体"/>
          <w:lang w:val="en-US" w:eastAsia="en-US"/>
        </w:rPr>
      </w:pPr>
      <w:r>
        <w:rPr>
          <w:rFonts w:hint="eastAsia" w:ascii="黑体" w:hAnsi="黑体" w:eastAsia="黑体" w:cs="黑体"/>
          <w:lang w:val="en-US" w:eastAsia="en-US"/>
        </w:rPr>
        <w:t>中医证候积分指标</w:t>
      </w:r>
    </w:p>
    <w:p w14:paraId="6022F6D4">
      <w:pPr>
        <w:pageBreakBefore w:val="0"/>
        <w:widowControl/>
        <w:wordWrap/>
        <w:overflowPunct/>
        <w:topLinePunct w:val="0"/>
        <w:bidi w:val="0"/>
        <w:adjustRightInd w:val="0"/>
        <w:spacing w:beforeAutospacing="0" w:afterAutospacing="0" w:line="240" w:lineRule="auto"/>
        <w:ind w:left="0" w:leftChars="0" w:right="0" w:firstLine="452" w:firstLineChars="200"/>
        <w:jc w:val="left"/>
        <w:textAlignment w:val="auto"/>
        <w:rPr>
          <w:rFonts w:hint="eastAsia" w:ascii="宋体" w:hAnsi="宋体" w:eastAsia="宋体" w:cs="宋体"/>
          <w:color w:val="000000"/>
          <w:spacing w:val="8"/>
          <w:kern w:val="0"/>
          <w:sz w:val="21"/>
          <w:szCs w:val="21"/>
          <w:lang w:val="en-US" w:eastAsia="en-US"/>
        </w:rPr>
      </w:pPr>
      <w:r>
        <w:rPr>
          <w:rFonts w:hint="eastAsia" w:ascii="宋体" w:hAnsi="宋体" w:eastAsia="宋体" w:cs="宋体"/>
          <w:color w:val="000000"/>
          <w:spacing w:val="8"/>
          <w:kern w:val="0"/>
          <w:sz w:val="21"/>
          <w:szCs w:val="21"/>
          <w:lang w:val="en-US" w:eastAsia="en-US"/>
        </w:rPr>
        <w:t>中医证候积分用于评价患者症状改善情况，参照《中药新药临床研究指导原则（2002年版）》制定，具体评分标准见表</w:t>
      </w:r>
      <w:r>
        <w:rPr>
          <w:rFonts w:hint="eastAsia" w:ascii="宋体" w:hAnsi="宋体" w:eastAsia="宋体" w:cs="宋体"/>
          <w:color w:val="000000"/>
          <w:spacing w:val="8"/>
          <w:kern w:val="0"/>
          <w:sz w:val="21"/>
          <w:szCs w:val="21"/>
          <w:lang w:val="en-US" w:eastAsia="zh-CN"/>
        </w:rPr>
        <w:t>4</w:t>
      </w:r>
      <w:r>
        <w:rPr>
          <w:rFonts w:hint="eastAsia" w:ascii="宋体" w:hAnsi="宋体" w:eastAsia="宋体" w:cs="宋体"/>
          <w:color w:val="000000"/>
          <w:spacing w:val="8"/>
          <w:kern w:val="0"/>
          <w:sz w:val="21"/>
          <w:szCs w:val="21"/>
          <w:lang w:val="en-US" w:eastAsia="en-US"/>
        </w:rPr>
        <w:t>。</w:t>
      </w:r>
    </w:p>
    <w:p w14:paraId="32B4ACB9">
      <w:pPr>
        <w:pageBreakBefore w:val="0"/>
        <w:widowControl/>
        <w:wordWrap/>
        <w:overflowPunct/>
        <w:topLinePunct w:val="0"/>
        <w:bidi w:val="0"/>
        <w:adjustRightInd w:val="0"/>
        <w:spacing w:beforeAutospacing="0" w:afterAutospacing="0" w:line="240" w:lineRule="auto"/>
        <w:ind w:left="0" w:leftChars="0" w:right="0" w:firstLine="452" w:firstLineChars="200"/>
        <w:jc w:val="center"/>
        <w:textAlignment w:val="auto"/>
        <w:rPr>
          <w:rFonts w:hint="eastAsia" w:ascii="宋体" w:hAnsi="宋体" w:eastAsia="宋体" w:cs="宋体"/>
          <w:color w:val="000000"/>
          <w:spacing w:val="8"/>
          <w:kern w:val="0"/>
          <w:sz w:val="21"/>
          <w:szCs w:val="21"/>
          <w:lang w:val="en-US" w:eastAsia="en-US"/>
        </w:rPr>
      </w:pPr>
      <w:r>
        <w:rPr>
          <w:rFonts w:hint="eastAsia" w:ascii="宋体" w:hAnsi="宋体" w:eastAsia="宋体" w:cs="宋体"/>
          <w:color w:val="000000"/>
          <w:spacing w:val="8"/>
          <w:kern w:val="0"/>
          <w:sz w:val="21"/>
          <w:szCs w:val="21"/>
          <w:lang w:val="en-US" w:eastAsia="en-US"/>
        </w:rPr>
        <w:t>表</w:t>
      </w:r>
      <w:r>
        <w:rPr>
          <w:rFonts w:hint="eastAsia" w:ascii="宋体" w:hAnsi="宋体" w:eastAsia="宋体" w:cs="宋体"/>
          <w:color w:val="000000"/>
          <w:spacing w:val="8"/>
          <w:kern w:val="0"/>
          <w:sz w:val="21"/>
          <w:szCs w:val="21"/>
          <w:lang w:val="en-US" w:eastAsia="zh-CN"/>
        </w:rPr>
        <w:t xml:space="preserve">4 </w:t>
      </w:r>
      <w:r>
        <w:rPr>
          <w:rFonts w:hint="eastAsia" w:ascii="宋体" w:hAnsi="宋体" w:eastAsia="宋体" w:cs="宋体"/>
          <w:color w:val="000000"/>
          <w:spacing w:val="8"/>
          <w:kern w:val="0"/>
          <w:sz w:val="21"/>
          <w:szCs w:val="21"/>
          <w:lang w:val="en-US" w:eastAsia="en-US"/>
        </w:rPr>
        <w:t>中医证候积分评分标准</w:t>
      </w:r>
    </w:p>
    <w:tbl>
      <w:tblPr>
        <w:tblStyle w:val="21"/>
        <w:tblW w:w="95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177"/>
        <w:gridCol w:w="1209"/>
        <w:gridCol w:w="1754"/>
        <w:gridCol w:w="1833"/>
        <w:gridCol w:w="1806"/>
        <w:gridCol w:w="1818"/>
      </w:tblGrid>
      <w:tr w14:paraId="30D33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64" w:hRule="atLeast"/>
          <w:tblHeader/>
          <w:jc w:val="center"/>
        </w:trPr>
        <w:tc>
          <w:tcPr>
            <w:tcW w:w="1177" w:type="dxa"/>
            <w:tcBorders>
              <w:top w:val="single" w:color="000000" w:sz="8" w:space="0"/>
              <w:left w:val="single" w:color="000000" w:sz="8" w:space="0"/>
              <w:bottom w:val="single" w:color="000000" w:sz="8" w:space="0"/>
              <w:right w:val="single" w:color="000000" w:sz="8" w:space="0"/>
            </w:tcBorders>
            <w:vAlign w:val="center"/>
          </w:tcPr>
          <w:p w14:paraId="61C53612">
            <w:pPr>
              <w:pStyle w:val="37"/>
              <w:pageBreakBefore w:val="0"/>
              <w:wordWrap/>
              <w:overflowPunct/>
              <w:topLinePunct w:val="0"/>
              <w:bidi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症状名称</w:t>
            </w:r>
          </w:p>
        </w:tc>
        <w:tc>
          <w:tcPr>
            <w:tcW w:w="1209" w:type="dxa"/>
            <w:tcBorders>
              <w:top w:val="single" w:color="000000" w:sz="8" w:space="0"/>
              <w:left w:val="single" w:color="000000" w:sz="8" w:space="0"/>
              <w:bottom w:val="single" w:color="000000" w:sz="8" w:space="0"/>
              <w:right w:val="single" w:color="000000" w:sz="8" w:space="0"/>
            </w:tcBorders>
            <w:vAlign w:val="center"/>
          </w:tcPr>
          <w:p w14:paraId="5915AA20">
            <w:pPr>
              <w:pStyle w:val="37"/>
              <w:pageBreakBefore w:val="0"/>
              <w:wordWrap/>
              <w:overflowPunct/>
              <w:topLinePunct w:val="0"/>
              <w:bidi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0分（无）</w:t>
            </w:r>
          </w:p>
        </w:tc>
        <w:tc>
          <w:tcPr>
            <w:tcW w:w="1754" w:type="dxa"/>
            <w:tcBorders>
              <w:top w:val="single" w:color="000000" w:sz="8" w:space="0"/>
              <w:left w:val="single" w:color="000000" w:sz="8" w:space="0"/>
              <w:bottom w:val="single" w:color="000000" w:sz="8" w:space="0"/>
              <w:right w:val="single" w:color="000000" w:sz="8" w:space="0"/>
            </w:tcBorders>
            <w:vAlign w:val="center"/>
          </w:tcPr>
          <w:p w14:paraId="7F20EE15">
            <w:pPr>
              <w:pStyle w:val="37"/>
              <w:pageBreakBefore w:val="0"/>
              <w:wordWrap/>
              <w:overflowPunct/>
              <w:topLinePunct w:val="0"/>
              <w:bidi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1分（轻）</w:t>
            </w:r>
          </w:p>
        </w:tc>
        <w:tc>
          <w:tcPr>
            <w:tcW w:w="1833" w:type="dxa"/>
            <w:tcBorders>
              <w:top w:val="single" w:color="000000" w:sz="8" w:space="0"/>
              <w:left w:val="single" w:color="000000" w:sz="8" w:space="0"/>
              <w:bottom w:val="single" w:color="000000" w:sz="8" w:space="0"/>
              <w:right w:val="single" w:color="000000" w:sz="8" w:space="0"/>
            </w:tcBorders>
            <w:vAlign w:val="center"/>
          </w:tcPr>
          <w:p w14:paraId="40CAF208">
            <w:pPr>
              <w:pStyle w:val="37"/>
              <w:pageBreakBefore w:val="0"/>
              <w:wordWrap/>
              <w:overflowPunct/>
              <w:topLinePunct w:val="0"/>
              <w:bidi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2分（中）</w:t>
            </w:r>
          </w:p>
        </w:tc>
        <w:tc>
          <w:tcPr>
            <w:tcW w:w="1806" w:type="dxa"/>
            <w:tcBorders>
              <w:top w:val="single" w:color="000000" w:sz="8" w:space="0"/>
              <w:left w:val="single" w:color="000000" w:sz="8" w:space="0"/>
              <w:bottom w:val="single" w:color="000000" w:sz="8" w:space="0"/>
              <w:right w:val="single" w:color="000000" w:sz="8" w:space="0"/>
            </w:tcBorders>
            <w:vAlign w:val="center"/>
          </w:tcPr>
          <w:p w14:paraId="0CD44671">
            <w:pPr>
              <w:pStyle w:val="37"/>
              <w:pageBreakBefore w:val="0"/>
              <w:wordWrap/>
              <w:overflowPunct/>
              <w:topLinePunct w:val="0"/>
              <w:bidi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3分（重）</w:t>
            </w:r>
          </w:p>
        </w:tc>
        <w:tc>
          <w:tcPr>
            <w:tcW w:w="1818" w:type="dxa"/>
            <w:tcBorders>
              <w:top w:val="single" w:color="000000" w:sz="8" w:space="0"/>
              <w:left w:val="single" w:color="000000" w:sz="8" w:space="0"/>
              <w:bottom w:val="single" w:color="000000" w:sz="8" w:space="0"/>
              <w:right w:val="single" w:color="000000" w:sz="8" w:space="0"/>
            </w:tcBorders>
            <w:vAlign w:val="center"/>
          </w:tcPr>
          <w:p w14:paraId="676020A8">
            <w:pPr>
              <w:pStyle w:val="37"/>
              <w:pageBreakBefore w:val="0"/>
              <w:wordWrap/>
              <w:overflowPunct/>
              <w:topLinePunct w:val="0"/>
              <w:bidi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评分时间节点</w:t>
            </w:r>
          </w:p>
        </w:tc>
      </w:tr>
      <w:tr w14:paraId="755E3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09" w:hRule="atLeast"/>
          <w:jc w:val="center"/>
        </w:trPr>
        <w:tc>
          <w:tcPr>
            <w:tcW w:w="1177" w:type="dxa"/>
            <w:tcBorders>
              <w:top w:val="single" w:color="000000" w:sz="8" w:space="0"/>
              <w:left w:val="single" w:color="000000" w:sz="8" w:space="0"/>
              <w:bottom w:val="single" w:color="000000" w:sz="8" w:space="0"/>
              <w:right w:val="single" w:color="000000" w:sz="8" w:space="0"/>
            </w:tcBorders>
            <w:vAlign w:val="center"/>
          </w:tcPr>
          <w:p w14:paraId="4E22DCD4">
            <w:pPr>
              <w:pStyle w:val="37"/>
              <w:pageBreakBefore w:val="0"/>
              <w:wordWrap/>
              <w:overflowPunct/>
              <w:topLinePunct w:val="0"/>
              <w:bidi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疲倦乏力</w:t>
            </w:r>
          </w:p>
        </w:tc>
        <w:tc>
          <w:tcPr>
            <w:tcW w:w="1209" w:type="dxa"/>
            <w:tcBorders>
              <w:top w:val="single" w:color="000000" w:sz="8" w:space="0"/>
              <w:left w:val="single" w:color="000000" w:sz="8" w:space="0"/>
              <w:bottom w:val="single" w:color="000000" w:sz="8" w:space="0"/>
              <w:right w:val="single" w:color="000000" w:sz="8" w:space="0"/>
            </w:tcBorders>
            <w:vAlign w:val="center"/>
          </w:tcPr>
          <w:p w14:paraId="4C2C30B3">
            <w:pPr>
              <w:pStyle w:val="37"/>
              <w:pageBreakBefore w:val="0"/>
              <w:wordWrap/>
              <w:overflowPunct/>
              <w:topLinePunct w:val="0"/>
              <w:bidi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无</w:t>
            </w:r>
          </w:p>
        </w:tc>
        <w:tc>
          <w:tcPr>
            <w:tcW w:w="1754" w:type="dxa"/>
            <w:tcBorders>
              <w:top w:val="single" w:color="000000" w:sz="8" w:space="0"/>
              <w:left w:val="single" w:color="000000" w:sz="8" w:space="0"/>
              <w:bottom w:val="single" w:color="000000" w:sz="8" w:space="0"/>
              <w:right w:val="single" w:color="000000" w:sz="8" w:space="0"/>
            </w:tcBorders>
            <w:vAlign w:val="center"/>
          </w:tcPr>
          <w:p w14:paraId="350F0CB7">
            <w:pPr>
              <w:pStyle w:val="37"/>
              <w:pageBreakBefore w:val="0"/>
              <w:wordWrap/>
              <w:overflowPunct/>
              <w:topLinePunct w:val="0"/>
              <w:bidi w:val="0"/>
              <w:snapToGrid w:val="0"/>
              <w:spacing w:beforeAutospacing="0" w:afterAutospacing="0" w:line="240" w:lineRule="auto"/>
              <w:ind w:left="0" w:leftChars="0" w:right="0" w:firstLine="0" w:firstLineChars="0"/>
              <w:jc w:val="left"/>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活动后出现，休息后缓解</w:t>
            </w:r>
          </w:p>
        </w:tc>
        <w:tc>
          <w:tcPr>
            <w:tcW w:w="1833" w:type="dxa"/>
            <w:tcBorders>
              <w:top w:val="single" w:color="000000" w:sz="8" w:space="0"/>
              <w:left w:val="single" w:color="000000" w:sz="8" w:space="0"/>
              <w:bottom w:val="single" w:color="000000" w:sz="8" w:space="0"/>
              <w:right w:val="single" w:color="000000" w:sz="8" w:space="0"/>
            </w:tcBorders>
            <w:vAlign w:val="center"/>
          </w:tcPr>
          <w:p w14:paraId="05FC1CF6">
            <w:pPr>
              <w:pStyle w:val="37"/>
              <w:pageBreakBefore w:val="0"/>
              <w:wordWrap/>
              <w:overflowPunct/>
              <w:topLinePunct w:val="0"/>
              <w:bidi w:val="0"/>
              <w:snapToGrid w:val="0"/>
              <w:spacing w:beforeAutospacing="0" w:afterAutospacing="0" w:line="240" w:lineRule="auto"/>
              <w:ind w:left="0" w:leftChars="0" w:right="0" w:firstLine="0" w:firstLineChars="0"/>
              <w:jc w:val="left"/>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日常活动即出现，可耐受</w:t>
            </w:r>
          </w:p>
        </w:tc>
        <w:tc>
          <w:tcPr>
            <w:tcW w:w="1806" w:type="dxa"/>
            <w:tcBorders>
              <w:top w:val="single" w:color="000000" w:sz="8" w:space="0"/>
              <w:left w:val="single" w:color="000000" w:sz="8" w:space="0"/>
              <w:bottom w:val="single" w:color="000000" w:sz="8" w:space="0"/>
              <w:right w:val="single" w:color="000000" w:sz="8" w:space="0"/>
            </w:tcBorders>
            <w:vAlign w:val="center"/>
          </w:tcPr>
          <w:p w14:paraId="07D55F35">
            <w:pPr>
              <w:pStyle w:val="37"/>
              <w:pageBreakBefore w:val="0"/>
              <w:wordWrap/>
              <w:overflowPunct/>
              <w:topLinePunct w:val="0"/>
              <w:bidi w:val="0"/>
              <w:snapToGrid w:val="0"/>
              <w:spacing w:beforeAutospacing="0" w:afterAutospacing="0" w:line="240" w:lineRule="auto"/>
              <w:ind w:left="0" w:leftChars="0" w:right="0" w:firstLine="0" w:firstLineChars="0"/>
              <w:jc w:val="left"/>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静息时也出现，影响活动</w:t>
            </w:r>
          </w:p>
        </w:tc>
        <w:tc>
          <w:tcPr>
            <w:tcW w:w="1818" w:type="dxa"/>
            <w:tcBorders>
              <w:top w:val="single" w:color="000000" w:sz="8" w:space="0"/>
              <w:left w:val="single" w:color="000000" w:sz="8" w:space="0"/>
              <w:bottom w:val="single" w:color="000000" w:sz="8" w:space="0"/>
              <w:right w:val="single" w:color="000000" w:sz="8" w:space="0"/>
            </w:tcBorders>
            <w:vAlign w:val="center"/>
          </w:tcPr>
          <w:p w14:paraId="412A5997">
            <w:pPr>
              <w:pStyle w:val="37"/>
              <w:pageBreakBefore w:val="0"/>
              <w:wordWrap/>
              <w:overflowPunct/>
              <w:topLinePunct w:val="0"/>
              <w:bidi w:val="0"/>
              <w:snapToGrid w:val="0"/>
              <w:spacing w:beforeAutospacing="0" w:afterAutospacing="0" w:line="240" w:lineRule="auto"/>
              <w:ind w:left="0" w:leftChars="0" w:right="0" w:firstLine="0" w:firstLineChars="0"/>
              <w:jc w:val="left"/>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治疗前、治疗结束后、随访期每月</w:t>
            </w:r>
          </w:p>
        </w:tc>
      </w:tr>
      <w:tr w14:paraId="2A97C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09" w:hRule="atLeast"/>
          <w:jc w:val="center"/>
        </w:trPr>
        <w:tc>
          <w:tcPr>
            <w:tcW w:w="1177" w:type="dxa"/>
            <w:tcBorders>
              <w:top w:val="single" w:color="000000" w:sz="8" w:space="0"/>
              <w:left w:val="single" w:color="000000" w:sz="8" w:space="0"/>
              <w:bottom w:val="single" w:color="000000" w:sz="8" w:space="0"/>
              <w:right w:val="single" w:color="000000" w:sz="8" w:space="0"/>
            </w:tcBorders>
            <w:vAlign w:val="center"/>
          </w:tcPr>
          <w:p w14:paraId="5DBB718B">
            <w:pPr>
              <w:pStyle w:val="37"/>
              <w:pageBreakBefore w:val="0"/>
              <w:wordWrap/>
              <w:overflowPunct/>
              <w:topLinePunct w:val="0"/>
              <w:bidi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肢体困重</w:t>
            </w:r>
          </w:p>
        </w:tc>
        <w:tc>
          <w:tcPr>
            <w:tcW w:w="1209" w:type="dxa"/>
            <w:tcBorders>
              <w:top w:val="single" w:color="000000" w:sz="8" w:space="0"/>
              <w:left w:val="single" w:color="000000" w:sz="8" w:space="0"/>
              <w:bottom w:val="single" w:color="000000" w:sz="8" w:space="0"/>
              <w:right w:val="single" w:color="000000" w:sz="8" w:space="0"/>
            </w:tcBorders>
            <w:vAlign w:val="center"/>
          </w:tcPr>
          <w:p w14:paraId="0A931623">
            <w:pPr>
              <w:pStyle w:val="37"/>
              <w:pageBreakBefore w:val="0"/>
              <w:wordWrap/>
              <w:overflowPunct/>
              <w:topLinePunct w:val="0"/>
              <w:bidi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无</w:t>
            </w:r>
          </w:p>
        </w:tc>
        <w:tc>
          <w:tcPr>
            <w:tcW w:w="1754" w:type="dxa"/>
            <w:tcBorders>
              <w:top w:val="single" w:color="000000" w:sz="8" w:space="0"/>
              <w:left w:val="single" w:color="000000" w:sz="8" w:space="0"/>
              <w:bottom w:val="single" w:color="000000" w:sz="8" w:space="0"/>
              <w:right w:val="single" w:color="000000" w:sz="8" w:space="0"/>
            </w:tcBorders>
            <w:vAlign w:val="center"/>
          </w:tcPr>
          <w:p w14:paraId="1A7515F0">
            <w:pPr>
              <w:pStyle w:val="37"/>
              <w:pageBreakBefore w:val="0"/>
              <w:wordWrap/>
              <w:overflowPunct/>
              <w:topLinePunct w:val="0"/>
              <w:bidi w:val="0"/>
              <w:snapToGrid w:val="0"/>
              <w:spacing w:beforeAutospacing="0" w:afterAutospacing="0" w:line="240" w:lineRule="auto"/>
              <w:ind w:left="0" w:leftChars="0" w:right="0" w:firstLine="0" w:firstLineChars="0"/>
              <w:jc w:val="left"/>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稍觉困重，不影响活动</w:t>
            </w:r>
          </w:p>
        </w:tc>
        <w:tc>
          <w:tcPr>
            <w:tcW w:w="1833" w:type="dxa"/>
            <w:tcBorders>
              <w:top w:val="single" w:color="000000" w:sz="8" w:space="0"/>
              <w:left w:val="single" w:color="000000" w:sz="8" w:space="0"/>
              <w:bottom w:val="single" w:color="000000" w:sz="8" w:space="0"/>
              <w:right w:val="single" w:color="000000" w:sz="8" w:space="0"/>
            </w:tcBorders>
            <w:vAlign w:val="center"/>
          </w:tcPr>
          <w:p w14:paraId="39236671">
            <w:pPr>
              <w:pStyle w:val="37"/>
              <w:pageBreakBefore w:val="0"/>
              <w:wordWrap/>
              <w:overflowPunct/>
              <w:topLinePunct w:val="0"/>
              <w:bidi w:val="0"/>
              <w:snapToGrid w:val="0"/>
              <w:spacing w:beforeAutospacing="0" w:afterAutospacing="0" w:line="240" w:lineRule="auto"/>
              <w:ind w:left="0" w:leftChars="0" w:right="0" w:firstLine="0" w:firstLineChars="0"/>
              <w:jc w:val="left"/>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困重明显，活动减少</w:t>
            </w:r>
          </w:p>
        </w:tc>
        <w:tc>
          <w:tcPr>
            <w:tcW w:w="1806" w:type="dxa"/>
            <w:tcBorders>
              <w:top w:val="single" w:color="000000" w:sz="8" w:space="0"/>
              <w:left w:val="single" w:color="000000" w:sz="8" w:space="0"/>
              <w:bottom w:val="single" w:color="000000" w:sz="8" w:space="0"/>
              <w:right w:val="single" w:color="000000" w:sz="8" w:space="0"/>
            </w:tcBorders>
            <w:vAlign w:val="center"/>
          </w:tcPr>
          <w:p w14:paraId="7E5845A9">
            <w:pPr>
              <w:pStyle w:val="37"/>
              <w:pageBreakBefore w:val="0"/>
              <w:wordWrap/>
              <w:overflowPunct/>
              <w:topLinePunct w:val="0"/>
              <w:bidi w:val="0"/>
              <w:snapToGrid w:val="0"/>
              <w:spacing w:beforeAutospacing="0" w:afterAutospacing="0" w:line="240" w:lineRule="auto"/>
              <w:ind w:left="0" w:leftChars="0" w:right="0" w:firstLine="0" w:firstLineChars="0"/>
              <w:jc w:val="left"/>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困重严重，不欲活动</w:t>
            </w:r>
          </w:p>
        </w:tc>
        <w:tc>
          <w:tcPr>
            <w:tcW w:w="1818" w:type="dxa"/>
            <w:tcBorders>
              <w:top w:val="single" w:color="000000" w:sz="8" w:space="0"/>
              <w:left w:val="single" w:color="000000" w:sz="8" w:space="0"/>
              <w:bottom w:val="single" w:color="000000" w:sz="8" w:space="0"/>
              <w:right w:val="single" w:color="000000" w:sz="8" w:space="0"/>
            </w:tcBorders>
            <w:vAlign w:val="center"/>
          </w:tcPr>
          <w:p w14:paraId="521FFBF8">
            <w:pPr>
              <w:pStyle w:val="37"/>
              <w:pageBreakBefore w:val="0"/>
              <w:wordWrap/>
              <w:overflowPunct/>
              <w:topLinePunct w:val="0"/>
              <w:bidi w:val="0"/>
              <w:snapToGrid w:val="0"/>
              <w:spacing w:beforeAutospacing="0" w:afterAutospacing="0" w:line="240" w:lineRule="auto"/>
              <w:ind w:left="0" w:leftChars="0" w:right="0" w:firstLine="0" w:firstLineChars="0"/>
              <w:jc w:val="left"/>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治疗前、治疗结束后、随访期每月</w:t>
            </w:r>
          </w:p>
        </w:tc>
      </w:tr>
      <w:tr w14:paraId="4352E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09" w:hRule="atLeast"/>
          <w:jc w:val="center"/>
        </w:trPr>
        <w:tc>
          <w:tcPr>
            <w:tcW w:w="1177" w:type="dxa"/>
            <w:tcBorders>
              <w:top w:val="single" w:color="000000" w:sz="8" w:space="0"/>
              <w:left w:val="single" w:color="000000" w:sz="8" w:space="0"/>
              <w:bottom w:val="single" w:color="000000" w:sz="8" w:space="0"/>
              <w:right w:val="single" w:color="000000" w:sz="8" w:space="0"/>
            </w:tcBorders>
            <w:vAlign w:val="center"/>
          </w:tcPr>
          <w:p w14:paraId="1CC39BD8">
            <w:pPr>
              <w:pStyle w:val="37"/>
              <w:pageBreakBefore w:val="0"/>
              <w:wordWrap/>
              <w:overflowPunct/>
              <w:topLinePunct w:val="0"/>
              <w:bidi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腹胀</w:t>
            </w:r>
          </w:p>
        </w:tc>
        <w:tc>
          <w:tcPr>
            <w:tcW w:w="1209" w:type="dxa"/>
            <w:tcBorders>
              <w:top w:val="single" w:color="000000" w:sz="8" w:space="0"/>
              <w:left w:val="single" w:color="000000" w:sz="8" w:space="0"/>
              <w:bottom w:val="single" w:color="000000" w:sz="8" w:space="0"/>
              <w:right w:val="single" w:color="000000" w:sz="8" w:space="0"/>
            </w:tcBorders>
            <w:vAlign w:val="center"/>
          </w:tcPr>
          <w:p w14:paraId="1BDB65B3">
            <w:pPr>
              <w:pStyle w:val="37"/>
              <w:pageBreakBefore w:val="0"/>
              <w:wordWrap/>
              <w:overflowPunct/>
              <w:topLinePunct w:val="0"/>
              <w:bidi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无</w:t>
            </w:r>
          </w:p>
        </w:tc>
        <w:tc>
          <w:tcPr>
            <w:tcW w:w="1754" w:type="dxa"/>
            <w:tcBorders>
              <w:top w:val="single" w:color="000000" w:sz="8" w:space="0"/>
              <w:left w:val="single" w:color="000000" w:sz="8" w:space="0"/>
              <w:bottom w:val="single" w:color="000000" w:sz="8" w:space="0"/>
              <w:right w:val="single" w:color="000000" w:sz="8" w:space="0"/>
            </w:tcBorders>
            <w:vAlign w:val="center"/>
          </w:tcPr>
          <w:p w14:paraId="6050DA22">
            <w:pPr>
              <w:pStyle w:val="37"/>
              <w:pageBreakBefore w:val="0"/>
              <w:wordWrap/>
              <w:overflowPunct/>
              <w:topLinePunct w:val="0"/>
              <w:bidi w:val="0"/>
              <w:snapToGrid w:val="0"/>
              <w:spacing w:beforeAutospacing="0" w:afterAutospacing="0" w:line="240" w:lineRule="auto"/>
              <w:ind w:left="0" w:leftChars="0" w:right="0" w:firstLine="0" w:firstLineChars="0"/>
              <w:jc w:val="left"/>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偶有腹胀，持续＜2 小时</w:t>
            </w:r>
          </w:p>
        </w:tc>
        <w:tc>
          <w:tcPr>
            <w:tcW w:w="1833" w:type="dxa"/>
            <w:tcBorders>
              <w:top w:val="single" w:color="000000" w:sz="8" w:space="0"/>
              <w:left w:val="single" w:color="000000" w:sz="8" w:space="0"/>
              <w:bottom w:val="single" w:color="000000" w:sz="8" w:space="0"/>
              <w:right w:val="single" w:color="000000" w:sz="8" w:space="0"/>
            </w:tcBorders>
            <w:vAlign w:val="center"/>
          </w:tcPr>
          <w:p w14:paraId="7FCFF3C2">
            <w:pPr>
              <w:pStyle w:val="37"/>
              <w:pageBreakBefore w:val="0"/>
              <w:wordWrap/>
              <w:overflowPunct/>
              <w:topLinePunct w:val="0"/>
              <w:bidi w:val="0"/>
              <w:snapToGrid w:val="0"/>
              <w:spacing w:beforeAutospacing="0" w:afterAutospacing="0" w:line="240" w:lineRule="auto"/>
              <w:ind w:left="0" w:leftChars="0" w:right="0" w:firstLine="0" w:firstLineChars="0"/>
              <w:jc w:val="left"/>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每日腹胀，持续 2~6小时</w:t>
            </w:r>
          </w:p>
        </w:tc>
        <w:tc>
          <w:tcPr>
            <w:tcW w:w="1806" w:type="dxa"/>
            <w:tcBorders>
              <w:top w:val="single" w:color="000000" w:sz="8" w:space="0"/>
              <w:left w:val="single" w:color="000000" w:sz="8" w:space="0"/>
              <w:bottom w:val="single" w:color="000000" w:sz="8" w:space="0"/>
              <w:right w:val="single" w:color="000000" w:sz="8" w:space="0"/>
            </w:tcBorders>
            <w:vAlign w:val="center"/>
          </w:tcPr>
          <w:p w14:paraId="7ED497B9">
            <w:pPr>
              <w:pStyle w:val="37"/>
              <w:pageBreakBefore w:val="0"/>
              <w:wordWrap/>
              <w:overflowPunct/>
              <w:topLinePunct w:val="0"/>
              <w:bidi w:val="0"/>
              <w:snapToGrid w:val="0"/>
              <w:spacing w:beforeAutospacing="0" w:afterAutospacing="0" w:line="240" w:lineRule="auto"/>
              <w:ind w:left="0" w:leftChars="0" w:right="0" w:firstLine="0" w:firstLineChars="0"/>
              <w:jc w:val="left"/>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整日腹胀，影响进食</w:t>
            </w:r>
          </w:p>
        </w:tc>
        <w:tc>
          <w:tcPr>
            <w:tcW w:w="1818" w:type="dxa"/>
            <w:tcBorders>
              <w:top w:val="single" w:color="000000" w:sz="8" w:space="0"/>
              <w:left w:val="single" w:color="000000" w:sz="8" w:space="0"/>
              <w:bottom w:val="single" w:color="000000" w:sz="8" w:space="0"/>
              <w:right w:val="single" w:color="000000" w:sz="8" w:space="0"/>
            </w:tcBorders>
            <w:vAlign w:val="center"/>
          </w:tcPr>
          <w:p w14:paraId="5FF598B0">
            <w:pPr>
              <w:pStyle w:val="37"/>
              <w:pageBreakBefore w:val="0"/>
              <w:wordWrap/>
              <w:overflowPunct/>
              <w:topLinePunct w:val="0"/>
              <w:bidi w:val="0"/>
              <w:snapToGrid w:val="0"/>
              <w:spacing w:beforeAutospacing="0" w:afterAutospacing="0" w:line="240" w:lineRule="auto"/>
              <w:ind w:left="0" w:leftChars="0" w:right="0" w:firstLine="0" w:firstLineChars="0"/>
              <w:jc w:val="left"/>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治疗前、治疗结束后、随访期每月</w:t>
            </w:r>
          </w:p>
        </w:tc>
      </w:tr>
      <w:tr w14:paraId="2C442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09" w:hRule="atLeast"/>
          <w:jc w:val="center"/>
        </w:trPr>
        <w:tc>
          <w:tcPr>
            <w:tcW w:w="117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2F9E581">
            <w:pPr>
              <w:pStyle w:val="37"/>
              <w:pageBreakBefore w:val="0"/>
              <w:wordWrap/>
              <w:overflowPunct/>
              <w:topLinePunct w:val="0"/>
              <w:bidi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纳差</w:t>
            </w:r>
          </w:p>
        </w:tc>
        <w:tc>
          <w:tcPr>
            <w:tcW w:w="120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4810AD3">
            <w:pPr>
              <w:pStyle w:val="37"/>
              <w:pageBreakBefore w:val="0"/>
              <w:wordWrap/>
              <w:overflowPunct/>
              <w:topLinePunct w:val="0"/>
              <w:bidi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无</w:t>
            </w:r>
          </w:p>
        </w:tc>
        <w:tc>
          <w:tcPr>
            <w:tcW w:w="175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63F3689">
            <w:pPr>
              <w:pStyle w:val="37"/>
              <w:pageBreakBefore w:val="0"/>
              <w:wordWrap/>
              <w:overflowPunct/>
              <w:topLinePunct w:val="0"/>
              <w:bidi w:val="0"/>
              <w:snapToGrid w:val="0"/>
              <w:spacing w:beforeAutospacing="0" w:afterAutospacing="0" w:line="240" w:lineRule="auto"/>
              <w:ind w:left="0" w:leftChars="0" w:right="0" w:firstLine="0" w:firstLineChars="0"/>
              <w:jc w:val="left"/>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偶觉食欲差，进食量正常</w:t>
            </w:r>
          </w:p>
        </w:tc>
        <w:tc>
          <w:tcPr>
            <w:tcW w:w="183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54EB0FC">
            <w:pPr>
              <w:pStyle w:val="37"/>
              <w:pageBreakBefore w:val="0"/>
              <w:wordWrap/>
              <w:overflowPunct/>
              <w:topLinePunct w:val="0"/>
              <w:bidi w:val="0"/>
              <w:snapToGrid w:val="0"/>
              <w:spacing w:beforeAutospacing="0" w:afterAutospacing="0" w:line="240" w:lineRule="auto"/>
              <w:ind w:left="0" w:leftChars="0" w:right="0" w:firstLine="0" w:firstLineChars="0"/>
              <w:jc w:val="left"/>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食欲差，进食量减少1/3</w:t>
            </w:r>
          </w:p>
        </w:tc>
        <w:tc>
          <w:tcPr>
            <w:tcW w:w="18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25D08F6">
            <w:pPr>
              <w:pStyle w:val="37"/>
              <w:pageBreakBefore w:val="0"/>
              <w:wordWrap/>
              <w:overflowPunct/>
              <w:topLinePunct w:val="0"/>
              <w:bidi w:val="0"/>
              <w:snapToGrid w:val="0"/>
              <w:spacing w:beforeAutospacing="0" w:afterAutospacing="0" w:line="240" w:lineRule="auto"/>
              <w:ind w:left="0" w:leftChars="0" w:right="0" w:firstLine="0" w:firstLineChars="0"/>
              <w:jc w:val="left"/>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食欲极差，进食量减少1/2</w:t>
            </w:r>
          </w:p>
        </w:tc>
        <w:tc>
          <w:tcPr>
            <w:tcW w:w="1818"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110185E">
            <w:pPr>
              <w:pStyle w:val="37"/>
              <w:pageBreakBefore w:val="0"/>
              <w:wordWrap/>
              <w:overflowPunct/>
              <w:topLinePunct w:val="0"/>
              <w:bidi w:val="0"/>
              <w:snapToGrid w:val="0"/>
              <w:spacing w:beforeAutospacing="0" w:afterAutospacing="0" w:line="240" w:lineRule="auto"/>
              <w:ind w:left="0" w:leftChars="0" w:right="0" w:firstLine="0" w:firstLineChars="0"/>
              <w:jc w:val="left"/>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治疗前、治疗结束后、随访期每月</w:t>
            </w:r>
          </w:p>
        </w:tc>
      </w:tr>
      <w:tr w14:paraId="0F7CF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09" w:hRule="atLeast"/>
          <w:jc w:val="center"/>
        </w:trPr>
        <w:tc>
          <w:tcPr>
            <w:tcW w:w="117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51B1A31">
            <w:pPr>
              <w:pStyle w:val="37"/>
              <w:pageBreakBefore w:val="0"/>
              <w:wordWrap/>
              <w:overflowPunct/>
              <w:topLinePunct w:val="0"/>
              <w:bidi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便秘</w:t>
            </w:r>
          </w:p>
        </w:tc>
        <w:tc>
          <w:tcPr>
            <w:tcW w:w="120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8315788">
            <w:pPr>
              <w:pStyle w:val="37"/>
              <w:pageBreakBefore w:val="0"/>
              <w:wordWrap/>
              <w:overflowPunct/>
              <w:topLinePunct w:val="0"/>
              <w:bidi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无</w:t>
            </w:r>
          </w:p>
        </w:tc>
        <w:tc>
          <w:tcPr>
            <w:tcW w:w="175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4586AC3">
            <w:pPr>
              <w:pStyle w:val="37"/>
              <w:pageBreakBefore w:val="0"/>
              <w:wordWrap/>
              <w:overflowPunct/>
              <w:topLinePunct w:val="0"/>
              <w:bidi w:val="0"/>
              <w:snapToGrid w:val="0"/>
              <w:spacing w:beforeAutospacing="0" w:afterAutospacing="0" w:line="240" w:lineRule="auto"/>
              <w:ind w:left="0" w:leftChars="0" w:right="0" w:firstLine="0" w:firstLineChars="0"/>
              <w:jc w:val="left"/>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大便干，每日1次</w:t>
            </w:r>
          </w:p>
        </w:tc>
        <w:tc>
          <w:tcPr>
            <w:tcW w:w="183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346AD0A">
            <w:pPr>
              <w:pStyle w:val="37"/>
              <w:pageBreakBefore w:val="0"/>
              <w:wordWrap/>
              <w:overflowPunct/>
              <w:topLinePunct w:val="0"/>
              <w:bidi w:val="0"/>
              <w:snapToGrid w:val="0"/>
              <w:spacing w:beforeAutospacing="0" w:afterAutospacing="0" w:line="240" w:lineRule="auto"/>
              <w:ind w:left="0" w:leftChars="0" w:right="0" w:firstLine="0" w:firstLineChars="0"/>
              <w:jc w:val="left"/>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大便秘结，每2日 1 次</w:t>
            </w:r>
          </w:p>
        </w:tc>
        <w:tc>
          <w:tcPr>
            <w:tcW w:w="18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AD8A7EB">
            <w:pPr>
              <w:pStyle w:val="37"/>
              <w:pageBreakBefore w:val="0"/>
              <w:wordWrap/>
              <w:overflowPunct/>
              <w:topLinePunct w:val="0"/>
              <w:bidi w:val="0"/>
              <w:snapToGrid w:val="0"/>
              <w:spacing w:beforeAutospacing="0" w:afterAutospacing="0" w:line="240" w:lineRule="auto"/>
              <w:ind w:left="0" w:leftChars="0" w:right="0" w:firstLine="0" w:firstLineChars="0"/>
              <w:jc w:val="left"/>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大便艰难，每 3 日以上1次</w:t>
            </w:r>
          </w:p>
        </w:tc>
        <w:tc>
          <w:tcPr>
            <w:tcW w:w="1818"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5F1C87D">
            <w:pPr>
              <w:pStyle w:val="37"/>
              <w:pageBreakBefore w:val="0"/>
              <w:wordWrap/>
              <w:overflowPunct/>
              <w:topLinePunct w:val="0"/>
              <w:bidi w:val="0"/>
              <w:snapToGrid w:val="0"/>
              <w:spacing w:beforeAutospacing="0" w:afterAutospacing="0" w:line="240" w:lineRule="auto"/>
              <w:ind w:left="0" w:leftChars="0" w:right="0" w:firstLine="0" w:firstLineChars="0"/>
              <w:jc w:val="left"/>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治疗前、治疗结束后、随访期每月</w:t>
            </w:r>
          </w:p>
        </w:tc>
      </w:tr>
      <w:tr w14:paraId="6EE0E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09" w:hRule="atLeast"/>
          <w:jc w:val="center"/>
        </w:trPr>
        <w:tc>
          <w:tcPr>
            <w:tcW w:w="117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0E389FA">
            <w:pPr>
              <w:pStyle w:val="37"/>
              <w:pageBreakBefore w:val="0"/>
              <w:wordWrap/>
              <w:overflowPunct/>
              <w:topLinePunct w:val="0"/>
              <w:bidi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胸胁苦满</w:t>
            </w:r>
          </w:p>
        </w:tc>
        <w:tc>
          <w:tcPr>
            <w:tcW w:w="120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1CD5968">
            <w:pPr>
              <w:pStyle w:val="37"/>
              <w:pageBreakBefore w:val="0"/>
              <w:wordWrap/>
              <w:overflowPunct/>
              <w:topLinePunct w:val="0"/>
              <w:bidi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无</w:t>
            </w:r>
          </w:p>
        </w:tc>
        <w:tc>
          <w:tcPr>
            <w:tcW w:w="175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FD5341A">
            <w:pPr>
              <w:pStyle w:val="37"/>
              <w:pageBreakBefore w:val="0"/>
              <w:wordWrap/>
              <w:overflowPunct/>
              <w:topLinePunct w:val="0"/>
              <w:bidi w:val="0"/>
              <w:snapToGrid w:val="0"/>
              <w:spacing w:beforeAutospacing="0" w:afterAutospacing="0" w:line="240" w:lineRule="auto"/>
              <w:ind w:left="0" w:leftChars="0" w:right="0" w:firstLine="0" w:firstLineChars="0"/>
              <w:jc w:val="left"/>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偶有胸部胀闷，可自行缓解</w:t>
            </w:r>
          </w:p>
        </w:tc>
        <w:tc>
          <w:tcPr>
            <w:tcW w:w="183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28E4A77">
            <w:pPr>
              <w:pStyle w:val="37"/>
              <w:pageBreakBefore w:val="0"/>
              <w:wordWrap/>
              <w:overflowPunct/>
              <w:topLinePunct w:val="0"/>
              <w:bidi w:val="0"/>
              <w:snapToGrid w:val="0"/>
              <w:spacing w:beforeAutospacing="0" w:afterAutospacing="0" w:line="240" w:lineRule="auto"/>
              <w:ind w:left="0" w:leftChars="0" w:right="0" w:firstLine="0" w:firstLineChars="0"/>
              <w:jc w:val="left"/>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每日胸部胀闷，持续＜4小时</w:t>
            </w:r>
          </w:p>
        </w:tc>
        <w:tc>
          <w:tcPr>
            <w:tcW w:w="18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C03B520">
            <w:pPr>
              <w:pStyle w:val="37"/>
              <w:pageBreakBefore w:val="0"/>
              <w:wordWrap/>
              <w:overflowPunct/>
              <w:topLinePunct w:val="0"/>
              <w:bidi w:val="0"/>
              <w:snapToGrid w:val="0"/>
              <w:spacing w:beforeAutospacing="0" w:afterAutospacing="0" w:line="240" w:lineRule="auto"/>
              <w:ind w:left="0" w:leftChars="0" w:right="0" w:firstLine="0" w:firstLineChars="0"/>
              <w:jc w:val="left"/>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整日胸部胀闷，影响情绪</w:t>
            </w:r>
          </w:p>
        </w:tc>
        <w:tc>
          <w:tcPr>
            <w:tcW w:w="1818"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C0E3011">
            <w:pPr>
              <w:pStyle w:val="37"/>
              <w:pageBreakBefore w:val="0"/>
              <w:wordWrap/>
              <w:overflowPunct/>
              <w:topLinePunct w:val="0"/>
              <w:bidi w:val="0"/>
              <w:snapToGrid w:val="0"/>
              <w:spacing w:beforeAutospacing="0" w:afterAutospacing="0" w:line="240" w:lineRule="auto"/>
              <w:ind w:left="0" w:leftChars="0" w:right="0" w:firstLine="0" w:firstLineChars="0"/>
              <w:jc w:val="left"/>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治疗前、治疗结束后、随访期每月</w:t>
            </w:r>
          </w:p>
        </w:tc>
      </w:tr>
      <w:tr w14:paraId="31BF4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28" w:hRule="atLeast"/>
          <w:jc w:val="center"/>
        </w:trPr>
        <w:tc>
          <w:tcPr>
            <w:tcW w:w="117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6EE5615">
            <w:pPr>
              <w:pStyle w:val="37"/>
              <w:pageBreakBefore w:val="0"/>
              <w:wordWrap/>
              <w:overflowPunct/>
              <w:topLinePunct w:val="0"/>
              <w:bidi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畏寒肢冷</w:t>
            </w:r>
          </w:p>
        </w:tc>
        <w:tc>
          <w:tcPr>
            <w:tcW w:w="120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03F9A78">
            <w:pPr>
              <w:pStyle w:val="37"/>
              <w:pageBreakBefore w:val="0"/>
              <w:wordWrap/>
              <w:overflowPunct/>
              <w:topLinePunct w:val="0"/>
              <w:bidi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无</w:t>
            </w:r>
          </w:p>
        </w:tc>
        <w:tc>
          <w:tcPr>
            <w:tcW w:w="175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B7664F9">
            <w:pPr>
              <w:pStyle w:val="37"/>
              <w:pageBreakBefore w:val="0"/>
              <w:wordWrap/>
              <w:overflowPunct/>
              <w:topLinePunct w:val="0"/>
              <w:bidi w:val="0"/>
              <w:snapToGrid w:val="0"/>
              <w:spacing w:beforeAutospacing="0" w:afterAutospacing="0" w:line="240" w:lineRule="auto"/>
              <w:ind w:left="0" w:leftChars="0" w:right="0" w:firstLine="0" w:firstLineChars="0"/>
              <w:jc w:val="left"/>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遇冷觉冷，添加衣物缓解</w:t>
            </w:r>
          </w:p>
        </w:tc>
        <w:tc>
          <w:tcPr>
            <w:tcW w:w="183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996002F">
            <w:pPr>
              <w:pStyle w:val="37"/>
              <w:pageBreakBefore w:val="0"/>
              <w:wordWrap/>
              <w:overflowPunct/>
              <w:topLinePunct w:val="0"/>
              <w:bidi w:val="0"/>
              <w:snapToGrid w:val="0"/>
              <w:spacing w:beforeAutospacing="0" w:afterAutospacing="0" w:line="240" w:lineRule="auto"/>
              <w:ind w:left="0" w:leftChars="0" w:right="0" w:firstLine="0" w:firstLineChars="0"/>
              <w:jc w:val="left"/>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日常觉冷，需厚衣保暖</w:t>
            </w:r>
          </w:p>
        </w:tc>
        <w:tc>
          <w:tcPr>
            <w:tcW w:w="18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E1A0A56">
            <w:pPr>
              <w:pStyle w:val="37"/>
              <w:pageBreakBefore w:val="0"/>
              <w:wordWrap/>
              <w:overflowPunct/>
              <w:topLinePunct w:val="0"/>
              <w:bidi w:val="0"/>
              <w:snapToGrid w:val="0"/>
              <w:spacing w:beforeAutospacing="0" w:afterAutospacing="0" w:line="240" w:lineRule="auto"/>
              <w:ind w:left="0" w:leftChars="0" w:right="0" w:firstLine="0" w:firstLineChars="0"/>
              <w:jc w:val="left"/>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全身畏寒，厚衣仍觉冷</w:t>
            </w:r>
          </w:p>
        </w:tc>
        <w:tc>
          <w:tcPr>
            <w:tcW w:w="1818"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19ED698">
            <w:pPr>
              <w:pStyle w:val="37"/>
              <w:pageBreakBefore w:val="0"/>
              <w:wordWrap/>
              <w:overflowPunct/>
              <w:topLinePunct w:val="0"/>
              <w:bidi w:val="0"/>
              <w:snapToGrid w:val="0"/>
              <w:spacing w:beforeAutospacing="0" w:afterAutospacing="0" w:line="240" w:lineRule="auto"/>
              <w:ind w:left="0" w:leftChars="0" w:right="0" w:firstLine="0" w:firstLineChars="0"/>
              <w:jc w:val="left"/>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治疗前、治疗结束后、随访期每月</w:t>
            </w:r>
          </w:p>
        </w:tc>
      </w:tr>
    </w:tbl>
    <w:p w14:paraId="6B663BC5">
      <w:pPr>
        <w:pStyle w:val="71"/>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黑体" w:hAnsi="黑体" w:eastAsia="黑体" w:cs="黑体"/>
          <w:lang w:val="en-US" w:eastAsia="en-US"/>
        </w:rPr>
      </w:pPr>
      <w:r>
        <w:rPr>
          <w:rFonts w:hint="eastAsia" w:ascii="黑体" w:hAnsi="黑体" w:eastAsia="黑体" w:cs="黑体"/>
          <w:lang w:val="en-US" w:eastAsia="en-US"/>
        </w:rPr>
        <w:t>远期疗效指标</w:t>
      </w:r>
    </w:p>
    <w:p w14:paraId="2D605334">
      <w:pPr>
        <w:pageBreakBefore w:val="0"/>
        <w:widowControl/>
        <w:wordWrap/>
        <w:overflowPunct/>
        <w:topLinePunct w:val="0"/>
        <w:bidi w:val="0"/>
        <w:adjustRightInd w:val="0"/>
        <w:spacing w:beforeAutospacing="0" w:afterAutospacing="0" w:line="240" w:lineRule="auto"/>
        <w:ind w:left="0" w:leftChars="0" w:right="0" w:firstLine="452" w:firstLineChars="200"/>
        <w:jc w:val="left"/>
        <w:textAlignment w:val="auto"/>
        <w:rPr>
          <w:rFonts w:hint="eastAsia" w:ascii="宋体" w:hAnsi="宋体" w:eastAsia="宋体" w:cs="宋体"/>
          <w:color w:val="000000"/>
          <w:spacing w:val="8"/>
          <w:kern w:val="0"/>
          <w:sz w:val="21"/>
          <w:szCs w:val="21"/>
          <w:lang w:val="en-US" w:eastAsia="en-US"/>
        </w:rPr>
      </w:pPr>
      <w:r>
        <w:rPr>
          <w:rFonts w:hint="eastAsia" w:ascii="宋体" w:hAnsi="宋体" w:eastAsia="宋体" w:cs="宋体"/>
          <w:color w:val="000000"/>
          <w:spacing w:val="8"/>
          <w:kern w:val="0"/>
          <w:sz w:val="21"/>
          <w:szCs w:val="21"/>
          <w:lang w:val="en-US" w:eastAsia="en-US"/>
        </w:rPr>
        <w:t>远期疗效指标用于评价疗效的持续性，重点关注侧弯进展情况：</w:t>
      </w:r>
    </w:p>
    <w:p w14:paraId="3E4E6ED0">
      <w:pPr>
        <w:pStyle w:val="37"/>
        <w:pageBreakBefore w:val="0"/>
        <w:widowControl/>
        <w:numPr>
          <w:ilvl w:val="1"/>
          <w:numId w:val="17"/>
        </w:numPr>
        <w:wordWrap/>
        <w:overflowPunct/>
        <w:topLinePunct w:val="0"/>
        <w:bidi w:val="0"/>
        <w:adjustRightInd w:val="0"/>
        <w:spacing w:beforeAutospacing="0" w:afterAutospacing="0" w:line="240" w:lineRule="auto"/>
        <w:ind w:left="0" w:leftChars="0" w:right="0" w:firstLine="452" w:firstLineChars="200"/>
        <w:jc w:val="left"/>
        <w:textAlignment w:val="auto"/>
        <w:rPr>
          <w:rFonts w:hint="eastAsia" w:ascii="宋体" w:hAnsi="宋体" w:eastAsia="宋体" w:cs="宋体"/>
          <w:color w:val="000000"/>
          <w:spacing w:val="8"/>
          <w:kern w:val="0"/>
          <w:sz w:val="21"/>
          <w:szCs w:val="21"/>
          <w:lang w:val="en-US" w:eastAsia="en-US" w:bidi="ar-SA"/>
        </w:rPr>
      </w:pPr>
      <w:r>
        <w:rPr>
          <w:rFonts w:hint="eastAsia" w:ascii="宋体" w:hAnsi="宋体" w:eastAsia="宋体" w:cs="宋体"/>
          <w:color w:val="000000"/>
          <w:spacing w:val="8"/>
          <w:kern w:val="0"/>
          <w:sz w:val="21"/>
          <w:szCs w:val="21"/>
          <w:lang w:val="en-US" w:eastAsia="en-US" w:bidi="ar-SA"/>
        </w:rPr>
        <w:t>进展率：随访期内体重较疗程结束时增加＞5°，进展率=进展患者数/总有效患者数×100%；</w:t>
      </w:r>
    </w:p>
    <w:p w14:paraId="404642B9">
      <w:pPr>
        <w:pStyle w:val="37"/>
        <w:pageBreakBefore w:val="0"/>
        <w:widowControl/>
        <w:numPr>
          <w:ilvl w:val="1"/>
          <w:numId w:val="17"/>
        </w:numPr>
        <w:wordWrap/>
        <w:overflowPunct/>
        <w:topLinePunct w:val="0"/>
        <w:bidi w:val="0"/>
        <w:adjustRightInd w:val="0"/>
        <w:spacing w:beforeAutospacing="0" w:afterAutospacing="0" w:line="240" w:lineRule="auto"/>
        <w:ind w:left="0" w:leftChars="0" w:right="0" w:firstLine="452" w:firstLineChars="200"/>
        <w:jc w:val="left"/>
        <w:textAlignment w:val="auto"/>
        <w:rPr>
          <w:rFonts w:hint="eastAsia" w:ascii="宋体" w:hAnsi="宋体" w:eastAsia="宋体" w:cs="宋体"/>
          <w:color w:val="000000"/>
          <w:spacing w:val="8"/>
          <w:kern w:val="0"/>
          <w:sz w:val="21"/>
          <w:szCs w:val="21"/>
          <w:lang w:val="en-US" w:eastAsia="en-US"/>
        </w:rPr>
      </w:pPr>
      <w:r>
        <w:rPr>
          <w:rFonts w:hint="eastAsia" w:ascii="宋体" w:hAnsi="宋体" w:eastAsia="宋体" w:cs="宋体"/>
          <w:color w:val="000000"/>
          <w:spacing w:val="8"/>
          <w:kern w:val="0"/>
          <w:sz w:val="21"/>
          <w:szCs w:val="21"/>
          <w:lang w:val="en-US" w:eastAsia="en-US" w:bidi="ar-SA"/>
        </w:rPr>
        <w:t>生存质量评分：采用《SRS-22量表》评估，包括身体功能、疼痛、自我形象、心</w:t>
      </w:r>
      <w:r>
        <w:rPr>
          <w:rFonts w:hint="eastAsia" w:ascii="宋体" w:hAnsi="宋体" w:eastAsia="宋体" w:cs="宋体"/>
          <w:color w:val="000000"/>
          <w:spacing w:val="8"/>
          <w:kern w:val="0"/>
          <w:sz w:val="21"/>
          <w:szCs w:val="21"/>
          <w:lang w:val="en-US" w:eastAsia="en-US"/>
        </w:rPr>
        <w:t>理健康及满意度5个维度，共22个条目，每个条目1~5分，总分越高表示生活质量越好，治疗后总分提升≥20%为生活质量改善。</w:t>
      </w:r>
    </w:p>
    <w:p w14:paraId="658209D1">
      <w:pPr>
        <w:pStyle w:val="70"/>
        <w:spacing w:before="120" w:after="120"/>
        <w:rPr>
          <w:rFonts w:hint="eastAsia"/>
          <w:lang w:val="en-US" w:eastAsia="en-US"/>
        </w:rPr>
      </w:pPr>
      <w:r>
        <w:rPr>
          <w:rFonts w:hint="eastAsia"/>
          <w:lang w:val="en-US" w:eastAsia="en-US"/>
        </w:rPr>
        <w:t>疗效评价标准</w:t>
      </w:r>
    </w:p>
    <w:p w14:paraId="36A55279">
      <w:pPr>
        <w:pageBreakBefore w:val="0"/>
        <w:widowControl/>
        <w:wordWrap/>
        <w:overflowPunct/>
        <w:topLinePunct w:val="0"/>
        <w:bidi w:val="0"/>
        <w:adjustRightInd w:val="0"/>
        <w:spacing w:beforeAutospacing="0" w:afterAutospacing="0" w:line="240" w:lineRule="auto"/>
        <w:ind w:left="0" w:leftChars="0" w:right="0" w:firstLine="452" w:firstLineChars="200"/>
        <w:jc w:val="left"/>
        <w:textAlignment w:val="auto"/>
        <w:rPr>
          <w:rFonts w:hint="eastAsia" w:ascii="宋体" w:hAnsi="宋体" w:eastAsia="宋体" w:cs="宋体"/>
          <w:color w:val="000000"/>
          <w:spacing w:val="8"/>
          <w:kern w:val="0"/>
          <w:sz w:val="21"/>
          <w:szCs w:val="21"/>
          <w:lang w:val="en-US" w:eastAsia="en-US"/>
        </w:rPr>
      </w:pPr>
      <w:r>
        <w:rPr>
          <w:rFonts w:hint="eastAsia" w:ascii="宋体" w:hAnsi="宋体" w:eastAsia="宋体" w:cs="宋体"/>
          <w:color w:val="000000"/>
          <w:spacing w:val="8"/>
          <w:kern w:val="0"/>
          <w:sz w:val="21"/>
          <w:szCs w:val="21"/>
          <w:lang w:val="en-US" w:eastAsia="en-US"/>
        </w:rPr>
        <w:t>根据核心客观指标与中医证候积分，将疗效分为显效、有效、稳定、无效4个等级，评价需在治疗结束后1周内完成，随访期3个月后进行远期疗效评价，具体见表</w:t>
      </w:r>
      <w:r>
        <w:rPr>
          <w:rFonts w:hint="eastAsia" w:ascii="宋体" w:hAnsi="宋体" w:eastAsia="宋体" w:cs="宋体"/>
          <w:color w:val="000000"/>
          <w:spacing w:val="8"/>
          <w:kern w:val="0"/>
          <w:sz w:val="21"/>
          <w:szCs w:val="21"/>
          <w:lang w:val="en-US" w:eastAsia="zh-CN"/>
        </w:rPr>
        <w:t>5</w:t>
      </w:r>
      <w:r>
        <w:rPr>
          <w:rFonts w:hint="eastAsia" w:ascii="宋体" w:hAnsi="宋体" w:eastAsia="宋体" w:cs="宋体"/>
          <w:color w:val="000000"/>
          <w:spacing w:val="8"/>
          <w:kern w:val="0"/>
          <w:sz w:val="21"/>
          <w:szCs w:val="21"/>
          <w:lang w:val="en-US" w:eastAsia="en-US"/>
        </w:rPr>
        <w:t>。</w:t>
      </w:r>
    </w:p>
    <w:p w14:paraId="256C5B7A">
      <w:pPr>
        <w:pageBreakBefore w:val="0"/>
        <w:widowControl/>
        <w:wordWrap/>
        <w:overflowPunct/>
        <w:topLinePunct w:val="0"/>
        <w:bidi w:val="0"/>
        <w:adjustRightInd w:val="0"/>
        <w:spacing w:beforeAutospacing="0" w:afterAutospacing="0" w:line="240" w:lineRule="auto"/>
        <w:ind w:left="0" w:leftChars="0" w:right="0" w:firstLine="452" w:firstLineChars="200"/>
        <w:jc w:val="center"/>
        <w:textAlignment w:val="auto"/>
        <w:rPr>
          <w:rFonts w:hint="eastAsia" w:ascii="宋体" w:hAnsi="宋体" w:eastAsia="宋体" w:cs="宋体"/>
          <w:color w:val="000000"/>
          <w:spacing w:val="8"/>
          <w:kern w:val="0"/>
          <w:sz w:val="21"/>
          <w:szCs w:val="21"/>
          <w:lang w:val="en-US" w:eastAsia="en-US"/>
        </w:rPr>
      </w:pPr>
      <w:r>
        <w:rPr>
          <w:rFonts w:hint="eastAsia" w:ascii="宋体" w:hAnsi="宋体" w:eastAsia="宋体" w:cs="宋体"/>
          <w:color w:val="000000"/>
          <w:spacing w:val="8"/>
          <w:kern w:val="0"/>
          <w:sz w:val="21"/>
          <w:szCs w:val="21"/>
          <w:lang w:val="en-US" w:eastAsia="zh-CN"/>
        </w:rPr>
        <w:t>表5</w:t>
      </w:r>
      <w:r>
        <w:rPr>
          <w:rFonts w:hint="eastAsia" w:ascii="宋体" w:hAnsi="宋体" w:eastAsia="宋体" w:cs="宋体"/>
          <w:color w:val="000000"/>
          <w:spacing w:val="8"/>
          <w:kern w:val="0"/>
          <w:sz w:val="21"/>
          <w:szCs w:val="21"/>
          <w:lang w:val="en-US" w:eastAsia="en-US"/>
        </w:rPr>
        <w:t>疗效评价标准</w:t>
      </w:r>
    </w:p>
    <w:tbl>
      <w:tblPr>
        <w:tblStyle w:val="21"/>
        <w:tblW w:w="90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777"/>
        <w:gridCol w:w="1744"/>
        <w:gridCol w:w="3170"/>
        <w:gridCol w:w="3387"/>
      </w:tblGrid>
      <w:tr w14:paraId="5C7C6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96" w:hRule="atLeast"/>
          <w:tblHeader/>
          <w:jc w:val="center"/>
        </w:trPr>
        <w:tc>
          <w:tcPr>
            <w:tcW w:w="777" w:type="dxa"/>
            <w:tcBorders>
              <w:top w:val="single" w:color="000000" w:sz="8" w:space="0"/>
              <w:left w:val="single" w:color="000000" w:sz="8" w:space="0"/>
              <w:bottom w:val="single" w:color="000000" w:sz="8" w:space="0"/>
              <w:right w:val="single" w:color="000000" w:sz="8" w:space="0"/>
            </w:tcBorders>
            <w:vAlign w:val="center"/>
          </w:tcPr>
          <w:p w14:paraId="73DB11AF">
            <w:pPr>
              <w:pStyle w:val="37"/>
              <w:pageBreakBefore w:val="0"/>
              <w:wordWrap/>
              <w:overflowPunct/>
              <w:topLinePunct w:val="0"/>
              <w:bidi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疗效等级</w:t>
            </w:r>
          </w:p>
        </w:tc>
        <w:tc>
          <w:tcPr>
            <w:tcW w:w="1744" w:type="dxa"/>
            <w:tcBorders>
              <w:top w:val="single" w:color="000000" w:sz="8" w:space="0"/>
              <w:left w:val="single" w:color="000000" w:sz="8" w:space="0"/>
              <w:bottom w:val="single" w:color="000000" w:sz="8" w:space="0"/>
              <w:right w:val="single" w:color="000000" w:sz="8" w:space="0"/>
            </w:tcBorders>
            <w:vAlign w:val="center"/>
          </w:tcPr>
          <w:p w14:paraId="5C012944">
            <w:pPr>
              <w:pStyle w:val="37"/>
              <w:pageBreakBefore w:val="0"/>
              <w:wordWrap/>
              <w:overflowPunct/>
              <w:topLinePunct w:val="0"/>
              <w:bidi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Cobb角改善标准</w:t>
            </w:r>
          </w:p>
        </w:tc>
        <w:tc>
          <w:tcPr>
            <w:tcW w:w="3170" w:type="dxa"/>
            <w:tcBorders>
              <w:top w:val="single" w:color="000000" w:sz="8" w:space="0"/>
              <w:left w:val="single" w:color="000000" w:sz="8" w:space="0"/>
              <w:bottom w:val="single" w:color="000000" w:sz="8" w:space="0"/>
              <w:right w:val="single" w:color="000000" w:sz="8" w:space="0"/>
            </w:tcBorders>
            <w:vAlign w:val="center"/>
          </w:tcPr>
          <w:p w14:paraId="7FBC928E">
            <w:pPr>
              <w:pStyle w:val="37"/>
              <w:pageBreakBefore w:val="0"/>
              <w:wordWrap/>
              <w:overflowPunct/>
              <w:topLinePunct w:val="0"/>
              <w:bidi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中医证候改善标准</w:t>
            </w:r>
          </w:p>
          <w:p w14:paraId="0C0E44FF">
            <w:pPr>
              <w:pStyle w:val="37"/>
              <w:pageBreakBefore w:val="0"/>
              <w:wordWrap/>
              <w:overflowPunct/>
              <w:topLinePunct w:val="0"/>
              <w:bidi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（尼莫地平法）</w:t>
            </w:r>
          </w:p>
        </w:tc>
        <w:tc>
          <w:tcPr>
            <w:tcW w:w="3387" w:type="dxa"/>
            <w:tcBorders>
              <w:top w:val="single" w:color="000000" w:sz="8" w:space="0"/>
              <w:left w:val="single" w:color="000000" w:sz="8" w:space="0"/>
              <w:bottom w:val="single" w:color="000000" w:sz="8" w:space="0"/>
              <w:right w:val="single" w:color="000000" w:sz="8" w:space="0"/>
            </w:tcBorders>
            <w:vAlign w:val="center"/>
          </w:tcPr>
          <w:p w14:paraId="658E78C2">
            <w:pPr>
              <w:pStyle w:val="37"/>
              <w:pageBreakBefore w:val="0"/>
              <w:wordWrap/>
              <w:overflowPunct/>
              <w:topLinePunct w:val="0"/>
              <w:bidi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远期疗效标准（随访3个月）</w:t>
            </w:r>
          </w:p>
        </w:tc>
      </w:tr>
      <w:tr w14:paraId="27DF0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96" w:hRule="atLeast"/>
          <w:jc w:val="center"/>
        </w:trPr>
        <w:tc>
          <w:tcPr>
            <w:tcW w:w="777" w:type="dxa"/>
            <w:tcBorders>
              <w:top w:val="single" w:color="000000" w:sz="8" w:space="0"/>
              <w:left w:val="single" w:color="000000" w:sz="8" w:space="0"/>
              <w:bottom w:val="single" w:color="000000" w:sz="8" w:space="0"/>
              <w:right w:val="single" w:color="000000" w:sz="8" w:space="0"/>
            </w:tcBorders>
            <w:vAlign w:val="center"/>
          </w:tcPr>
          <w:p w14:paraId="30E2629B">
            <w:pPr>
              <w:pStyle w:val="37"/>
              <w:pageBreakBefore w:val="0"/>
              <w:wordWrap/>
              <w:overflowPunct/>
              <w:topLinePunct w:val="0"/>
              <w:bidi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bookmarkStart w:id="92" w:name="_GoBack" w:colFirst="2" w:colLast="3"/>
            <w:r>
              <w:rPr>
                <w:rFonts w:hint="eastAsia" w:ascii="宋体" w:hAnsi="宋体" w:eastAsia="宋体" w:cs="宋体"/>
                <w:color w:val="000000"/>
                <w:spacing w:val="8"/>
                <w:kern w:val="0"/>
                <w:sz w:val="18"/>
                <w:szCs w:val="18"/>
                <w:lang w:val="en-US" w:eastAsia="zh-CN" w:bidi="ar-SA"/>
              </w:rPr>
              <w:t>显效</w:t>
            </w:r>
          </w:p>
        </w:tc>
        <w:tc>
          <w:tcPr>
            <w:tcW w:w="1744" w:type="dxa"/>
            <w:tcBorders>
              <w:top w:val="single" w:color="000000" w:sz="8" w:space="0"/>
              <w:left w:val="single" w:color="000000" w:sz="8" w:space="0"/>
              <w:bottom w:val="single" w:color="000000" w:sz="8" w:space="0"/>
              <w:right w:val="single" w:color="000000" w:sz="8" w:space="0"/>
            </w:tcBorders>
            <w:vAlign w:val="center"/>
          </w:tcPr>
          <w:p w14:paraId="319D5AC3">
            <w:pPr>
              <w:pStyle w:val="37"/>
              <w:pageBreakBefore w:val="0"/>
              <w:wordWrap/>
              <w:overflowPunct/>
              <w:topLinePunct w:val="0"/>
              <w:bidi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Cobb角减少≥10°</w:t>
            </w:r>
          </w:p>
        </w:tc>
        <w:tc>
          <w:tcPr>
            <w:tcW w:w="3170" w:type="dxa"/>
            <w:tcBorders>
              <w:top w:val="single" w:color="000000" w:sz="8" w:space="0"/>
              <w:left w:val="single" w:color="000000" w:sz="8" w:space="0"/>
              <w:bottom w:val="single" w:color="000000" w:sz="8" w:space="0"/>
              <w:right w:val="single" w:color="000000" w:sz="8" w:space="0"/>
            </w:tcBorders>
            <w:vAlign w:val="center"/>
          </w:tcPr>
          <w:p w14:paraId="4549623F">
            <w:pPr>
              <w:pStyle w:val="37"/>
              <w:pageBreakBefore w:val="0"/>
              <w:wordWrap/>
              <w:overflowPunct/>
              <w:topLinePunct w:val="0"/>
              <w:bidi w:val="0"/>
              <w:snapToGrid w:val="0"/>
              <w:spacing w:beforeAutospacing="0" w:afterAutospacing="0" w:line="240" w:lineRule="auto"/>
              <w:ind w:left="0" w:leftChars="0" w:right="0" w:firstLine="0" w:firstLineChars="0"/>
              <w:jc w:val="left"/>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证候积分减少≥95%，症状消失或基本消失</w:t>
            </w:r>
          </w:p>
        </w:tc>
        <w:tc>
          <w:tcPr>
            <w:tcW w:w="3387" w:type="dxa"/>
            <w:tcBorders>
              <w:top w:val="single" w:color="000000" w:sz="8" w:space="0"/>
              <w:left w:val="single" w:color="000000" w:sz="8" w:space="0"/>
              <w:bottom w:val="single" w:color="000000" w:sz="8" w:space="0"/>
              <w:right w:val="single" w:color="000000" w:sz="8" w:space="0"/>
            </w:tcBorders>
            <w:vAlign w:val="center"/>
          </w:tcPr>
          <w:p w14:paraId="3D15F007">
            <w:pPr>
              <w:pStyle w:val="37"/>
              <w:pageBreakBefore w:val="0"/>
              <w:wordWrap/>
              <w:overflowPunct/>
              <w:topLinePunct w:val="0"/>
              <w:bidi w:val="0"/>
              <w:snapToGrid w:val="0"/>
              <w:spacing w:beforeAutospacing="0" w:afterAutospacing="0" w:line="240" w:lineRule="auto"/>
              <w:ind w:left="0" w:leftChars="0" w:right="0" w:firstLine="0" w:firstLineChars="0"/>
              <w:jc w:val="left"/>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无进展，生活质量评分提升≥30%</w:t>
            </w:r>
          </w:p>
        </w:tc>
      </w:tr>
      <w:tr w14:paraId="56F1C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96" w:hRule="atLeast"/>
          <w:jc w:val="center"/>
        </w:trPr>
        <w:tc>
          <w:tcPr>
            <w:tcW w:w="777" w:type="dxa"/>
            <w:tcBorders>
              <w:top w:val="single" w:color="000000" w:sz="8" w:space="0"/>
              <w:left w:val="single" w:color="000000" w:sz="8" w:space="0"/>
              <w:bottom w:val="single" w:color="000000" w:sz="8" w:space="0"/>
              <w:right w:val="single" w:color="000000" w:sz="8" w:space="0"/>
            </w:tcBorders>
            <w:vAlign w:val="center"/>
          </w:tcPr>
          <w:p w14:paraId="5BB18F50">
            <w:pPr>
              <w:pStyle w:val="37"/>
              <w:pageBreakBefore w:val="0"/>
              <w:wordWrap/>
              <w:overflowPunct/>
              <w:topLinePunct w:val="0"/>
              <w:bidi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有效</w:t>
            </w:r>
          </w:p>
        </w:tc>
        <w:tc>
          <w:tcPr>
            <w:tcW w:w="1744" w:type="dxa"/>
            <w:tcBorders>
              <w:top w:val="single" w:color="000000" w:sz="8" w:space="0"/>
              <w:left w:val="single" w:color="000000" w:sz="8" w:space="0"/>
              <w:bottom w:val="single" w:color="000000" w:sz="8" w:space="0"/>
              <w:right w:val="single" w:color="000000" w:sz="8" w:space="0"/>
            </w:tcBorders>
            <w:vAlign w:val="center"/>
          </w:tcPr>
          <w:p w14:paraId="72BC82A1">
            <w:pPr>
              <w:pStyle w:val="37"/>
              <w:pageBreakBefore w:val="0"/>
              <w:wordWrap/>
              <w:overflowPunct/>
              <w:topLinePunct w:val="0"/>
              <w:bidi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Cobb角减少5°～9°</w:t>
            </w:r>
          </w:p>
        </w:tc>
        <w:tc>
          <w:tcPr>
            <w:tcW w:w="3170" w:type="dxa"/>
            <w:tcBorders>
              <w:top w:val="single" w:color="000000" w:sz="8" w:space="0"/>
              <w:left w:val="single" w:color="000000" w:sz="8" w:space="0"/>
              <w:bottom w:val="single" w:color="000000" w:sz="8" w:space="0"/>
              <w:right w:val="single" w:color="000000" w:sz="8" w:space="0"/>
            </w:tcBorders>
            <w:vAlign w:val="center"/>
          </w:tcPr>
          <w:p w14:paraId="2D0C0D69">
            <w:pPr>
              <w:pStyle w:val="37"/>
              <w:pageBreakBefore w:val="0"/>
              <w:wordWrap/>
              <w:overflowPunct/>
              <w:topLinePunct w:val="0"/>
              <w:bidi w:val="0"/>
              <w:snapToGrid w:val="0"/>
              <w:spacing w:beforeAutospacing="0" w:afterAutospacing="0" w:line="240" w:lineRule="auto"/>
              <w:ind w:left="0" w:leftChars="0" w:right="0" w:firstLine="0" w:firstLineChars="0"/>
              <w:jc w:val="left"/>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证候积分减少70%~94%，症状明显改善</w:t>
            </w:r>
          </w:p>
        </w:tc>
        <w:tc>
          <w:tcPr>
            <w:tcW w:w="3387" w:type="dxa"/>
            <w:tcBorders>
              <w:top w:val="single" w:color="000000" w:sz="8" w:space="0"/>
              <w:left w:val="single" w:color="000000" w:sz="8" w:space="0"/>
              <w:bottom w:val="single" w:color="000000" w:sz="8" w:space="0"/>
              <w:right w:val="single" w:color="000000" w:sz="8" w:space="0"/>
            </w:tcBorders>
            <w:vAlign w:val="center"/>
          </w:tcPr>
          <w:p w14:paraId="44BB42A4">
            <w:pPr>
              <w:pStyle w:val="37"/>
              <w:pageBreakBefore w:val="0"/>
              <w:wordWrap/>
              <w:overflowPunct/>
              <w:topLinePunct w:val="0"/>
              <w:bidi w:val="0"/>
              <w:snapToGrid w:val="0"/>
              <w:spacing w:beforeAutospacing="0" w:afterAutospacing="0" w:line="240" w:lineRule="auto"/>
              <w:ind w:left="0" w:leftChars="0" w:right="0" w:firstLine="0" w:firstLineChars="0"/>
              <w:jc w:val="left"/>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无进展，生活质量评分提升20%~29%</w:t>
            </w:r>
          </w:p>
        </w:tc>
      </w:tr>
      <w:tr w14:paraId="6DBF5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96" w:hRule="atLeast"/>
          <w:jc w:val="center"/>
        </w:trPr>
        <w:tc>
          <w:tcPr>
            <w:tcW w:w="777" w:type="dxa"/>
            <w:tcBorders>
              <w:top w:val="single" w:color="000000" w:sz="8" w:space="0"/>
              <w:left w:val="single" w:color="000000" w:sz="8" w:space="0"/>
              <w:bottom w:val="single" w:color="000000" w:sz="8" w:space="0"/>
              <w:right w:val="single" w:color="000000" w:sz="8" w:space="0"/>
            </w:tcBorders>
            <w:vAlign w:val="center"/>
          </w:tcPr>
          <w:p w14:paraId="7B947D16">
            <w:pPr>
              <w:pStyle w:val="37"/>
              <w:pageBreakBefore w:val="0"/>
              <w:wordWrap/>
              <w:overflowPunct/>
              <w:topLinePunct w:val="0"/>
              <w:bidi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稳定</w:t>
            </w:r>
          </w:p>
        </w:tc>
        <w:tc>
          <w:tcPr>
            <w:tcW w:w="1744" w:type="dxa"/>
            <w:tcBorders>
              <w:top w:val="single" w:color="000000" w:sz="8" w:space="0"/>
              <w:left w:val="single" w:color="000000" w:sz="8" w:space="0"/>
              <w:bottom w:val="single" w:color="000000" w:sz="8" w:space="0"/>
              <w:right w:val="single" w:color="000000" w:sz="8" w:space="0"/>
            </w:tcBorders>
            <w:vAlign w:val="center"/>
          </w:tcPr>
          <w:p w14:paraId="1150BAF6">
            <w:pPr>
              <w:pStyle w:val="37"/>
              <w:pageBreakBefore w:val="0"/>
              <w:wordWrap/>
              <w:overflowPunct/>
              <w:topLinePunct w:val="0"/>
              <w:bidi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变化＜5°</w:t>
            </w:r>
          </w:p>
        </w:tc>
        <w:tc>
          <w:tcPr>
            <w:tcW w:w="3170" w:type="dxa"/>
            <w:tcBorders>
              <w:top w:val="single" w:color="000000" w:sz="8" w:space="0"/>
              <w:left w:val="single" w:color="000000" w:sz="8" w:space="0"/>
              <w:bottom w:val="single" w:color="000000" w:sz="8" w:space="0"/>
              <w:right w:val="single" w:color="000000" w:sz="8" w:space="0"/>
            </w:tcBorders>
            <w:vAlign w:val="center"/>
          </w:tcPr>
          <w:p w14:paraId="2C61915D">
            <w:pPr>
              <w:pStyle w:val="37"/>
              <w:pageBreakBefore w:val="0"/>
              <w:wordWrap/>
              <w:overflowPunct/>
              <w:topLinePunct w:val="0"/>
              <w:bidi w:val="0"/>
              <w:snapToGrid w:val="0"/>
              <w:spacing w:beforeAutospacing="0" w:afterAutospacing="0" w:line="240" w:lineRule="auto"/>
              <w:ind w:left="0" w:leftChars="0" w:right="0" w:firstLine="0" w:firstLineChars="0"/>
              <w:jc w:val="left"/>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证候积分减少30%~69%，症状有好转</w:t>
            </w:r>
          </w:p>
        </w:tc>
        <w:tc>
          <w:tcPr>
            <w:tcW w:w="3387" w:type="dxa"/>
            <w:tcBorders>
              <w:top w:val="single" w:color="000000" w:sz="8" w:space="0"/>
              <w:left w:val="single" w:color="000000" w:sz="8" w:space="0"/>
              <w:bottom w:val="single" w:color="000000" w:sz="8" w:space="0"/>
              <w:right w:val="single" w:color="000000" w:sz="8" w:space="0"/>
            </w:tcBorders>
            <w:vAlign w:val="center"/>
          </w:tcPr>
          <w:p w14:paraId="41597F36">
            <w:pPr>
              <w:pStyle w:val="37"/>
              <w:pageBreakBefore w:val="0"/>
              <w:wordWrap/>
              <w:overflowPunct/>
              <w:topLinePunct w:val="0"/>
              <w:bidi w:val="0"/>
              <w:snapToGrid w:val="0"/>
              <w:spacing w:beforeAutospacing="0" w:afterAutospacing="0" w:line="240" w:lineRule="auto"/>
              <w:ind w:left="0" w:leftChars="0" w:right="0" w:firstLine="0" w:firstLineChars="0"/>
              <w:jc w:val="left"/>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轻度进展（Cobb角增加&lt;5°），生活质量评分提升10%~19%</w:t>
            </w:r>
          </w:p>
        </w:tc>
      </w:tr>
      <w:tr w14:paraId="46EDF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96" w:hRule="atLeast"/>
          <w:jc w:val="center"/>
        </w:trPr>
        <w:tc>
          <w:tcPr>
            <w:tcW w:w="777" w:type="dxa"/>
            <w:tcBorders>
              <w:top w:val="single" w:color="000000" w:sz="8" w:space="0"/>
              <w:left w:val="single" w:color="000000" w:sz="8" w:space="0"/>
              <w:bottom w:val="single" w:color="000000" w:sz="8" w:space="0"/>
              <w:right w:val="single" w:color="000000" w:sz="8" w:space="0"/>
            </w:tcBorders>
            <w:vAlign w:val="center"/>
          </w:tcPr>
          <w:p w14:paraId="4D9EF757">
            <w:pPr>
              <w:pStyle w:val="37"/>
              <w:pageBreakBefore w:val="0"/>
              <w:wordWrap/>
              <w:overflowPunct/>
              <w:topLinePunct w:val="0"/>
              <w:bidi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无效</w:t>
            </w:r>
          </w:p>
        </w:tc>
        <w:tc>
          <w:tcPr>
            <w:tcW w:w="1744" w:type="dxa"/>
            <w:tcBorders>
              <w:top w:val="single" w:color="000000" w:sz="8" w:space="0"/>
              <w:left w:val="single" w:color="000000" w:sz="8" w:space="0"/>
              <w:bottom w:val="single" w:color="000000" w:sz="8" w:space="0"/>
              <w:right w:val="single" w:color="000000" w:sz="8" w:space="0"/>
            </w:tcBorders>
            <w:vAlign w:val="center"/>
          </w:tcPr>
          <w:p w14:paraId="4D3BFDF7">
            <w:pPr>
              <w:pStyle w:val="37"/>
              <w:pageBreakBefore w:val="0"/>
              <w:wordWrap/>
              <w:overflowPunct/>
              <w:topLinePunct w:val="0"/>
              <w:bidi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增加≥5°</w:t>
            </w:r>
          </w:p>
        </w:tc>
        <w:tc>
          <w:tcPr>
            <w:tcW w:w="3170" w:type="dxa"/>
            <w:tcBorders>
              <w:top w:val="single" w:color="000000" w:sz="8" w:space="0"/>
              <w:left w:val="single" w:color="000000" w:sz="8" w:space="0"/>
              <w:bottom w:val="single" w:color="000000" w:sz="8" w:space="0"/>
              <w:right w:val="single" w:color="000000" w:sz="8" w:space="0"/>
            </w:tcBorders>
            <w:vAlign w:val="center"/>
          </w:tcPr>
          <w:p w14:paraId="70BE4DE1">
            <w:pPr>
              <w:pStyle w:val="37"/>
              <w:pageBreakBefore w:val="0"/>
              <w:wordWrap/>
              <w:overflowPunct/>
              <w:topLinePunct w:val="0"/>
              <w:bidi w:val="0"/>
              <w:snapToGrid w:val="0"/>
              <w:spacing w:beforeAutospacing="0" w:afterAutospacing="0" w:line="240" w:lineRule="auto"/>
              <w:ind w:left="0" w:leftChars="0" w:right="0" w:firstLine="0" w:firstLineChars="0"/>
              <w:jc w:val="left"/>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证候积分减少＜30%，症状无改善或加重</w:t>
            </w:r>
          </w:p>
        </w:tc>
        <w:tc>
          <w:tcPr>
            <w:tcW w:w="3387" w:type="dxa"/>
            <w:tcBorders>
              <w:top w:val="single" w:color="000000" w:sz="8" w:space="0"/>
              <w:left w:val="single" w:color="000000" w:sz="8" w:space="0"/>
              <w:bottom w:val="single" w:color="000000" w:sz="8" w:space="0"/>
              <w:right w:val="single" w:color="000000" w:sz="8" w:space="0"/>
            </w:tcBorders>
            <w:vAlign w:val="center"/>
          </w:tcPr>
          <w:p w14:paraId="1A902498">
            <w:pPr>
              <w:pStyle w:val="37"/>
              <w:pageBreakBefore w:val="0"/>
              <w:wordWrap/>
              <w:overflowPunct/>
              <w:topLinePunct w:val="0"/>
              <w:bidi w:val="0"/>
              <w:snapToGrid w:val="0"/>
              <w:spacing w:beforeAutospacing="0" w:afterAutospacing="0" w:line="240" w:lineRule="auto"/>
              <w:ind w:left="0" w:leftChars="0" w:right="0" w:firstLine="0" w:firstLineChars="0"/>
              <w:jc w:val="left"/>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重度进展（Cobb角＞10°），生活质量评分无提升或下降</w:t>
            </w:r>
          </w:p>
        </w:tc>
      </w:tr>
      <w:bookmarkEnd w:id="92"/>
      <w:tr w14:paraId="6F5B7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0" w:hRule="atLeast"/>
          <w:jc w:val="center"/>
        </w:trPr>
        <w:tc>
          <w:tcPr>
            <w:tcW w:w="9078" w:type="dxa"/>
            <w:gridSpan w:val="4"/>
            <w:tcBorders>
              <w:top w:val="single" w:color="000000" w:sz="8" w:space="0"/>
              <w:left w:val="single" w:color="000000" w:sz="8" w:space="0"/>
              <w:bottom w:val="single" w:color="000000" w:sz="8" w:space="0"/>
              <w:right w:val="single" w:color="000000" w:sz="8" w:space="0"/>
            </w:tcBorders>
            <w:vAlign w:val="center"/>
          </w:tcPr>
          <w:p w14:paraId="2D152F9F">
            <w:pPr>
              <w:pStyle w:val="37"/>
              <w:pageBreakBefore w:val="0"/>
              <w:wordWrap/>
              <w:overflowPunct/>
              <w:topLinePunct w:val="0"/>
              <w:bidi w:val="0"/>
              <w:snapToGrid w:val="0"/>
              <w:spacing w:beforeAutospacing="0" w:afterAutospacing="0" w:line="240" w:lineRule="auto"/>
              <w:ind w:left="0" w:leftChars="0" w:right="0" w:firstLine="0" w:firstLineChars="0"/>
              <w:jc w:val="center"/>
              <w:textAlignment w:val="auto"/>
              <w:rPr>
                <w:rFonts w:hint="eastAsia" w:ascii="宋体" w:hAnsi="宋体" w:eastAsia="宋体" w:cs="宋体"/>
                <w:color w:val="000000"/>
                <w:spacing w:val="8"/>
                <w:kern w:val="0"/>
                <w:sz w:val="18"/>
                <w:szCs w:val="18"/>
                <w:lang w:val="en-US" w:eastAsia="zh-CN" w:bidi="ar-SA"/>
              </w:rPr>
            </w:pPr>
            <w:r>
              <w:rPr>
                <w:rFonts w:hint="eastAsia" w:ascii="宋体" w:hAnsi="宋体" w:eastAsia="宋体" w:cs="宋体"/>
                <w:color w:val="000000"/>
                <w:spacing w:val="8"/>
                <w:kern w:val="0"/>
                <w:sz w:val="18"/>
                <w:szCs w:val="18"/>
                <w:lang w:val="en-US" w:eastAsia="zh-CN" w:bidi="ar-SA"/>
              </w:rPr>
              <w:t>注：尼莫地平法计算公式：证候积分改善率=（治疗前积分-治疗后积分）/治疗前积分×100%。</w:t>
            </w:r>
          </w:p>
        </w:tc>
      </w:tr>
    </w:tbl>
    <w:p w14:paraId="4CA3BF48">
      <w:pPr>
        <w:pStyle w:val="70"/>
        <w:spacing w:before="120" w:after="120"/>
        <w:rPr>
          <w:rFonts w:hint="eastAsia"/>
          <w:lang w:val="en-US" w:eastAsia="en-US"/>
        </w:rPr>
      </w:pPr>
      <w:bookmarkStart w:id="76" w:name="_Toc219835487"/>
      <w:bookmarkStart w:id="77" w:name="_Toc208503244"/>
      <w:bookmarkStart w:id="78" w:name="_Toc9582"/>
      <w:r>
        <w:rPr>
          <w:rFonts w:hint="eastAsia"/>
          <w:lang w:val="en-US" w:eastAsia="en-US"/>
        </w:rPr>
        <w:t>评价方法与流程</w:t>
      </w:r>
      <w:bookmarkEnd w:id="76"/>
      <w:bookmarkEnd w:id="77"/>
      <w:bookmarkEnd w:id="78"/>
    </w:p>
    <w:p w14:paraId="7F3D8FDA">
      <w:pPr>
        <w:pStyle w:val="71"/>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黑体" w:hAnsi="黑体" w:eastAsia="黑体" w:cs="黑体"/>
          <w:lang w:val="en-US" w:eastAsia="en-US"/>
        </w:rPr>
      </w:pPr>
      <w:bookmarkStart w:id="79" w:name="_Toc19412"/>
      <w:r>
        <w:rPr>
          <w:rFonts w:hint="eastAsia" w:ascii="黑体" w:hAnsi="黑体" w:eastAsia="黑体" w:cs="黑体"/>
          <w:lang w:val="en-US" w:eastAsia="en-US"/>
        </w:rPr>
        <w:t>评价方法</w:t>
      </w:r>
      <w:bookmarkEnd w:id="79"/>
    </w:p>
    <w:p w14:paraId="592D3D6F">
      <w:pPr>
        <w:pStyle w:val="73"/>
        <w:keepNext w:val="0"/>
        <w:keepLines w:val="0"/>
        <w:pageBreakBefore w:val="0"/>
        <w:widowControl/>
        <w:kinsoku/>
        <w:wordWrap/>
        <w:overflowPunct/>
        <w:topLinePunct w:val="0"/>
        <w:autoSpaceDE/>
        <w:autoSpaceDN/>
        <w:bidi w:val="0"/>
        <w:adjustRightInd/>
        <w:snapToGrid/>
        <w:spacing w:before="157" w:beforeLines="50" w:after="157" w:afterLines="50"/>
        <w:textAlignment w:val="auto"/>
        <w:rPr>
          <w:rFonts w:hint="eastAsia" w:ascii="黑体" w:hAnsi="黑体" w:eastAsia="黑体" w:cs="黑体"/>
          <w:sz w:val="21"/>
          <w:lang w:val="en-US" w:eastAsia="en-US" w:bidi="ar-SA"/>
        </w:rPr>
      </w:pPr>
      <w:r>
        <w:rPr>
          <w:rFonts w:hint="eastAsia" w:ascii="黑体" w:hAnsi="黑体" w:eastAsia="黑体" w:cs="黑体"/>
          <w:sz w:val="21"/>
          <w:lang w:val="en-US" w:eastAsia="en-US" w:bidi="ar-SA"/>
        </w:rPr>
        <w:t>客观指标测量</w:t>
      </w:r>
    </w:p>
    <w:p w14:paraId="60EA19FD">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eastAsia="en-US"/>
        </w:rPr>
      </w:pPr>
      <w:r>
        <w:rPr>
          <w:rFonts w:hint="eastAsia" w:ascii="宋体" w:hAnsi="宋体" w:eastAsia="宋体" w:cs="宋体"/>
          <w:color w:val="000000"/>
          <w:spacing w:val="8"/>
          <w:kern w:val="0"/>
          <w:sz w:val="21"/>
          <w:szCs w:val="21"/>
          <w:lang w:eastAsia="en-US"/>
        </w:rPr>
        <w:t>由经过培训的医护人员统一测量Cobb角、ATR值，使用校准后的仪器，测量前告知患者测量要求，确保数据准确。</w:t>
      </w:r>
    </w:p>
    <w:p w14:paraId="39603AAC">
      <w:pPr>
        <w:pStyle w:val="73"/>
        <w:keepNext w:val="0"/>
        <w:keepLines w:val="0"/>
        <w:pageBreakBefore w:val="0"/>
        <w:widowControl/>
        <w:kinsoku/>
        <w:wordWrap/>
        <w:overflowPunct/>
        <w:topLinePunct w:val="0"/>
        <w:autoSpaceDE/>
        <w:autoSpaceDN/>
        <w:bidi w:val="0"/>
        <w:adjustRightInd/>
        <w:snapToGrid/>
        <w:spacing w:before="157" w:beforeLines="50" w:after="157" w:afterLines="50"/>
        <w:textAlignment w:val="auto"/>
        <w:rPr>
          <w:rFonts w:hint="eastAsia" w:ascii="黑体" w:hAnsi="黑体" w:eastAsia="黑体" w:cs="黑体"/>
          <w:sz w:val="21"/>
          <w:lang w:val="en-US" w:eastAsia="en-US" w:bidi="ar-SA"/>
        </w:rPr>
      </w:pPr>
      <w:r>
        <w:rPr>
          <w:rFonts w:hint="eastAsia" w:ascii="黑体" w:hAnsi="黑体" w:eastAsia="黑体" w:cs="黑体"/>
          <w:sz w:val="21"/>
          <w:lang w:val="en-US" w:eastAsia="en-US" w:bidi="ar-SA"/>
        </w:rPr>
        <w:t>中医证候评分</w:t>
      </w:r>
    </w:p>
    <w:p w14:paraId="6514F155">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eastAsia="en-US"/>
        </w:rPr>
      </w:pPr>
      <w:r>
        <w:rPr>
          <w:rFonts w:hint="eastAsia" w:ascii="宋体" w:hAnsi="宋体" w:eastAsia="宋体" w:cs="宋体"/>
          <w:color w:val="000000"/>
          <w:spacing w:val="8"/>
          <w:kern w:val="0"/>
          <w:sz w:val="21"/>
          <w:szCs w:val="21"/>
          <w:lang w:eastAsia="en-US"/>
        </w:rPr>
        <w:t>由2名中医师独立对患者症状进行评分，取平均值作为最终积分，若评分差异＞2分，需共同讨论确定。</w:t>
      </w:r>
    </w:p>
    <w:p w14:paraId="3CB22555">
      <w:pPr>
        <w:pStyle w:val="73"/>
        <w:keepNext w:val="0"/>
        <w:keepLines w:val="0"/>
        <w:pageBreakBefore w:val="0"/>
        <w:widowControl/>
        <w:kinsoku/>
        <w:wordWrap/>
        <w:overflowPunct/>
        <w:topLinePunct w:val="0"/>
        <w:autoSpaceDE/>
        <w:autoSpaceDN/>
        <w:bidi w:val="0"/>
        <w:adjustRightInd/>
        <w:snapToGrid/>
        <w:spacing w:before="157" w:beforeLines="50" w:after="157" w:afterLines="50"/>
        <w:textAlignment w:val="auto"/>
        <w:rPr>
          <w:rFonts w:hint="eastAsia" w:ascii="黑体" w:hAnsi="黑体" w:eastAsia="黑体" w:cs="黑体"/>
          <w:sz w:val="21"/>
          <w:lang w:val="en-US" w:eastAsia="en-US" w:bidi="ar-SA"/>
        </w:rPr>
      </w:pPr>
      <w:r>
        <w:rPr>
          <w:rFonts w:hint="eastAsia" w:ascii="黑体" w:hAnsi="黑体" w:eastAsia="黑体" w:cs="黑体"/>
          <w:sz w:val="21"/>
          <w:lang w:val="en-US" w:eastAsia="en-US" w:bidi="ar-SA"/>
        </w:rPr>
        <w:t>生活质量评分</w:t>
      </w:r>
    </w:p>
    <w:p w14:paraId="0E6F4883">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eastAsia="en-US"/>
        </w:rPr>
      </w:pPr>
      <w:r>
        <w:rPr>
          <w:rFonts w:hint="eastAsia" w:ascii="宋体" w:hAnsi="宋体" w:eastAsia="宋体" w:cs="宋体"/>
          <w:color w:val="000000"/>
          <w:spacing w:val="8"/>
          <w:kern w:val="0"/>
          <w:sz w:val="21"/>
          <w:szCs w:val="21"/>
          <w:lang w:eastAsia="en-US"/>
        </w:rPr>
        <w:t>由患者自行填写《脊柱侧凸研究学会-22问卷（SRS-22）》，医护人员协助解释条目含义，避免理解偏差。</w:t>
      </w:r>
    </w:p>
    <w:p w14:paraId="35869C8E">
      <w:pPr>
        <w:pStyle w:val="73"/>
        <w:keepNext w:val="0"/>
        <w:keepLines w:val="0"/>
        <w:pageBreakBefore w:val="0"/>
        <w:widowControl/>
        <w:kinsoku/>
        <w:wordWrap/>
        <w:overflowPunct/>
        <w:topLinePunct w:val="0"/>
        <w:autoSpaceDE/>
        <w:autoSpaceDN/>
        <w:bidi w:val="0"/>
        <w:adjustRightInd/>
        <w:snapToGrid/>
        <w:spacing w:before="157" w:beforeLines="50" w:after="157" w:afterLines="50"/>
        <w:textAlignment w:val="auto"/>
        <w:rPr>
          <w:rFonts w:hint="eastAsia" w:ascii="黑体" w:hAnsi="黑体" w:eastAsia="黑体" w:cs="黑体"/>
          <w:sz w:val="21"/>
          <w:lang w:val="en-US" w:eastAsia="en-US" w:bidi="ar-SA"/>
        </w:rPr>
      </w:pPr>
      <w:r>
        <w:rPr>
          <w:rFonts w:hint="eastAsia" w:ascii="黑体" w:hAnsi="黑体" w:eastAsia="黑体" w:cs="黑体"/>
          <w:sz w:val="21"/>
          <w:lang w:val="en-US" w:eastAsia="en-US" w:bidi="ar-SA"/>
        </w:rPr>
        <w:t>远期疗效评价</w:t>
      </w:r>
    </w:p>
    <w:p w14:paraId="24B6C768">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eastAsia="en-US"/>
        </w:rPr>
      </w:pPr>
      <w:r>
        <w:rPr>
          <w:rFonts w:hint="eastAsia" w:ascii="宋体" w:hAnsi="宋体" w:eastAsia="宋体" w:cs="宋体"/>
          <w:color w:val="000000"/>
          <w:spacing w:val="8"/>
          <w:kern w:val="0"/>
          <w:sz w:val="21"/>
          <w:szCs w:val="21"/>
          <w:lang w:eastAsia="en-US"/>
        </w:rPr>
        <w:t>随访期3个月时，通过门诊复查随访完成Cobb角测量、证候评分与生活质量评分，失访患者需记录失访原因。</w:t>
      </w:r>
    </w:p>
    <w:p w14:paraId="3351AF8E">
      <w:pPr>
        <w:pStyle w:val="71"/>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黑体" w:hAnsi="黑体" w:eastAsia="黑体" w:cs="黑体"/>
          <w:lang w:val="en-US" w:eastAsia="en-US"/>
        </w:rPr>
      </w:pPr>
      <w:bookmarkStart w:id="80" w:name="_Toc8359"/>
      <w:r>
        <w:rPr>
          <w:rFonts w:hint="eastAsia" w:ascii="黑体" w:hAnsi="黑体" w:eastAsia="黑体" w:cs="黑体"/>
          <w:lang w:val="en-US" w:eastAsia="en-US"/>
        </w:rPr>
        <w:t>评价流程</w:t>
      </w:r>
      <w:bookmarkEnd w:id="80"/>
    </w:p>
    <w:p w14:paraId="418D4E7A">
      <w:pPr>
        <w:pStyle w:val="73"/>
        <w:keepNext w:val="0"/>
        <w:keepLines w:val="0"/>
        <w:pageBreakBefore w:val="0"/>
        <w:widowControl/>
        <w:kinsoku/>
        <w:wordWrap/>
        <w:overflowPunct/>
        <w:topLinePunct w:val="0"/>
        <w:autoSpaceDE/>
        <w:autoSpaceDN/>
        <w:bidi w:val="0"/>
        <w:adjustRightInd/>
        <w:snapToGrid/>
        <w:spacing w:before="157" w:beforeLines="50" w:after="157" w:afterLines="50"/>
        <w:textAlignment w:val="auto"/>
        <w:rPr>
          <w:rFonts w:hint="eastAsia" w:ascii="黑体" w:hAnsi="黑体" w:eastAsia="黑体" w:cs="黑体"/>
          <w:sz w:val="21"/>
          <w:lang w:val="en-US" w:eastAsia="en-US" w:bidi="ar-SA"/>
        </w:rPr>
      </w:pPr>
      <w:r>
        <w:rPr>
          <w:rFonts w:hint="eastAsia" w:ascii="黑体" w:hAnsi="黑体" w:eastAsia="黑体" w:cs="黑体"/>
          <w:sz w:val="21"/>
          <w:lang w:val="en-US" w:eastAsia="en-US" w:bidi="ar-SA"/>
        </w:rPr>
        <w:t>治疗前基线评估</w:t>
      </w:r>
    </w:p>
    <w:p w14:paraId="16BD2739">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val="en-US" w:eastAsia="en-US"/>
        </w:rPr>
      </w:pPr>
      <w:r>
        <w:rPr>
          <w:rFonts w:hint="eastAsia" w:ascii="宋体" w:hAnsi="宋体" w:eastAsia="宋体" w:cs="宋体"/>
          <w:color w:val="000000"/>
          <w:spacing w:val="8"/>
          <w:kern w:val="0"/>
          <w:sz w:val="21"/>
          <w:szCs w:val="21"/>
          <w:lang w:val="en-US" w:eastAsia="en-US"/>
        </w:rPr>
        <w:t>操作前1周内完成核心客观指标测量、中医证候评分、生活质量评分，建立患者疗效评价基线档案。</w:t>
      </w:r>
    </w:p>
    <w:p w14:paraId="2CAFA417">
      <w:pPr>
        <w:pStyle w:val="73"/>
        <w:keepNext w:val="0"/>
        <w:keepLines w:val="0"/>
        <w:pageBreakBefore w:val="0"/>
        <w:widowControl/>
        <w:kinsoku/>
        <w:wordWrap/>
        <w:overflowPunct/>
        <w:topLinePunct w:val="0"/>
        <w:autoSpaceDE/>
        <w:autoSpaceDN/>
        <w:bidi w:val="0"/>
        <w:adjustRightInd/>
        <w:snapToGrid/>
        <w:spacing w:before="157" w:beforeLines="50" w:after="157" w:afterLines="50"/>
        <w:textAlignment w:val="auto"/>
        <w:rPr>
          <w:rFonts w:hint="eastAsia" w:ascii="黑体" w:hAnsi="黑体" w:eastAsia="黑体" w:cs="黑体"/>
          <w:sz w:val="21"/>
          <w:lang w:val="en-US" w:eastAsia="en-US" w:bidi="ar-SA"/>
        </w:rPr>
      </w:pPr>
      <w:r>
        <w:rPr>
          <w:rFonts w:hint="eastAsia" w:ascii="黑体" w:hAnsi="黑体" w:eastAsia="黑体" w:cs="黑体"/>
          <w:sz w:val="21"/>
          <w:lang w:val="en-US" w:eastAsia="en-US" w:bidi="ar-SA"/>
        </w:rPr>
        <w:t>治疗期阶段性评估</w:t>
      </w:r>
    </w:p>
    <w:p w14:paraId="3D3DD987">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val="en-US" w:eastAsia="en-US"/>
        </w:rPr>
      </w:pPr>
      <w:r>
        <w:rPr>
          <w:rFonts w:hint="eastAsia" w:ascii="宋体" w:hAnsi="宋体" w:eastAsia="宋体" w:cs="宋体"/>
          <w:color w:val="000000"/>
          <w:spacing w:val="8"/>
          <w:kern w:val="0"/>
          <w:sz w:val="21"/>
          <w:szCs w:val="21"/>
          <w:lang w:val="en-US" w:eastAsia="en-US"/>
        </w:rPr>
        <w:t>每完成1个阶段治疗后，进行1次阶段性评估，测量Cobb角、ATR，评估症状改善情况，调整治疗方案。</w:t>
      </w:r>
    </w:p>
    <w:p w14:paraId="4963BE5B">
      <w:pPr>
        <w:pStyle w:val="73"/>
        <w:keepNext w:val="0"/>
        <w:keepLines w:val="0"/>
        <w:pageBreakBefore w:val="0"/>
        <w:widowControl/>
        <w:kinsoku/>
        <w:wordWrap/>
        <w:overflowPunct/>
        <w:topLinePunct w:val="0"/>
        <w:autoSpaceDE/>
        <w:autoSpaceDN/>
        <w:bidi w:val="0"/>
        <w:adjustRightInd/>
        <w:snapToGrid/>
        <w:spacing w:before="157" w:beforeLines="50" w:after="157" w:afterLines="50"/>
        <w:textAlignment w:val="auto"/>
        <w:rPr>
          <w:rFonts w:hint="eastAsia" w:ascii="黑体" w:hAnsi="黑体" w:eastAsia="黑体" w:cs="黑体"/>
          <w:sz w:val="21"/>
          <w:lang w:val="en-US" w:eastAsia="en-US" w:bidi="ar-SA"/>
        </w:rPr>
      </w:pPr>
      <w:r>
        <w:rPr>
          <w:rFonts w:hint="eastAsia" w:ascii="黑体" w:hAnsi="黑体" w:eastAsia="黑体" w:cs="黑体"/>
          <w:sz w:val="21"/>
          <w:lang w:val="en-US" w:eastAsia="en-US" w:bidi="ar-SA"/>
        </w:rPr>
        <w:t>治疗结束后疗效评价</w:t>
      </w:r>
    </w:p>
    <w:p w14:paraId="088271F5">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val="en-US" w:eastAsia="en-US"/>
        </w:rPr>
      </w:pPr>
      <w:r>
        <w:rPr>
          <w:rFonts w:hint="eastAsia" w:ascii="宋体" w:hAnsi="宋体" w:eastAsia="宋体" w:cs="宋体"/>
          <w:color w:val="000000"/>
          <w:spacing w:val="8"/>
          <w:kern w:val="0"/>
          <w:sz w:val="21"/>
          <w:szCs w:val="21"/>
          <w:lang w:val="en-US" w:eastAsia="en-US"/>
        </w:rPr>
        <w:t>完成治疗期（3个阶段）与巩固期（2各阶段）后1周内，进行全面疗效评价，包括核心客观指标、中医证候积分、生活质量评分，确定疗效等级。</w:t>
      </w:r>
    </w:p>
    <w:p w14:paraId="44E61A5B">
      <w:pPr>
        <w:pStyle w:val="73"/>
        <w:keepNext w:val="0"/>
        <w:keepLines w:val="0"/>
        <w:pageBreakBefore w:val="0"/>
        <w:widowControl/>
        <w:kinsoku/>
        <w:wordWrap/>
        <w:overflowPunct/>
        <w:topLinePunct w:val="0"/>
        <w:autoSpaceDE/>
        <w:autoSpaceDN/>
        <w:bidi w:val="0"/>
        <w:adjustRightInd/>
        <w:snapToGrid/>
        <w:spacing w:before="157" w:beforeLines="50" w:after="157" w:afterLines="50"/>
        <w:textAlignment w:val="auto"/>
        <w:rPr>
          <w:rFonts w:hint="eastAsia" w:ascii="黑体" w:hAnsi="黑体" w:eastAsia="黑体" w:cs="黑体"/>
          <w:sz w:val="21"/>
          <w:lang w:val="en-US" w:eastAsia="en-US" w:bidi="ar-SA"/>
        </w:rPr>
      </w:pPr>
      <w:r>
        <w:rPr>
          <w:rFonts w:hint="eastAsia" w:ascii="黑体" w:hAnsi="黑体" w:eastAsia="黑体" w:cs="黑体"/>
          <w:sz w:val="21"/>
          <w:lang w:val="en-US" w:eastAsia="en-US" w:bidi="ar-SA"/>
        </w:rPr>
        <w:t>随访期远期疗效评价</w:t>
      </w:r>
    </w:p>
    <w:p w14:paraId="66D31222">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kern w:val="0"/>
          <w:sz w:val="21"/>
          <w:szCs w:val="21"/>
        </w:rPr>
      </w:pPr>
      <w:r>
        <w:rPr>
          <w:rFonts w:hint="eastAsia" w:ascii="宋体" w:hAnsi="宋体" w:eastAsia="宋体" w:cs="宋体"/>
          <w:color w:val="000000"/>
          <w:spacing w:val="8"/>
          <w:kern w:val="0"/>
          <w:sz w:val="21"/>
          <w:szCs w:val="21"/>
          <w:lang w:val="en-US" w:eastAsia="en-US"/>
        </w:rPr>
        <w:t>随访期3个月时，进行远期疗效评价，测量Cobb角、评估进展情况与生活质量，总结远期疗效，形成《青少年脊柱侧弯预防与临床干预疗效评价报告》。</w:t>
      </w:r>
    </w:p>
    <w:p w14:paraId="160AB292">
      <w:pPr>
        <w:pStyle w:val="70"/>
        <w:spacing w:before="120" w:after="120"/>
        <w:rPr>
          <w:rFonts w:hint="eastAsia"/>
          <w:lang w:val="en-US" w:eastAsia="en-US"/>
        </w:rPr>
      </w:pPr>
      <w:bookmarkStart w:id="81" w:name="_Toc208503245"/>
      <w:bookmarkStart w:id="82" w:name="_Toc3721"/>
      <w:bookmarkStart w:id="83" w:name="_Toc219835488"/>
      <w:r>
        <w:rPr>
          <w:rFonts w:hint="eastAsia"/>
          <w:lang w:val="en-US" w:eastAsia="en-US"/>
        </w:rPr>
        <w:t>疗效评价记录与存档</w:t>
      </w:r>
      <w:bookmarkEnd w:id="81"/>
      <w:bookmarkEnd w:id="82"/>
      <w:bookmarkEnd w:id="83"/>
    </w:p>
    <w:p w14:paraId="55EE6E85">
      <w:pPr>
        <w:pStyle w:val="71"/>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黑体" w:hAnsi="黑体" w:eastAsia="黑体" w:cs="黑体"/>
          <w:lang w:val="en-US" w:eastAsia="en-US"/>
        </w:rPr>
      </w:pPr>
      <w:bookmarkStart w:id="84" w:name="_Toc29309"/>
      <w:r>
        <w:rPr>
          <w:rFonts w:hint="eastAsia" w:ascii="黑体" w:hAnsi="黑体" w:eastAsia="黑体" w:cs="黑体"/>
          <w:lang w:val="en-US" w:eastAsia="en-US"/>
        </w:rPr>
        <w:t>疗效评价记录</w:t>
      </w:r>
      <w:bookmarkEnd w:id="84"/>
    </w:p>
    <w:p w14:paraId="664B547F">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eastAsia="en-US"/>
        </w:rPr>
      </w:pPr>
      <w:r>
        <w:rPr>
          <w:rFonts w:hint="eastAsia" w:ascii="宋体" w:hAnsi="宋体" w:eastAsia="宋体" w:cs="宋体"/>
          <w:color w:val="000000"/>
          <w:spacing w:val="8"/>
          <w:kern w:val="0"/>
          <w:sz w:val="21"/>
          <w:szCs w:val="21"/>
          <w:lang w:eastAsia="en-US"/>
        </w:rPr>
        <w:t>所有疗效评价数据需记录在《青少年脊柱侧弯预防与临床干预疗效评价记录表》中，包括测量时间、数据、评价人员签字，数据无涂改，字迹清晰。</w:t>
      </w:r>
    </w:p>
    <w:p w14:paraId="7785E1DA">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eastAsia="en-US"/>
        </w:rPr>
      </w:pPr>
      <w:r>
        <w:rPr>
          <w:rFonts w:hint="eastAsia" w:ascii="宋体" w:hAnsi="宋体" w:eastAsia="宋体" w:cs="宋体"/>
          <w:color w:val="000000"/>
          <w:spacing w:val="8"/>
          <w:kern w:val="0"/>
          <w:sz w:val="21"/>
          <w:szCs w:val="21"/>
          <w:lang w:eastAsia="en-US"/>
        </w:rPr>
        <w:t>疗效评价记录应包括但不限于：</w:t>
      </w:r>
    </w:p>
    <w:p w14:paraId="7B9D83E1">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eastAsia="en-US"/>
        </w:rPr>
      </w:pPr>
      <w:r>
        <w:rPr>
          <w:rFonts w:hint="eastAsia" w:ascii="宋体" w:hAnsi="宋体" w:eastAsia="宋体" w:cs="宋体"/>
          <w:color w:val="000000"/>
          <w:spacing w:val="8"/>
          <w:kern w:val="0"/>
          <w:sz w:val="21"/>
          <w:szCs w:val="21"/>
          <w:lang w:eastAsia="en-US"/>
        </w:rPr>
        <w:t>患者基本信息；</w:t>
      </w:r>
    </w:p>
    <w:p w14:paraId="3EB24C85">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eastAsia="en-US"/>
        </w:rPr>
      </w:pPr>
      <w:r>
        <w:rPr>
          <w:rFonts w:hint="eastAsia" w:ascii="宋体" w:hAnsi="宋体" w:eastAsia="宋体" w:cs="宋体"/>
          <w:color w:val="000000"/>
          <w:spacing w:val="8"/>
          <w:kern w:val="0"/>
          <w:sz w:val="21"/>
          <w:szCs w:val="21"/>
          <w:lang w:eastAsia="en-US"/>
        </w:rPr>
        <w:t>诊断依据及分型情况；</w:t>
      </w:r>
    </w:p>
    <w:p w14:paraId="093BA184">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eastAsia="en-US"/>
        </w:rPr>
      </w:pPr>
      <w:r>
        <w:rPr>
          <w:rFonts w:hint="eastAsia" w:ascii="宋体" w:hAnsi="宋体" w:eastAsia="宋体" w:cs="宋体"/>
          <w:color w:val="000000"/>
          <w:spacing w:val="8"/>
          <w:kern w:val="0"/>
          <w:sz w:val="21"/>
          <w:szCs w:val="21"/>
          <w:lang w:eastAsia="en-US"/>
        </w:rPr>
        <w:t>治疗方案与疗程安排；</w:t>
      </w:r>
    </w:p>
    <w:p w14:paraId="245A1CFF">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eastAsia="en-US"/>
        </w:rPr>
      </w:pPr>
      <w:r>
        <w:rPr>
          <w:rFonts w:hint="eastAsia" w:ascii="宋体" w:hAnsi="宋体" w:eastAsia="宋体" w:cs="宋体"/>
          <w:color w:val="000000"/>
          <w:spacing w:val="8"/>
          <w:kern w:val="0"/>
          <w:sz w:val="21"/>
          <w:szCs w:val="21"/>
          <w:lang w:eastAsia="en-US"/>
        </w:rPr>
        <w:t>治疗前、治疗后及随访阶段的评价指标数据；</w:t>
      </w:r>
    </w:p>
    <w:p w14:paraId="3885C4EB">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eastAsia="en-US"/>
        </w:rPr>
      </w:pPr>
      <w:r>
        <w:rPr>
          <w:rFonts w:hint="eastAsia" w:ascii="宋体" w:hAnsi="宋体" w:eastAsia="宋体" w:cs="宋体"/>
          <w:color w:val="000000"/>
          <w:spacing w:val="8"/>
          <w:kern w:val="0"/>
          <w:sz w:val="21"/>
          <w:szCs w:val="21"/>
          <w:lang w:eastAsia="en-US"/>
        </w:rPr>
        <w:t>治疗过程中出现的不良反应及处理情况。</w:t>
      </w:r>
    </w:p>
    <w:p w14:paraId="7250A544">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eastAsia="en-US"/>
        </w:rPr>
      </w:pPr>
      <w:r>
        <w:rPr>
          <w:rFonts w:hint="eastAsia" w:ascii="宋体" w:hAnsi="宋体" w:eastAsia="宋体" w:cs="宋体"/>
          <w:color w:val="000000"/>
          <w:spacing w:val="8"/>
          <w:kern w:val="0"/>
          <w:sz w:val="21"/>
          <w:szCs w:val="21"/>
          <w:lang w:eastAsia="en-US"/>
        </w:rPr>
        <w:t>疗效评价记录应真实、完整、准确，字迹清晰，不得随意涂改；电子病历应具备可追溯性。</w:t>
      </w:r>
    </w:p>
    <w:p w14:paraId="3307BD96">
      <w:pPr>
        <w:pStyle w:val="71"/>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黑体" w:hAnsi="黑体" w:eastAsia="黑体" w:cs="黑体"/>
          <w:lang w:val="en-US" w:eastAsia="en-US"/>
        </w:rPr>
      </w:pPr>
      <w:r>
        <w:rPr>
          <w:rFonts w:hint="eastAsia" w:ascii="黑体" w:hAnsi="黑体" w:eastAsia="黑体" w:cs="黑体"/>
          <w:lang w:val="en-US" w:eastAsia="en-US"/>
        </w:rPr>
        <w:t>记录要求</w:t>
      </w:r>
    </w:p>
    <w:p w14:paraId="3EA64369">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eastAsia="en-US"/>
        </w:rPr>
      </w:pPr>
      <w:r>
        <w:rPr>
          <w:rFonts w:hint="eastAsia" w:ascii="宋体" w:hAnsi="宋体" w:eastAsia="宋体" w:cs="宋体"/>
          <w:color w:val="000000"/>
          <w:spacing w:val="8"/>
          <w:kern w:val="0"/>
          <w:sz w:val="21"/>
          <w:szCs w:val="21"/>
          <w:lang w:eastAsia="en-US"/>
        </w:rPr>
        <w:t>疗效评价记录应真实、完整、准确，字迹清晰，不得随意涂改；电子病历应具备可追溯性。</w:t>
      </w:r>
    </w:p>
    <w:p w14:paraId="021D40C6">
      <w:pPr>
        <w:pStyle w:val="71"/>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黑体" w:hAnsi="黑体" w:eastAsia="黑体" w:cs="黑体"/>
          <w:lang w:val="en-US" w:eastAsia="en-US"/>
        </w:rPr>
      </w:pPr>
      <w:r>
        <w:rPr>
          <w:rFonts w:hint="eastAsia" w:ascii="黑体" w:hAnsi="黑体" w:eastAsia="黑体" w:cs="黑体"/>
          <w:lang w:val="en-US" w:eastAsia="en-US"/>
        </w:rPr>
        <w:t>存档要求：</w:t>
      </w:r>
    </w:p>
    <w:p w14:paraId="763D0C9E">
      <w:pPr>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firstLine="452" w:firstLineChars="200"/>
        <w:jc w:val="both"/>
        <w:textAlignment w:val="auto"/>
        <w:rPr>
          <w:rFonts w:hint="eastAsia" w:ascii="宋体" w:hAnsi="宋体" w:eastAsia="宋体" w:cs="宋体"/>
          <w:color w:val="000000"/>
          <w:spacing w:val="8"/>
          <w:kern w:val="0"/>
          <w:sz w:val="21"/>
          <w:szCs w:val="21"/>
          <w:lang w:eastAsia="en-US"/>
        </w:rPr>
      </w:pPr>
      <w:bookmarkStart w:id="85" w:name="_Toc30384"/>
      <w:r>
        <w:rPr>
          <w:rFonts w:hint="eastAsia" w:ascii="宋体" w:hAnsi="宋体" w:eastAsia="宋体" w:cs="宋体"/>
          <w:color w:val="000000"/>
          <w:spacing w:val="8"/>
          <w:kern w:val="0"/>
          <w:sz w:val="21"/>
          <w:szCs w:val="21"/>
          <w:lang w:eastAsia="en-US"/>
        </w:rPr>
        <w:t>疗效评价相关资料应按照医疗机构档案管理制度统一保存，保存期限不少于 5 年；涉及科研或质量控制用途的资料，应在患者知情同意的前提下规范使用。</w:t>
      </w:r>
      <w:bookmarkEnd w:id="85"/>
    </w:p>
    <w:p w14:paraId="0E7B9155">
      <w:pPr>
        <w:pStyle w:val="73"/>
        <w:numPr>
          <w:ilvl w:val="0"/>
          <w:numId w:val="0"/>
        </w:numPr>
        <w:jc w:val="center"/>
      </w:pPr>
      <w:bookmarkStart w:id="86" w:name="BookMark8"/>
      <w:r>
        <w:rPr>
          <w:rFonts w:hint="eastAsia"/>
        </w:rPr>
        <w:drawing>
          <wp:inline distT="0" distB="0" distL="0" distR="0">
            <wp:extent cx="1485900" cy="317500"/>
            <wp:effectExtent l="0" t="0" r="0" b="6350"/>
            <wp:docPr id="2136274261" name="图片 3"/>
            <wp:cNvGraphicFramePr/>
            <a:graphic xmlns:a="http://schemas.openxmlformats.org/drawingml/2006/main">
              <a:graphicData uri="http://schemas.openxmlformats.org/drawingml/2006/picture">
                <pic:pic xmlns:pic="http://schemas.openxmlformats.org/drawingml/2006/picture">
                  <pic:nvPicPr>
                    <pic:cNvPr id="2136274261" name="图片 3"/>
                    <pic:cNvPicPr/>
                  </pic:nvPicPr>
                  <pic:blipFill>
                    <a:blip r:embed="rId6">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86"/>
    </w:p>
    <w:p w14:paraId="07912B7E">
      <w:pPr>
        <w:pageBreakBefore w:val="0"/>
        <w:widowControl/>
        <w:kinsoku w:val="0"/>
        <w:wordWrap/>
        <w:overflowPunct/>
        <w:topLinePunct w:val="0"/>
        <w:autoSpaceDE w:val="0"/>
        <w:autoSpaceDN w:val="0"/>
        <w:bidi w:val="0"/>
        <w:adjustRightInd w:val="0"/>
        <w:snapToGrid w:val="0"/>
        <w:spacing w:beforeAutospacing="0" w:afterAutospacing="0" w:line="240" w:lineRule="auto"/>
        <w:ind w:left="0" w:right="0" w:firstLine="432" w:firstLineChars="200"/>
        <w:jc w:val="both"/>
        <w:textAlignment w:val="auto"/>
        <w:rPr>
          <w:rFonts w:hint="eastAsia" w:ascii="宋体" w:hAnsi="宋体" w:eastAsia="宋体" w:cs="宋体"/>
          <w:color w:val="000000"/>
          <w:spacing w:val="8"/>
          <w:kern w:val="0"/>
          <w:sz w:val="20"/>
          <w:szCs w:val="20"/>
          <w:lang w:eastAsia="en-US"/>
        </w:rPr>
      </w:pPr>
    </w:p>
    <w:sectPr>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MS Gothic">
    <w:panose1 w:val="020B0609070205080204"/>
    <w:charset w:val="80"/>
    <w:family w:val="modern"/>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B8FF7">
    <w:pPr>
      <w:pStyle w:val="14"/>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53BF30">
                          <w:pPr>
                            <w:pStyle w:val="1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6953BF30">
                    <w:pPr>
                      <w:pStyle w:val="1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F3C6EC">
    <w:pPr>
      <w:pStyle w:val="15"/>
      <w:jc w:val="right"/>
    </w:pPr>
    <w:r>
      <w:rPr>
        <w:rFonts w:ascii="黑体" w:eastAsia="黑体"/>
        <w:sz w:val="21"/>
        <w:szCs w:val="21"/>
        <w:lang w:val="en-US" w:eastAsia="zh-CN" w:bidi="ar-SA"/>
      </w:rPr>
      <w:t>DB</w:t>
    </w:r>
    <w:r>
      <w:rPr>
        <w:rFonts w:hint="eastAsia" w:ascii="黑体" w:eastAsia="黑体"/>
        <w:sz w:val="21"/>
        <w:szCs w:val="21"/>
        <w:lang w:val="en-US" w:eastAsia="zh-CN" w:bidi="ar-SA"/>
      </w:rPr>
      <w:t>34</w:t>
    </w:r>
    <w:r>
      <w:rPr>
        <w:rFonts w:ascii="黑体" w:eastAsia="黑体"/>
        <w:sz w:val="21"/>
        <w:szCs w:val="21"/>
        <w:lang w:val="en-US" w:eastAsia="zh-CN" w:bidi="ar-SA"/>
      </w:rPr>
      <w:t>/ XXXXX—XXXX</w:t>
    </w: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F61542">
                          <w:pPr>
                            <w:pStyle w:val="15"/>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32F61542">
                    <w:pPr>
                      <w:pStyle w:val="15"/>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671D37"/>
    <w:multiLevelType w:val="multilevel"/>
    <w:tmpl w:val="85671D37"/>
    <w:lvl w:ilvl="0" w:tentative="0">
      <w:start w:val="1"/>
      <w:numFmt w:val="lowerLetter"/>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
    <w:nsid w:val="99C26E16"/>
    <w:multiLevelType w:val="multilevel"/>
    <w:tmpl w:val="99C26E16"/>
    <w:lvl w:ilvl="0" w:tentative="0">
      <w:start w:val="1"/>
      <w:numFmt w:val="lowerLetter"/>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
    <w:nsid w:val="A7039397"/>
    <w:multiLevelType w:val="multilevel"/>
    <w:tmpl w:val="A7039397"/>
    <w:lvl w:ilvl="0" w:tentative="0">
      <w:start w:val="1"/>
      <w:numFmt w:val="lowerLetter"/>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
    <w:nsid w:val="AB3982C0"/>
    <w:multiLevelType w:val="multilevel"/>
    <w:tmpl w:val="AB3982C0"/>
    <w:lvl w:ilvl="0" w:tentative="0">
      <w:start w:val="1"/>
      <w:numFmt w:val="lowerLetter"/>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4">
    <w:nsid w:val="B0E3A520"/>
    <w:multiLevelType w:val="multilevel"/>
    <w:tmpl w:val="B0E3A520"/>
    <w:lvl w:ilvl="0" w:tentative="0">
      <w:start w:val="1"/>
      <w:numFmt w:val="lowerLetter"/>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5">
    <w:nsid w:val="C8879AEF"/>
    <w:multiLevelType w:val="multilevel"/>
    <w:tmpl w:val="C8879AEF"/>
    <w:lvl w:ilvl="0" w:tentative="0">
      <w:start w:val="1"/>
      <w:numFmt w:val="lowerLetter"/>
      <w:pStyle w:val="64"/>
      <w:lvlText w:val="%1)"/>
      <w:lvlJc w:val="left"/>
      <w:pPr>
        <w:tabs>
          <w:tab w:val="left" w:pos="851"/>
        </w:tabs>
        <w:ind w:left="851" w:hanging="426"/>
      </w:pPr>
      <w:rPr>
        <w:rFonts w:ascii="宋体" w:hAnsi="宋体" w:eastAsia="宋体"/>
        <w:sz w:val="21"/>
      </w:rPr>
    </w:lvl>
    <w:lvl w:ilvl="1" w:tentative="0">
      <w:start w:val="1"/>
      <w:numFmt w:val="decimal"/>
      <w:lvlText w:val="%2)"/>
      <w:lvlJc w:val="left"/>
      <w:pPr>
        <w:tabs>
          <w:tab w:val="left" w:pos="1276"/>
        </w:tabs>
        <w:ind w:left="1276" w:hanging="425"/>
      </w:pPr>
      <w:rPr>
        <w:rFonts w:ascii="宋体" w:hAnsi="宋体" w:eastAsia="宋体"/>
        <w:sz w:val="21"/>
      </w:rPr>
    </w:lvl>
    <w:lvl w:ilvl="2" w:tentative="0">
      <w:start w:val="1"/>
      <w:numFmt w:val="decimal"/>
      <w:lvlText w:val="(%3)"/>
      <w:lvlJc w:val="left"/>
      <w:pPr>
        <w:tabs>
          <w:tab w:val="left" w:pos="0"/>
        </w:tabs>
        <w:ind w:left="1701" w:hanging="425"/>
      </w:pPr>
      <w:rPr>
        <w:rFonts w:ascii="宋体" w:hAnsi="宋体" w:eastAsia="宋体"/>
        <w:sz w:val="21"/>
      </w:rPr>
    </w:lvl>
    <w:lvl w:ilvl="3" w:tentative="0">
      <w:start w:val="1"/>
      <w:numFmt w:val="decimal"/>
      <w:lvlText w:val="%4."/>
      <w:lvlJc w:val="left"/>
      <w:pPr>
        <w:tabs>
          <w:tab w:val="left" w:pos="2100"/>
        </w:tabs>
        <w:ind w:left="2099" w:hanging="419"/>
      </w:pPr>
    </w:lvl>
    <w:lvl w:ilvl="4" w:tentative="0">
      <w:start w:val="1"/>
      <w:numFmt w:val="lowerLetter"/>
      <w:lvlText w:val="%5)"/>
      <w:lvlJc w:val="left"/>
      <w:pPr>
        <w:tabs>
          <w:tab w:val="left" w:pos="2520"/>
        </w:tabs>
        <w:ind w:left="2519" w:hanging="419"/>
      </w:pPr>
    </w:lvl>
    <w:lvl w:ilvl="5" w:tentative="0">
      <w:start w:val="1"/>
      <w:numFmt w:val="lowerRoman"/>
      <w:lvlText w:val="%6."/>
      <w:lvlJc w:val="right"/>
      <w:pPr>
        <w:tabs>
          <w:tab w:val="left" w:pos="2940"/>
        </w:tabs>
        <w:ind w:left="2939" w:hanging="419"/>
      </w:pPr>
    </w:lvl>
    <w:lvl w:ilvl="6" w:tentative="0">
      <w:start w:val="1"/>
      <w:numFmt w:val="decimal"/>
      <w:lvlText w:val="%7."/>
      <w:lvlJc w:val="left"/>
      <w:pPr>
        <w:tabs>
          <w:tab w:val="left" w:pos="3360"/>
        </w:tabs>
        <w:ind w:left="3359" w:hanging="419"/>
      </w:pPr>
    </w:lvl>
    <w:lvl w:ilvl="7" w:tentative="0">
      <w:start w:val="1"/>
      <w:numFmt w:val="lowerLetter"/>
      <w:lvlText w:val="%8)"/>
      <w:lvlJc w:val="left"/>
      <w:pPr>
        <w:tabs>
          <w:tab w:val="left" w:pos="3780"/>
        </w:tabs>
        <w:ind w:left="3779" w:hanging="419"/>
      </w:pPr>
    </w:lvl>
    <w:lvl w:ilvl="8" w:tentative="0">
      <w:start w:val="1"/>
      <w:numFmt w:val="lowerRoman"/>
      <w:lvlText w:val="%9."/>
      <w:lvlJc w:val="right"/>
      <w:pPr>
        <w:tabs>
          <w:tab w:val="left" w:pos="4200"/>
        </w:tabs>
        <w:ind w:left="4199" w:hanging="419"/>
      </w:pPr>
    </w:lvl>
  </w:abstractNum>
  <w:abstractNum w:abstractNumId="6">
    <w:nsid w:val="CEF6350A"/>
    <w:multiLevelType w:val="multilevel"/>
    <w:tmpl w:val="CEF6350A"/>
    <w:lvl w:ilvl="0" w:tentative="0">
      <w:start w:val="1"/>
      <w:numFmt w:val="lowerLetter"/>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7">
    <w:nsid w:val="F9B298C9"/>
    <w:multiLevelType w:val="multilevel"/>
    <w:tmpl w:val="F9B298C9"/>
    <w:lvl w:ilvl="0" w:tentative="0">
      <w:start w:val="1"/>
      <w:numFmt w:val="lowerLetter"/>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8">
    <w:nsid w:val="2842B909"/>
    <w:multiLevelType w:val="multilevel"/>
    <w:tmpl w:val="2842B909"/>
    <w:lvl w:ilvl="0" w:tentative="0">
      <w:start w:val="1"/>
      <w:numFmt w:val="lowerLetter"/>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9">
    <w:nsid w:val="2850449E"/>
    <w:multiLevelType w:val="multilevel"/>
    <w:tmpl w:val="2850449E"/>
    <w:lvl w:ilvl="0" w:tentative="0">
      <w:start w:val="1"/>
      <w:numFmt w:val="lowerLetter"/>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0">
    <w:nsid w:val="2AF5FB58"/>
    <w:multiLevelType w:val="multilevel"/>
    <w:tmpl w:val="2AF5FB58"/>
    <w:lvl w:ilvl="0" w:tentative="0">
      <w:start w:val="1"/>
      <w:numFmt w:val="lowerLetter"/>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1">
    <w:nsid w:val="38E026C2"/>
    <w:multiLevelType w:val="multilevel"/>
    <w:tmpl w:val="38E026C2"/>
    <w:lvl w:ilvl="0" w:tentative="0">
      <w:start w:val="1"/>
      <w:numFmt w:val="lowerLetter"/>
      <w:lvlText w:val="%1)"/>
      <w:lvlJc w:val="left"/>
      <w:pPr>
        <w:ind w:left="440" w:hanging="440"/>
      </w:pPr>
    </w:lvl>
    <w:lvl w:ilvl="1" w:tentative="0">
      <w:start w:val="1"/>
      <w:numFmt w:val="lowerLetter"/>
      <w:lvlText w:val="%2)"/>
      <w:lvlJc w:val="left"/>
      <w:pPr>
        <w:ind w:left="44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2">
    <w:nsid w:val="3DB5F79F"/>
    <w:multiLevelType w:val="multilevel"/>
    <w:tmpl w:val="3DB5F79F"/>
    <w:lvl w:ilvl="0" w:tentative="0">
      <w:start w:val="1"/>
      <w:numFmt w:val="lowerLetter"/>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3">
    <w:nsid w:val="5AAB189D"/>
    <w:multiLevelType w:val="multilevel"/>
    <w:tmpl w:val="5AAB189D"/>
    <w:lvl w:ilvl="0" w:tentative="0">
      <w:start w:val="1"/>
      <w:numFmt w:val="lowerLetter"/>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4">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pStyle w:val="67"/>
      <w:suff w:val="nothing"/>
      <w:lvlText w:val="%1%2　"/>
      <w:lvlJc w:val="left"/>
      <w:pPr>
        <w:ind w:left="0" w:firstLine="0"/>
      </w:pPr>
      <w:rPr>
        <w:rFonts w:hint="eastAsia" w:ascii="黑体" w:eastAsia="黑体"/>
        <w:b w:val="0"/>
        <w:i w:val="0"/>
        <w:sz w:val="21"/>
      </w:rPr>
    </w:lvl>
    <w:lvl w:ilvl="2" w:tentative="0">
      <w:start w:val="1"/>
      <w:numFmt w:val="decimal"/>
      <w:pStyle w:val="70"/>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3" w:tentative="0">
      <w:start w:val="1"/>
      <w:numFmt w:val="decimal"/>
      <w:pStyle w:val="72"/>
      <w:suff w:val="nothing"/>
      <w:lvlText w:val="%1%2.%3.%4　"/>
      <w:lvlJc w:val="left"/>
      <w:pPr>
        <w:ind w:left="0" w:firstLine="0"/>
      </w:pPr>
      <w:rPr>
        <w:rFonts w:hint="eastAsia" w:ascii="黑体" w:eastAsia="黑体"/>
        <w:b w:val="0"/>
        <w:i w:val="0"/>
        <w:sz w:val="21"/>
      </w:rPr>
    </w:lvl>
    <w:lvl w:ilvl="4" w:tentative="0">
      <w:start w:val="1"/>
      <w:numFmt w:val="decimal"/>
      <w:pStyle w:val="74"/>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5">
    <w:nsid w:val="732134AF"/>
    <w:multiLevelType w:val="multilevel"/>
    <w:tmpl w:val="732134AF"/>
    <w:lvl w:ilvl="0" w:tentative="0">
      <w:start w:val="1"/>
      <w:numFmt w:val="lowerLetter"/>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6">
    <w:nsid w:val="7D94EFB4"/>
    <w:multiLevelType w:val="multilevel"/>
    <w:tmpl w:val="7D94EFB4"/>
    <w:lvl w:ilvl="0" w:tentative="0">
      <w:start w:val="1"/>
      <w:numFmt w:val="lowerLetter"/>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5"/>
  </w:num>
  <w:num w:numId="2">
    <w:abstractNumId w:val="14"/>
  </w:num>
  <w:num w:numId="3">
    <w:abstractNumId w:val="2"/>
  </w:num>
  <w:num w:numId="4">
    <w:abstractNumId w:val="0"/>
  </w:num>
  <w:num w:numId="5">
    <w:abstractNumId w:val="8"/>
  </w:num>
  <w:num w:numId="6">
    <w:abstractNumId w:val="15"/>
  </w:num>
  <w:num w:numId="7">
    <w:abstractNumId w:val="4"/>
  </w:num>
  <w:num w:numId="8">
    <w:abstractNumId w:val="9"/>
  </w:num>
  <w:num w:numId="9">
    <w:abstractNumId w:val="12"/>
  </w:num>
  <w:num w:numId="10">
    <w:abstractNumId w:val="3"/>
  </w:num>
  <w:num w:numId="11">
    <w:abstractNumId w:val="7"/>
  </w:num>
  <w:num w:numId="12">
    <w:abstractNumId w:val="13"/>
  </w:num>
  <w:num w:numId="13">
    <w:abstractNumId w:val="1"/>
  </w:num>
  <w:num w:numId="14">
    <w:abstractNumId w:val="6"/>
  </w:num>
  <w:num w:numId="15">
    <w:abstractNumId w:val="16"/>
  </w:num>
  <w:num w:numId="16">
    <w:abstractNumId w:val="10"/>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43F3"/>
    <w:rsid w:val="00013536"/>
    <w:rsid w:val="00020C87"/>
    <w:rsid w:val="000640D1"/>
    <w:rsid w:val="0006613A"/>
    <w:rsid w:val="00080011"/>
    <w:rsid w:val="000E7B95"/>
    <w:rsid w:val="00121326"/>
    <w:rsid w:val="00165E95"/>
    <w:rsid w:val="002044F7"/>
    <w:rsid w:val="00280F9B"/>
    <w:rsid w:val="00304F08"/>
    <w:rsid w:val="00315382"/>
    <w:rsid w:val="00322CC4"/>
    <w:rsid w:val="00333741"/>
    <w:rsid w:val="00353194"/>
    <w:rsid w:val="0037651B"/>
    <w:rsid w:val="003B228B"/>
    <w:rsid w:val="0049178C"/>
    <w:rsid w:val="005020EE"/>
    <w:rsid w:val="00513DBF"/>
    <w:rsid w:val="0065313D"/>
    <w:rsid w:val="006A612D"/>
    <w:rsid w:val="006C5F6B"/>
    <w:rsid w:val="006E2EF5"/>
    <w:rsid w:val="00751C8D"/>
    <w:rsid w:val="007636FC"/>
    <w:rsid w:val="00871A7C"/>
    <w:rsid w:val="008C4182"/>
    <w:rsid w:val="008D09C1"/>
    <w:rsid w:val="008E43F3"/>
    <w:rsid w:val="009B6F5B"/>
    <w:rsid w:val="009D34F5"/>
    <w:rsid w:val="009E0B30"/>
    <w:rsid w:val="00A51871"/>
    <w:rsid w:val="00AA2A66"/>
    <w:rsid w:val="00AC3EF8"/>
    <w:rsid w:val="00AC5410"/>
    <w:rsid w:val="00AC64DA"/>
    <w:rsid w:val="00AD39B0"/>
    <w:rsid w:val="00B0394F"/>
    <w:rsid w:val="00B547C8"/>
    <w:rsid w:val="00B93BDB"/>
    <w:rsid w:val="00B95673"/>
    <w:rsid w:val="00C0151F"/>
    <w:rsid w:val="00CA009D"/>
    <w:rsid w:val="00D07B5E"/>
    <w:rsid w:val="00D14423"/>
    <w:rsid w:val="00D1633F"/>
    <w:rsid w:val="00D4217E"/>
    <w:rsid w:val="00D6238B"/>
    <w:rsid w:val="00D656EF"/>
    <w:rsid w:val="00DB2F42"/>
    <w:rsid w:val="00DE3D5C"/>
    <w:rsid w:val="00DF2265"/>
    <w:rsid w:val="00EB160D"/>
    <w:rsid w:val="00ED4B8A"/>
    <w:rsid w:val="00F23856"/>
    <w:rsid w:val="00F5036B"/>
    <w:rsid w:val="00F534F0"/>
    <w:rsid w:val="00F73BBE"/>
    <w:rsid w:val="00F86B21"/>
    <w:rsid w:val="01AB349A"/>
    <w:rsid w:val="0FC76D3C"/>
    <w:rsid w:val="19CF1628"/>
    <w:rsid w:val="1D132B78"/>
    <w:rsid w:val="1FEC76E7"/>
    <w:rsid w:val="20795D62"/>
    <w:rsid w:val="21211581"/>
    <w:rsid w:val="265A320F"/>
    <w:rsid w:val="2E583D16"/>
    <w:rsid w:val="30E134B6"/>
    <w:rsid w:val="3C8632EE"/>
    <w:rsid w:val="40DF4E58"/>
    <w:rsid w:val="43E90501"/>
    <w:rsid w:val="45322F35"/>
    <w:rsid w:val="4B0E6D6C"/>
    <w:rsid w:val="51752AAA"/>
    <w:rsid w:val="56ED6489"/>
    <w:rsid w:val="5C6357B4"/>
    <w:rsid w:val="644B2A25"/>
    <w:rsid w:val="64B117B3"/>
    <w:rsid w:val="69CC5244"/>
    <w:rsid w:val="6BC41D24"/>
    <w:rsid w:val="6E1E6CF3"/>
    <w:rsid w:val="71B232C9"/>
    <w:rsid w:val="726B0C4A"/>
    <w:rsid w:val="781D01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99" w:name="toc 4"/>
    <w:lsdException w:uiPriority="99" w:name="toc 5"/>
    <w:lsdException w:uiPriority="99" w:name="toc 6"/>
    <w:lsdException w:uiPriority="99" w:name="toc 7"/>
    <w:lsdException w:uiPriority="99" w:name="toc 8"/>
    <w:lsdException w:uiPriority="9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unhideWhenUsed="0" w:uiPriority="99" w:semiHidden="0" w:name="Strong"/>
    <w:lsdException w:unhideWhenUsed="0" w:uiPriority="99"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4"/>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5"/>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6"/>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7"/>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8"/>
    <w:semiHidden/>
    <w:unhideWhenUsed/>
    <w:qFormat/>
    <w:uiPriority w:val="9"/>
    <w:pPr>
      <w:keepNext/>
      <w:keepLines/>
      <w:spacing w:before="80" w:after="40"/>
      <w:outlineLvl w:val="4"/>
    </w:pPr>
    <w:rPr>
      <w:rFonts w:cstheme="majorBidi"/>
      <w:color w:val="2F5597" w:themeColor="accent1" w:themeShade="BF"/>
      <w:sz w:val="24"/>
      <w:szCs w:val="24"/>
    </w:rPr>
  </w:style>
  <w:style w:type="paragraph" w:styleId="7">
    <w:name w:val="heading 6"/>
    <w:basedOn w:val="1"/>
    <w:next w:val="1"/>
    <w:link w:val="29"/>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30"/>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1"/>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2"/>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11">
    <w:name w:val="Body Text"/>
    <w:basedOn w:val="1"/>
    <w:semiHidden/>
    <w:qFormat/>
    <w:uiPriority w:val="0"/>
    <w:rPr>
      <w:rFonts w:ascii="黑体" w:hAnsi="黑体" w:eastAsia="黑体" w:cs="黑体"/>
      <w:sz w:val="28"/>
      <w:szCs w:val="28"/>
      <w:lang w:val="en-US" w:eastAsia="en-US" w:bidi="ar-SA"/>
    </w:rPr>
  </w:style>
  <w:style w:type="paragraph" w:styleId="12">
    <w:name w:val="toc 3"/>
    <w:basedOn w:val="1"/>
    <w:next w:val="1"/>
    <w:unhideWhenUsed/>
    <w:qFormat/>
    <w:uiPriority w:val="39"/>
    <w:pPr>
      <w:ind w:left="840" w:leftChars="400"/>
    </w:pPr>
  </w:style>
  <w:style w:type="paragraph" w:styleId="13">
    <w:name w:val="Date"/>
    <w:basedOn w:val="1"/>
    <w:next w:val="1"/>
    <w:link w:val="45"/>
    <w:semiHidden/>
    <w:unhideWhenUsed/>
    <w:qFormat/>
    <w:uiPriority w:val="99"/>
    <w:pPr>
      <w:ind w:left="100" w:leftChars="2500"/>
    </w:pPr>
  </w:style>
  <w:style w:type="paragraph" w:styleId="14">
    <w:name w:val="footer"/>
    <w:basedOn w:val="1"/>
    <w:link w:val="43"/>
    <w:unhideWhenUsed/>
    <w:qFormat/>
    <w:uiPriority w:val="99"/>
    <w:pPr>
      <w:tabs>
        <w:tab w:val="center" w:pos="4153"/>
        <w:tab w:val="right" w:pos="8306"/>
      </w:tabs>
      <w:snapToGrid w:val="0"/>
      <w:jc w:val="left"/>
    </w:pPr>
    <w:rPr>
      <w:sz w:val="18"/>
      <w:szCs w:val="18"/>
    </w:rPr>
  </w:style>
  <w:style w:type="paragraph" w:styleId="15">
    <w:name w:val="header"/>
    <w:basedOn w:val="1"/>
    <w:link w:val="42"/>
    <w:unhideWhenUsed/>
    <w:qFormat/>
    <w:uiPriority w:val="99"/>
    <w:pPr>
      <w:tabs>
        <w:tab w:val="center" w:pos="4153"/>
        <w:tab w:val="right" w:pos="8306"/>
      </w:tabs>
      <w:snapToGrid w:val="0"/>
      <w:jc w:val="center"/>
    </w:pPr>
    <w:rPr>
      <w:sz w:val="18"/>
      <w:szCs w:val="18"/>
    </w:rPr>
  </w:style>
  <w:style w:type="paragraph" w:styleId="16">
    <w:name w:val="toc 1"/>
    <w:basedOn w:val="1"/>
    <w:next w:val="1"/>
    <w:unhideWhenUsed/>
    <w:qFormat/>
    <w:uiPriority w:val="39"/>
  </w:style>
  <w:style w:type="paragraph" w:styleId="17">
    <w:name w:val="Subtitle"/>
    <w:basedOn w:val="1"/>
    <w:link w:val="34"/>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8">
    <w:name w:val="toc 2"/>
    <w:basedOn w:val="1"/>
    <w:next w:val="1"/>
    <w:unhideWhenUsed/>
    <w:qFormat/>
    <w:uiPriority w:val="39"/>
    <w:pPr>
      <w:ind w:left="420" w:leftChars="200"/>
    </w:pPr>
  </w:style>
  <w:style w:type="paragraph" w:styleId="19">
    <w:name w:val="Title"/>
    <w:basedOn w:val="1"/>
    <w:link w:val="33"/>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21">
    <w:name w:val="Table Grid"/>
    <w:basedOn w:val="2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Hyperlink"/>
    <w:basedOn w:val="22"/>
    <w:unhideWhenUsed/>
    <w:qFormat/>
    <w:uiPriority w:val="99"/>
    <w:rPr>
      <w:color w:val="0563C1" w:themeColor="hyperlink"/>
      <w:u w:val="single"/>
      <w14:textFill>
        <w14:solidFill>
          <w14:schemeClr w14:val="hlink"/>
        </w14:solidFill>
      </w14:textFill>
    </w:rPr>
  </w:style>
  <w:style w:type="character" w:customStyle="1" w:styleId="24">
    <w:name w:val="标题 1 字符"/>
    <w:basedOn w:val="22"/>
    <w:link w:val="2"/>
    <w:qFormat/>
    <w:uiPriority w:val="9"/>
    <w:rPr>
      <w:rFonts w:asciiTheme="majorHAnsi" w:hAnsiTheme="majorHAnsi" w:eastAsiaTheme="majorEastAsia" w:cstheme="majorBidi"/>
      <w:color w:val="2F5597" w:themeColor="accent1" w:themeShade="BF"/>
      <w:sz w:val="48"/>
      <w:szCs w:val="48"/>
    </w:rPr>
  </w:style>
  <w:style w:type="character" w:customStyle="1" w:styleId="25">
    <w:name w:val="标题 2 字符"/>
    <w:basedOn w:val="22"/>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6">
    <w:name w:val="标题 3 字符"/>
    <w:basedOn w:val="22"/>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7">
    <w:name w:val="标题 4 字符"/>
    <w:basedOn w:val="22"/>
    <w:link w:val="5"/>
    <w:semiHidden/>
    <w:qFormat/>
    <w:uiPriority w:val="9"/>
    <w:rPr>
      <w:rFonts w:cstheme="majorBidi"/>
      <w:color w:val="2F5597" w:themeColor="accent1" w:themeShade="BF"/>
      <w:sz w:val="28"/>
      <w:szCs w:val="28"/>
    </w:rPr>
  </w:style>
  <w:style w:type="character" w:customStyle="1" w:styleId="28">
    <w:name w:val="标题 5 字符"/>
    <w:basedOn w:val="22"/>
    <w:link w:val="6"/>
    <w:semiHidden/>
    <w:qFormat/>
    <w:uiPriority w:val="9"/>
    <w:rPr>
      <w:rFonts w:cstheme="majorBidi"/>
      <w:color w:val="2F5597" w:themeColor="accent1" w:themeShade="BF"/>
      <w:sz w:val="24"/>
      <w:szCs w:val="24"/>
    </w:rPr>
  </w:style>
  <w:style w:type="character" w:customStyle="1" w:styleId="29">
    <w:name w:val="标题 6 字符"/>
    <w:basedOn w:val="22"/>
    <w:link w:val="7"/>
    <w:semiHidden/>
    <w:qFormat/>
    <w:uiPriority w:val="9"/>
    <w:rPr>
      <w:rFonts w:cstheme="majorBidi"/>
      <w:b/>
      <w:bCs/>
      <w:color w:val="2F5597" w:themeColor="accent1" w:themeShade="BF"/>
    </w:rPr>
  </w:style>
  <w:style w:type="character" w:customStyle="1" w:styleId="30">
    <w:name w:val="标题 7 字符"/>
    <w:basedOn w:val="22"/>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1">
    <w:name w:val="标题 8 字符"/>
    <w:basedOn w:val="22"/>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2">
    <w:name w:val="标题 9 字符"/>
    <w:basedOn w:val="22"/>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3">
    <w:name w:val="标题 字符"/>
    <w:basedOn w:val="22"/>
    <w:link w:val="19"/>
    <w:qFormat/>
    <w:uiPriority w:val="10"/>
    <w:rPr>
      <w:rFonts w:asciiTheme="majorHAnsi" w:hAnsiTheme="majorHAnsi" w:eastAsiaTheme="majorEastAsia" w:cstheme="majorBidi"/>
      <w:spacing w:val="-10"/>
      <w:kern w:val="28"/>
      <w:sz w:val="56"/>
      <w:szCs w:val="56"/>
    </w:rPr>
  </w:style>
  <w:style w:type="character" w:customStyle="1" w:styleId="34">
    <w:name w:val="副标题 字符"/>
    <w:basedOn w:val="22"/>
    <w:link w:val="17"/>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5">
    <w:name w:val="Quote"/>
    <w:basedOn w:val="1"/>
    <w:link w:val="36"/>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6">
    <w:name w:val="引用 字符"/>
    <w:basedOn w:val="22"/>
    <w:link w:val="35"/>
    <w:qFormat/>
    <w:uiPriority w:val="29"/>
    <w:rPr>
      <w:i/>
      <w:iCs/>
      <w:color w:val="404040" w:themeColor="text1" w:themeTint="BF"/>
      <w14:textFill>
        <w14:solidFill>
          <w14:schemeClr w14:val="tx1">
            <w14:lumMod w14:val="75000"/>
            <w14:lumOff w14:val="25000"/>
          </w14:schemeClr>
        </w14:solidFill>
      </w14:textFill>
    </w:rPr>
  </w:style>
  <w:style w:type="paragraph" w:styleId="37">
    <w:name w:val="List Paragraph"/>
    <w:basedOn w:val="1"/>
    <w:qFormat/>
    <w:uiPriority w:val="34"/>
    <w:pPr>
      <w:ind w:left="720"/>
      <w:contextualSpacing/>
    </w:pPr>
  </w:style>
  <w:style w:type="character" w:customStyle="1" w:styleId="38">
    <w:name w:val="Intense Emphasis"/>
    <w:basedOn w:val="22"/>
    <w:qFormat/>
    <w:uiPriority w:val="21"/>
    <w:rPr>
      <w:i/>
      <w:iCs/>
      <w:color w:val="2F5597" w:themeColor="accent1" w:themeShade="BF"/>
    </w:rPr>
  </w:style>
  <w:style w:type="paragraph" w:styleId="39">
    <w:name w:val="Intense Quote"/>
    <w:basedOn w:val="1"/>
    <w:link w:val="40"/>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40">
    <w:name w:val="明显引用 字符"/>
    <w:basedOn w:val="22"/>
    <w:link w:val="39"/>
    <w:qFormat/>
    <w:uiPriority w:val="30"/>
    <w:rPr>
      <w:i/>
      <w:iCs/>
      <w:color w:val="2F5597" w:themeColor="accent1" w:themeShade="BF"/>
    </w:rPr>
  </w:style>
  <w:style w:type="character" w:customStyle="1" w:styleId="41">
    <w:name w:val="Intense Reference"/>
    <w:basedOn w:val="22"/>
    <w:qFormat/>
    <w:uiPriority w:val="32"/>
    <w:rPr>
      <w:b/>
      <w:bCs/>
      <w:color w:val="2F5597" w:themeColor="accent1" w:themeShade="BF"/>
      <w:spacing w:val="5"/>
    </w:rPr>
  </w:style>
  <w:style w:type="character" w:customStyle="1" w:styleId="42">
    <w:name w:val="页眉 字符"/>
    <w:basedOn w:val="22"/>
    <w:link w:val="15"/>
    <w:qFormat/>
    <w:uiPriority w:val="99"/>
    <w:rPr>
      <w:sz w:val="18"/>
      <w:szCs w:val="18"/>
    </w:rPr>
  </w:style>
  <w:style w:type="character" w:customStyle="1" w:styleId="43">
    <w:name w:val="页脚 字符"/>
    <w:basedOn w:val="22"/>
    <w:link w:val="14"/>
    <w:qFormat/>
    <w:uiPriority w:val="99"/>
    <w:rPr>
      <w:sz w:val="18"/>
      <w:szCs w:val="18"/>
    </w:rPr>
  </w:style>
  <w:style w:type="paragraph" w:customStyle="1" w:styleId="44">
    <w:name w:val="TOC Heading"/>
    <w:basedOn w:val="2"/>
    <w:unhideWhenUsed/>
    <w:qFormat/>
    <w:uiPriority w:val="39"/>
    <w:pPr>
      <w:widowControl/>
      <w:spacing w:before="240" w:after="0" w:line="259" w:lineRule="auto"/>
      <w:jc w:val="left"/>
      <w:outlineLvl w:val="9"/>
    </w:pPr>
    <w:rPr>
      <w:kern w:val="0"/>
      <w:sz w:val="32"/>
      <w:szCs w:val="32"/>
    </w:rPr>
  </w:style>
  <w:style w:type="character" w:customStyle="1" w:styleId="45">
    <w:name w:val="日期 字符"/>
    <w:basedOn w:val="22"/>
    <w:link w:val="13"/>
    <w:semiHidden/>
    <w:qFormat/>
    <w:uiPriority w:val="99"/>
  </w:style>
  <w:style w:type="paragraph" w:customStyle="1" w:styleId="46">
    <w:name w:val="文献分类号"/>
    <w:qFormat/>
    <w:uiPriority w:val="0"/>
    <w:pPr>
      <w:framePr w:hSpace="180" w:vSpace="180" w:wrap="around" w:vAnchor="margin" w:hAnchor="margin" w:y="1"/>
      <w:widowControl w:val="0"/>
    </w:pPr>
    <w:rPr>
      <w:rFonts w:ascii="黑体" w:hAnsi="Times New Roman" w:eastAsia="黑体" w:cs="Times New Roman"/>
      <w:sz w:val="21"/>
      <w:szCs w:val="21"/>
      <w:lang w:val="en-US" w:eastAsia="zh-CN" w:bidi="ar-SA"/>
    </w:rPr>
  </w:style>
  <w:style w:type="paragraph" w:customStyle="1" w:styleId="47">
    <w:name w:val="其他标准称谓"/>
    <w:qFormat/>
    <w:uiPriority w:val="0"/>
    <w:pPr>
      <w:framePr w:hSpace="181" w:vSpace="181" w:wrap="around" w:vAnchor="page" w:hAnchor="page" w:x="1419" w:y="2286"/>
      <w:spacing w:line="0" w:lineRule="atLeast"/>
      <w:jc w:val="distribute"/>
    </w:pPr>
    <w:rPr>
      <w:rFonts w:ascii="黑体" w:hAnsi="宋体" w:eastAsia="黑体" w:cs="Times New Roman"/>
      <w:spacing w:val="-40"/>
      <w:sz w:val="48"/>
      <w:szCs w:val="52"/>
      <w:lang w:val="en-US" w:eastAsia="zh-CN" w:bidi="ar-SA"/>
    </w:rPr>
  </w:style>
  <w:style w:type="paragraph" w:customStyle="1" w:styleId="48">
    <w:name w:val="封面标准号2"/>
    <w:qFormat/>
    <w:uiPriority w:val="0"/>
    <w:pPr>
      <w:framePr w:w="9140" w:h="1242" w:hRule="exact" w:hSpace="284" w:wrap="around" w:vAnchor="page" w:hAnchor="page" w:x="1645" w:y="2910"/>
      <w:spacing w:before="357" w:line="280" w:lineRule="exact"/>
      <w:jc w:val="right"/>
    </w:pPr>
    <w:rPr>
      <w:rFonts w:ascii="黑体" w:hAnsi="Times New Roman" w:eastAsia="黑体" w:cs="Times New Roman"/>
      <w:sz w:val="28"/>
      <w:szCs w:val="28"/>
      <w:lang w:val="en-US" w:eastAsia="zh-CN" w:bidi="ar-SA"/>
    </w:rPr>
  </w:style>
  <w:style w:type="paragraph" w:customStyle="1" w:styleId="49">
    <w:name w:val="封面标准代替信息"/>
    <w:qFormat/>
    <w:uiPriority w:val="0"/>
    <w:pPr>
      <w:framePr w:w="9140" w:h="1242" w:hRule="exact" w:hSpace="284" w:wrap="around" w:vAnchor="page" w:hAnchor="page" w:x="1645" w:y="2910"/>
      <w:spacing w:before="57" w:line="280" w:lineRule="exact"/>
      <w:jc w:val="right"/>
    </w:pPr>
    <w:rPr>
      <w:rFonts w:ascii="宋体" w:hAnsi="Times New Roman" w:eastAsia="宋体" w:cs="Times New Roman"/>
      <w:sz w:val="21"/>
      <w:szCs w:val="21"/>
      <w:lang w:val="en-US" w:eastAsia="zh-CN" w:bidi="ar-SA"/>
    </w:rPr>
  </w:style>
  <w:style w:type="paragraph" w:customStyle="1" w:styleId="50">
    <w:name w:val="封面标准名称"/>
    <w:qFormat/>
    <w:uiPriority w:val="0"/>
    <w:pPr>
      <w:framePr w:w="9639" w:h="6917" w:hRule="exact" w:wrap="around" w:vAnchor="page" w:hAnchor="page" w:xAlign="center" w:y="6408"/>
      <w:widowControl w:val="0"/>
      <w:spacing w:line="680" w:lineRule="exact"/>
      <w:jc w:val="center"/>
    </w:pPr>
    <w:rPr>
      <w:rFonts w:ascii="黑体" w:hAnsi="Times New Roman" w:eastAsia="黑体" w:cs="Times New Roman"/>
      <w:sz w:val="52"/>
      <w:lang w:val="en-US" w:eastAsia="zh-CN" w:bidi="ar-SA"/>
    </w:rPr>
  </w:style>
  <w:style w:type="paragraph" w:customStyle="1" w:styleId="51">
    <w:name w:val="封面标准英文名称"/>
    <w:basedOn w:val="50"/>
    <w:qFormat/>
    <w:uiPriority w:val="0"/>
    <w:pPr>
      <w:spacing w:before="370" w:line="400" w:lineRule="exact"/>
    </w:pPr>
    <w:rPr>
      <w:rFonts w:ascii="Times New Roman"/>
      <w:sz w:val="28"/>
      <w:szCs w:val="28"/>
    </w:rPr>
  </w:style>
  <w:style w:type="paragraph" w:customStyle="1" w:styleId="52">
    <w:name w:val="封面标准文稿类别"/>
    <w:basedOn w:val="53"/>
    <w:qFormat/>
    <w:uiPriority w:val="0"/>
    <w:pPr>
      <w:spacing w:after="160" w:line="240" w:lineRule="auto"/>
    </w:pPr>
    <w:rPr>
      <w:sz w:val="24"/>
    </w:rPr>
  </w:style>
  <w:style w:type="paragraph" w:customStyle="1" w:styleId="53">
    <w:name w:val="封面一致性程度标识"/>
    <w:basedOn w:val="51"/>
    <w:qFormat/>
    <w:uiPriority w:val="0"/>
    <w:pPr>
      <w:spacing w:before="440"/>
    </w:pPr>
    <w:rPr>
      <w:rFonts w:ascii="宋体" w:eastAsia="宋体"/>
    </w:rPr>
  </w:style>
  <w:style w:type="paragraph" w:customStyle="1" w:styleId="54">
    <w:name w:val="封面标准文稿编辑信息"/>
    <w:basedOn w:val="52"/>
    <w:qFormat/>
    <w:uiPriority w:val="0"/>
    <w:pPr>
      <w:spacing w:before="180" w:line="180" w:lineRule="exact"/>
    </w:pPr>
    <w:rPr>
      <w:sz w:val="21"/>
    </w:rPr>
  </w:style>
  <w:style w:type="character" w:customStyle="1" w:styleId="55">
    <w:name w:val="标准称谓 Char"/>
    <w:link w:val="56"/>
    <w:qFormat/>
    <w:uiPriority w:val="0"/>
    <w:rPr>
      <w:rFonts w:ascii="宋体"/>
      <w:b/>
      <w:bCs/>
      <w:spacing w:val="20"/>
      <w:w w:val="148"/>
      <w:sz w:val="48"/>
      <w:lang w:val="en-US" w:eastAsia="zh-CN" w:bidi="ar-SA"/>
    </w:rPr>
  </w:style>
  <w:style w:type="paragraph" w:customStyle="1" w:styleId="56">
    <w:name w:val="标准称谓"/>
    <w:link w:val="55"/>
    <w:qFormat/>
    <w:uiPriority w:val="0"/>
    <w:pPr>
      <w:framePr w:w="9639" w:h="624" w:hRule="exact" w:hSpace="181" w:vSpace="181" w:wrap="around" w:vAnchor="page" w:hAnchor="page" w:x="1419" w:y="2286" w:anchorLock="1"/>
      <w:widowControl w:val="0"/>
      <w:kinsoku w:val="0"/>
      <w:overflowPunct w:val="0"/>
      <w:autoSpaceDE w:val="0"/>
      <w:autoSpaceDN w:val="0"/>
      <w:spacing w:line="0" w:lineRule="atLeast"/>
      <w:jc w:val="distribute"/>
    </w:pPr>
    <w:rPr>
      <w:rFonts w:ascii="宋体" w:hAnsi="Calibri" w:eastAsia="宋体" w:cs="Times New Roman"/>
      <w:b/>
      <w:bCs/>
      <w:spacing w:val="20"/>
      <w:w w:val="148"/>
      <w:sz w:val="48"/>
      <w:lang w:val="en-US" w:eastAsia="zh-CN" w:bidi="ar-SA"/>
    </w:rPr>
  </w:style>
  <w:style w:type="paragraph" w:customStyle="1" w:styleId="57">
    <w:name w:val="其他实施日期"/>
    <w:basedOn w:val="58"/>
    <w:qFormat/>
    <w:uiPriority w:val="0"/>
  </w:style>
  <w:style w:type="paragraph" w:customStyle="1" w:styleId="58">
    <w:name w:val="实施日期"/>
    <w:basedOn w:val="59"/>
    <w:qFormat/>
    <w:uiPriority w:val="0"/>
    <w:pPr>
      <w:framePr w:vAnchor="page" w:hAnchor="page"/>
      <w:jc w:val="right"/>
    </w:pPr>
  </w:style>
  <w:style w:type="paragraph" w:customStyle="1" w:styleId="59">
    <w:name w:val="发布日期"/>
    <w:qFormat/>
    <w:uiPriority w:val="0"/>
    <w:pPr>
      <w:framePr w:w="3997" w:h="471" w:hRule="exact" w:vSpace="181" w:wrap="around" w:vAnchor="margin" w:hAnchor="page" w:x="7089" w:y="14097" w:anchorLock="1"/>
    </w:pPr>
    <w:rPr>
      <w:rFonts w:ascii="Calibri" w:hAnsi="Calibri" w:eastAsia="黑体" w:cs="Times New Roman"/>
      <w:sz w:val="28"/>
      <w:lang w:val="en-US" w:eastAsia="zh-CN" w:bidi="ar-SA"/>
    </w:rPr>
  </w:style>
  <w:style w:type="paragraph" w:customStyle="1" w:styleId="60">
    <w:name w:val="前言、引言标题"/>
    <w:next w:val="61"/>
    <w:qFormat/>
    <w:uiPriority w:val="0"/>
    <w:pPr>
      <w:keepNext/>
      <w:pageBreakBefore/>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61">
    <w:name w:val="段"/>
    <w:qFormat/>
    <w:uiPriority w:val="0"/>
    <w:pPr>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62">
    <w:name w:val="标准书眉_奇数页"/>
    <w:next w:val="1"/>
    <w:qFormat/>
    <w:uiPriority w:val="0"/>
    <w:pPr>
      <w:spacing w:after="220"/>
      <w:jc w:val="right"/>
    </w:pPr>
    <w:rPr>
      <w:rFonts w:ascii="黑体" w:hAnsi="Calibri" w:eastAsia="黑体" w:cs="Times New Roman"/>
      <w:sz w:val="21"/>
      <w:szCs w:val="21"/>
      <w:lang w:val="en-US" w:eastAsia="zh-CN" w:bidi="ar-SA"/>
    </w:rPr>
  </w:style>
  <w:style w:type="paragraph" w:customStyle="1" w:styleId="63">
    <w:name w:val="WPSOffice手动目录 2"/>
    <w:qFormat/>
    <w:uiPriority w:val="0"/>
    <w:pPr>
      <w:ind w:leftChars="200"/>
    </w:pPr>
    <w:rPr>
      <w:rFonts w:ascii="Times New Roman" w:hAnsi="Times New Roman" w:eastAsia="宋体" w:cs="Times New Roman"/>
      <w:sz w:val="20"/>
      <w:szCs w:val="20"/>
    </w:rPr>
  </w:style>
  <w:style w:type="paragraph" w:customStyle="1" w:styleId="64">
    <w:name w:val="标准文件_字母编号列项（一级）"/>
    <w:qFormat/>
    <w:uiPriority w:val="0"/>
    <w:pPr>
      <w:widowControl/>
      <w:numPr>
        <w:ilvl w:val="0"/>
        <w:numId w:val="1"/>
      </w:numPr>
      <w:suppressAutoHyphens/>
      <w:bidi w:val="0"/>
      <w:spacing w:before="0" w:after="0"/>
      <w:jc w:val="both"/>
    </w:pPr>
    <w:rPr>
      <w:rFonts w:ascii="宋体" w:hAnsi="宋体" w:eastAsia="宋体" w:cs="Times New Roman"/>
      <w:color w:val="auto"/>
      <w:kern w:val="0"/>
      <w:sz w:val="21"/>
      <w:szCs w:val="20"/>
      <w:lang w:val="en-US" w:eastAsia="zh-CN" w:bidi="ar-SA"/>
    </w:rPr>
  </w:style>
  <w:style w:type="paragraph" w:customStyle="1" w:styleId="65">
    <w:name w:val="标准文件_表格"/>
    <w:basedOn w:val="66"/>
    <w:qFormat/>
    <w:uiPriority w:val="0"/>
    <w:pPr>
      <w:ind w:firstLine="0"/>
      <w:jc w:val="center"/>
    </w:pPr>
    <w:rPr>
      <w:sz w:val="18"/>
    </w:rPr>
  </w:style>
  <w:style w:type="paragraph" w:customStyle="1" w:styleId="66">
    <w:name w:val="标准文件_段"/>
    <w:qFormat/>
    <w:uiPriority w:val="0"/>
    <w:pPr>
      <w:widowControl/>
      <w:suppressAutoHyphens/>
      <w:bidi w:val="0"/>
      <w:spacing w:before="0" w:after="0"/>
      <w:ind w:firstLine="200"/>
      <w:jc w:val="both"/>
    </w:pPr>
    <w:rPr>
      <w:rFonts w:ascii="宋体" w:hAnsi="宋体" w:eastAsia="宋体" w:cs="Times New Roman"/>
      <w:color w:val="auto"/>
      <w:kern w:val="0"/>
      <w:sz w:val="21"/>
      <w:szCs w:val="20"/>
      <w:lang w:val="en-US" w:eastAsia="zh-CN" w:bidi="ar-SA"/>
    </w:rPr>
  </w:style>
  <w:style w:type="paragraph" w:customStyle="1" w:styleId="67">
    <w:name w:val="标准文件_章标题"/>
    <w:next w:val="66"/>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68">
    <w:name w:val="标准文件_术语条一"/>
    <w:basedOn w:val="69"/>
    <w:next w:val="66"/>
    <w:qFormat/>
    <w:uiPriority w:val="0"/>
  </w:style>
  <w:style w:type="paragraph" w:customStyle="1" w:styleId="69">
    <w:name w:val="标准文件_一级无标题"/>
    <w:basedOn w:val="70"/>
    <w:qFormat/>
    <w:uiPriority w:val="0"/>
    <w:pPr>
      <w:spacing w:before="0" w:beforeLines="0" w:after="0" w:afterLines="0"/>
      <w:outlineLvl w:val="9"/>
    </w:pPr>
    <w:rPr>
      <w:rFonts w:ascii="宋体" w:eastAsia="宋体"/>
    </w:rPr>
  </w:style>
  <w:style w:type="paragraph" w:customStyle="1" w:styleId="70">
    <w:name w:val="标准文件_一级条标题"/>
    <w:basedOn w:val="67"/>
    <w:next w:val="66"/>
    <w:qFormat/>
    <w:uiPriority w:val="0"/>
    <w:pPr>
      <w:numPr>
        <w:ilvl w:val="2"/>
      </w:numPr>
      <w:spacing w:before="50" w:beforeLines="50" w:after="50" w:afterLines="50"/>
      <w:outlineLvl w:val="1"/>
    </w:pPr>
  </w:style>
  <w:style w:type="paragraph" w:customStyle="1" w:styleId="71">
    <w:name w:val="标准文件_二级无标题"/>
    <w:basedOn w:val="72"/>
    <w:qFormat/>
    <w:uiPriority w:val="0"/>
    <w:pPr>
      <w:spacing w:before="0" w:beforeLines="0" w:after="0" w:afterLines="0"/>
      <w:outlineLvl w:val="9"/>
    </w:pPr>
    <w:rPr>
      <w:rFonts w:ascii="宋体" w:eastAsia="宋体"/>
    </w:rPr>
  </w:style>
  <w:style w:type="paragraph" w:customStyle="1" w:styleId="72">
    <w:name w:val="标准文件_二级条标题"/>
    <w:next w:val="66"/>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paragraph" w:customStyle="1" w:styleId="73">
    <w:name w:val="标准文件_三级无标题"/>
    <w:basedOn w:val="74"/>
    <w:qFormat/>
    <w:uiPriority w:val="0"/>
    <w:pPr>
      <w:spacing w:before="0" w:beforeLines="0" w:after="0" w:afterLines="0"/>
      <w:outlineLvl w:val="9"/>
    </w:pPr>
    <w:rPr>
      <w:rFonts w:ascii="宋体" w:eastAsia="宋体"/>
    </w:rPr>
  </w:style>
  <w:style w:type="paragraph" w:customStyle="1" w:styleId="74">
    <w:name w:val="标准文件_三级条标题"/>
    <w:basedOn w:val="72"/>
    <w:next w:val="66"/>
    <w:qFormat/>
    <w:uiPriority w:val="0"/>
    <w:pPr>
      <w:widowControl/>
      <w:numPr>
        <w:ilvl w:val="4"/>
      </w:numPr>
      <w:outlineLvl w:val="3"/>
    </w:pPr>
  </w:style>
  <w:style w:type="paragraph" w:customStyle="1" w:styleId="75">
    <w:name w:val="标准文件_目录标题"/>
    <w:basedOn w:val="1"/>
    <w:qFormat/>
    <w:uiPriority w:val="0"/>
    <w:pPr>
      <w:spacing w:before="480" w:after="150" w:afterLines="150" w:line="240" w:lineRule="auto"/>
      <w:jc w:val="center"/>
    </w:pPr>
    <w:rPr>
      <w:rFonts w:ascii="黑体" w:eastAsia="黑体"/>
      <w:sz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2000"/>
                <a:satMod val="103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shade val="98000"/>
                <a:tint val="93000"/>
              </a:schemeClr>
            </a:gs>
            <a:gs pos="50000">
              <a:schemeClr val="phClr">
                <a:lumMod val="103000"/>
                <a:satMod val="130000"/>
                <a:shade val="90000"/>
                <a:tint val="98000"/>
              </a:schemeClr>
            </a:gs>
            <a:gs pos="100000">
              <a:schemeClr val="phClr">
                <a:satMod val="120000"/>
                <a:shade val="63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3900</Words>
  <Characters>4369</Characters>
  <Lines>70</Lines>
  <Paragraphs>19</Paragraphs>
  <TotalTime>3</TotalTime>
  <ScaleCrop>false</ScaleCrop>
  <LinksUpToDate>false</LinksUpToDate>
  <CharactersWithSpaces>4461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2026-01-20T13:08:00Z</dcterms:created>
  <dc:creator>yu xiao</dc:creator>
  <cp:lastModifiedBy>孙丽娟</cp:lastModifiedBy>
  <dcterms:modified xsi:type="dcterms:W3CDTF">2026-10-12T02:21:43Z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eyJoZGlkIjoiMDMzM2I2ZjVkNDIwNzNhM2UwYWY0ZDY5NjRiOWM4MTgiLCJ1c2VySWQiOiI2NDg5MjQ4NDUifQ==</vt:lpwstr>
  </property>
  <property fmtid="{D5CDD505-2E9C-101B-9397-08002B2CF9AE}" pid="4" name="ICV">
    <vt:lpwstr>614EBAB7CF4B4B5EBC633357E2154554_13</vt:lpwstr>
  </property>
</Properties>
</file>