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14A58B">
      <w:pPr>
        <w:keepNext w:val="0"/>
        <w:keepLines w:val="0"/>
        <w:pageBreakBefore w:val="0"/>
        <w:kinsoku/>
        <w:wordWrap/>
        <w:overflowPunct/>
        <w:topLinePunct w:val="0"/>
        <w:autoSpaceDE w:val="0"/>
        <w:autoSpaceDN w:val="0"/>
        <w:bidi w:val="0"/>
        <w:adjustRightInd w:val="0"/>
        <w:spacing w:afterAutospacing="0" w:line="360" w:lineRule="auto"/>
        <w:ind w:firstLine="602" w:firstLineChars="200"/>
        <w:jc w:val="center"/>
        <w:outlineLvl w:val="0"/>
        <w:rPr>
          <w:rFonts w:ascii="黑体" w:hAnsi="黑体" w:eastAsia="黑体"/>
          <w:b/>
          <w:bCs/>
          <w:sz w:val="30"/>
          <w:szCs w:val="30"/>
        </w:rPr>
      </w:pPr>
      <w:bookmarkStart w:id="0" w:name="OLE_LINK2"/>
      <w:bookmarkStart w:id="1" w:name="OLE_LINK1"/>
    </w:p>
    <w:p w14:paraId="0531579E">
      <w:pPr>
        <w:keepNext w:val="0"/>
        <w:keepLines w:val="0"/>
        <w:pageBreakBefore w:val="0"/>
        <w:kinsoku/>
        <w:wordWrap/>
        <w:overflowPunct/>
        <w:topLinePunct w:val="0"/>
        <w:autoSpaceDE w:val="0"/>
        <w:autoSpaceDN w:val="0"/>
        <w:bidi w:val="0"/>
        <w:adjustRightInd w:val="0"/>
        <w:spacing w:afterAutospacing="0" w:line="360" w:lineRule="auto"/>
        <w:ind w:firstLine="602" w:firstLineChars="200"/>
        <w:jc w:val="both"/>
        <w:outlineLvl w:val="0"/>
        <w:rPr>
          <w:rFonts w:ascii="黑体" w:hAnsi="黑体" w:eastAsia="黑体"/>
          <w:b/>
          <w:bCs/>
          <w:sz w:val="30"/>
          <w:szCs w:val="30"/>
        </w:rPr>
      </w:pPr>
    </w:p>
    <w:p w14:paraId="755E1940">
      <w:pPr>
        <w:keepNext w:val="0"/>
        <w:keepLines w:val="0"/>
        <w:pageBreakBefore w:val="0"/>
        <w:kinsoku/>
        <w:wordWrap/>
        <w:overflowPunct/>
        <w:topLinePunct w:val="0"/>
        <w:autoSpaceDE w:val="0"/>
        <w:autoSpaceDN w:val="0"/>
        <w:bidi w:val="0"/>
        <w:adjustRightInd w:val="0"/>
        <w:spacing w:afterAutospacing="0" w:line="360" w:lineRule="auto"/>
        <w:ind w:firstLine="602" w:firstLineChars="200"/>
        <w:jc w:val="center"/>
        <w:outlineLvl w:val="0"/>
        <w:rPr>
          <w:rFonts w:ascii="黑体" w:hAnsi="黑体" w:eastAsia="黑体"/>
          <w:b/>
          <w:bCs/>
          <w:sz w:val="30"/>
          <w:szCs w:val="30"/>
        </w:rPr>
      </w:pPr>
    </w:p>
    <w:p w14:paraId="1213F18C">
      <w:pPr>
        <w:keepNext w:val="0"/>
        <w:keepLines w:val="0"/>
        <w:pageBreakBefore w:val="0"/>
        <w:kinsoku/>
        <w:wordWrap/>
        <w:overflowPunct/>
        <w:topLinePunct w:val="0"/>
        <w:autoSpaceDE w:val="0"/>
        <w:autoSpaceDN w:val="0"/>
        <w:bidi w:val="0"/>
        <w:adjustRightInd w:val="0"/>
        <w:spacing w:afterAutospacing="0" w:line="360" w:lineRule="auto"/>
        <w:ind w:firstLine="602" w:firstLineChars="200"/>
        <w:jc w:val="center"/>
        <w:outlineLvl w:val="0"/>
        <w:rPr>
          <w:rFonts w:ascii="黑体" w:hAnsi="黑体" w:eastAsia="黑体"/>
          <w:b/>
          <w:bCs/>
          <w:sz w:val="30"/>
          <w:szCs w:val="30"/>
        </w:rPr>
      </w:pPr>
    </w:p>
    <w:p w14:paraId="231671C6">
      <w:pPr>
        <w:keepNext w:val="0"/>
        <w:keepLines w:val="0"/>
        <w:pageBreakBefore w:val="0"/>
        <w:kinsoku/>
        <w:wordWrap/>
        <w:overflowPunct/>
        <w:topLinePunct w:val="0"/>
        <w:autoSpaceDE w:val="0"/>
        <w:autoSpaceDN w:val="0"/>
        <w:bidi w:val="0"/>
        <w:adjustRightInd w:val="0"/>
        <w:spacing w:afterAutospacing="0" w:line="360" w:lineRule="auto"/>
        <w:ind w:firstLine="602" w:firstLineChars="200"/>
        <w:outlineLvl w:val="0"/>
        <w:rPr>
          <w:rFonts w:ascii="黑体" w:hAnsi="黑体" w:eastAsia="黑体"/>
          <w:b/>
          <w:bCs/>
          <w:sz w:val="30"/>
          <w:szCs w:val="30"/>
        </w:rPr>
      </w:pPr>
    </w:p>
    <w:p w14:paraId="046B91E8">
      <w:pPr>
        <w:keepNext w:val="0"/>
        <w:keepLines w:val="0"/>
        <w:pageBreakBefore w:val="0"/>
        <w:kinsoku/>
        <w:wordWrap/>
        <w:overflowPunct/>
        <w:topLinePunct w:val="0"/>
        <w:autoSpaceDE w:val="0"/>
        <w:autoSpaceDN w:val="0"/>
        <w:bidi w:val="0"/>
        <w:adjustRightInd w:val="0"/>
        <w:spacing w:afterAutospacing="0" w:line="360" w:lineRule="auto"/>
        <w:ind w:firstLine="602" w:firstLineChars="200"/>
        <w:jc w:val="center"/>
        <w:outlineLvl w:val="0"/>
        <w:rPr>
          <w:rFonts w:ascii="黑体" w:hAnsi="黑体" w:eastAsia="黑体"/>
          <w:b/>
          <w:bCs/>
          <w:sz w:val="30"/>
          <w:szCs w:val="30"/>
        </w:rPr>
      </w:pPr>
    </w:p>
    <w:p w14:paraId="2376C1F3">
      <w:pPr>
        <w:keepNext w:val="0"/>
        <w:keepLines w:val="0"/>
        <w:pageBreakBefore w:val="0"/>
        <w:widowControl w:val="0"/>
        <w:kinsoku/>
        <w:wordWrap/>
        <w:overflowPunct/>
        <w:topLinePunct w:val="0"/>
        <w:autoSpaceDE w:val="0"/>
        <w:autoSpaceDN w:val="0"/>
        <w:bidi w:val="0"/>
        <w:adjustRightInd w:val="0"/>
        <w:snapToGrid/>
        <w:spacing w:afterAutospacing="0" w:line="360" w:lineRule="auto"/>
        <w:ind w:firstLine="0" w:firstLineChars="0"/>
        <w:jc w:val="center"/>
        <w:outlineLvl w:val="0"/>
        <w:rPr>
          <w:rFonts w:ascii="黑体" w:hAnsi="黑体" w:eastAsia="黑体"/>
          <w:b/>
          <w:bCs/>
          <w:sz w:val="30"/>
          <w:szCs w:val="30"/>
        </w:rPr>
      </w:pPr>
    </w:p>
    <w:p w14:paraId="7FEC0689">
      <w:pPr>
        <w:pStyle w:val="16"/>
        <w:keepNext w:val="0"/>
        <w:keepLines w:val="0"/>
        <w:pageBreakBefore w:val="0"/>
        <w:framePr w:w="0" w:hRule="auto" w:wrap="auto" w:vAnchor="margin" w:hAnchor="text" w:xAlign="left" w:yAlign="inline"/>
        <w:widowControl w:val="0"/>
        <w:kinsoku/>
        <w:wordWrap/>
        <w:overflowPunct/>
        <w:topLinePunct w:val="0"/>
        <w:bidi w:val="0"/>
        <w:snapToGrid/>
        <w:spacing w:afterAutospacing="0" w:line="360" w:lineRule="auto"/>
        <w:ind w:firstLine="0" w:firstLineChars="0"/>
        <w:jc w:val="center"/>
        <w:rPr>
          <w:rFonts w:ascii="宋体" w:hAnsi="宋体"/>
          <w:bCs/>
          <w:sz w:val="44"/>
          <w:szCs w:val="44"/>
        </w:rPr>
      </w:pPr>
      <w:r>
        <w:rPr>
          <w:rFonts w:hint="eastAsia" w:hAnsi="黑体"/>
          <w:bCs/>
          <w:sz w:val="44"/>
          <w:szCs w:val="44"/>
        </w:rPr>
        <w:t>团体</w:t>
      </w:r>
      <w:r>
        <w:rPr>
          <w:rFonts w:hAnsi="黑体"/>
          <w:bCs/>
          <w:sz w:val="44"/>
          <w:szCs w:val="44"/>
        </w:rPr>
        <w:t>标准</w:t>
      </w:r>
      <w:r>
        <w:rPr>
          <w:rFonts w:hint="eastAsia" w:hAnsi="黑体"/>
          <w:bCs/>
          <w:sz w:val="44"/>
          <w:szCs w:val="44"/>
          <w:lang w:val="en-US" w:eastAsia="zh-CN"/>
        </w:rPr>
        <w:t>中国西部高原地区青少年脊柱侧弯预防与临床干预操作规范</w:t>
      </w:r>
      <w:r>
        <w:rPr>
          <w:rFonts w:hint="eastAsia" w:ascii="宋体" w:hAnsi="宋体"/>
          <w:bCs/>
          <w:sz w:val="44"/>
          <w:szCs w:val="44"/>
        </w:rPr>
        <w:t>(征求</w:t>
      </w:r>
      <w:r>
        <w:rPr>
          <w:rFonts w:ascii="宋体" w:hAnsi="宋体"/>
          <w:bCs/>
          <w:sz w:val="44"/>
          <w:szCs w:val="44"/>
        </w:rPr>
        <w:t>意见稿</w:t>
      </w:r>
      <w:r>
        <w:rPr>
          <w:rFonts w:hint="eastAsia" w:ascii="宋体" w:hAnsi="宋体"/>
          <w:bCs/>
          <w:sz w:val="44"/>
          <w:szCs w:val="44"/>
        </w:rPr>
        <w:t>)</w:t>
      </w:r>
    </w:p>
    <w:p w14:paraId="5992AF32">
      <w:pPr>
        <w:keepNext w:val="0"/>
        <w:keepLines w:val="0"/>
        <w:pageBreakBefore w:val="0"/>
        <w:widowControl w:val="0"/>
        <w:kinsoku/>
        <w:wordWrap/>
        <w:overflowPunct/>
        <w:topLinePunct w:val="0"/>
        <w:autoSpaceDE w:val="0"/>
        <w:autoSpaceDN w:val="0"/>
        <w:bidi w:val="0"/>
        <w:adjustRightInd w:val="0"/>
        <w:snapToGrid/>
        <w:spacing w:afterAutospacing="0" w:line="360" w:lineRule="auto"/>
        <w:ind w:firstLine="0" w:firstLineChars="0"/>
        <w:jc w:val="center"/>
        <w:outlineLvl w:val="0"/>
        <w:rPr>
          <w:rFonts w:ascii="黑体" w:hAnsi="黑体" w:eastAsia="黑体"/>
          <w:bCs/>
          <w:sz w:val="44"/>
          <w:szCs w:val="44"/>
        </w:rPr>
      </w:pPr>
      <w:r>
        <w:rPr>
          <w:rFonts w:hint="eastAsia" w:ascii="黑体" w:hAnsi="黑体" w:eastAsia="黑体"/>
          <w:bCs/>
          <w:sz w:val="44"/>
          <w:szCs w:val="44"/>
        </w:rPr>
        <w:t>编制说明</w:t>
      </w:r>
    </w:p>
    <w:p w14:paraId="671B7666">
      <w:pPr>
        <w:keepNext w:val="0"/>
        <w:keepLines w:val="0"/>
        <w:pageBreakBefore w:val="0"/>
        <w:widowControl w:val="0"/>
        <w:kinsoku/>
        <w:wordWrap/>
        <w:overflowPunct/>
        <w:topLinePunct w:val="0"/>
        <w:autoSpaceDE w:val="0"/>
        <w:autoSpaceDN w:val="0"/>
        <w:bidi w:val="0"/>
        <w:adjustRightInd w:val="0"/>
        <w:snapToGrid/>
        <w:spacing w:afterAutospacing="0" w:line="360" w:lineRule="auto"/>
        <w:ind w:firstLine="0" w:firstLineChars="0"/>
        <w:jc w:val="center"/>
        <w:outlineLvl w:val="0"/>
        <w:rPr>
          <w:rFonts w:ascii="黑体" w:hAnsi="黑体" w:eastAsia="黑体"/>
          <w:b/>
          <w:bCs/>
          <w:sz w:val="30"/>
          <w:szCs w:val="30"/>
        </w:rPr>
      </w:pPr>
    </w:p>
    <w:p w14:paraId="47163B88">
      <w:pPr>
        <w:keepNext w:val="0"/>
        <w:keepLines w:val="0"/>
        <w:pageBreakBefore w:val="0"/>
        <w:widowControl w:val="0"/>
        <w:kinsoku/>
        <w:wordWrap/>
        <w:overflowPunct/>
        <w:topLinePunct w:val="0"/>
        <w:autoSpaceDE w:val="0"/>
        <w:autoSpaceDN w:val="0"/>
        <w:bidi w:val="0"/>
        <w:adjustRightInd w:val="0"/>
        <w:snapToGrid/>
        <w:spacing w:afterAutospacing="0" w:line="360" w:lineRule="auto"/>
        <w:ind w:firstLine="0" w:firstLineChars="0"/>
        <w:jc w:val="center"/>
        <w:outlineLvl w:val="0"/>
        <w:rPr>
          <w:rFonts w:ascii="黑体" w:hAnsi="黑体" w:eastAsia="黑体"/>
          <w:b/>
          <w:bCs/>
          <w:sz w:val="30"/>
          <w:szCs w:val="30"/>
        </w:rPr>
      </w:pPr>
    </w:p>
    <w:p w14:paraId="195534E7">
      <w:pPr>
        <w:keepNext w:val="0"/>
        <w:keepLines w:val="0"/>
        <w:pageBreakBefore w:val="0"/>
        <w:widowControl w:val="0"/>
        <w:kinsoku/>
        <w:wordWrap/>
        <w:overflowPunct/>
        <w:topLinePunct w:val="0"/>
        <w:autoSpaceDE w:val="0"/>
        <w:autoSpaceDN w:val="0"/>
        <w:bidi w:val="0"/>
        <w:adjustRightInd w:val="0"/>
        <w:snapToGrid/>
        <w:spacing w:afterAutospacing="0" w:line="360" w:lineRule="auto"/>
        <w:ind w:firstLine="0" w:firstLineChars="0"/>
        <w:jc w:val="center"/>
        <w:outlineLvl w:val="0"/>
        <w:rPr>
          <w:rFonts w:ascii="黑体" w:hAnsi="黑体" w:eastAsia="黑体"/>
          <w:b/>
          <w:bCs/>
          <w:sz w:val="30"/>
          <w:szCs w:val="30"/>
        </w:rPr>
      </w:pPr>
    </w:p>
    <w:p w14:paraId="2255496A">
      <w:pPr>
        <w:keepNext w:val="0"/>
        <w:keepLines w:val="0"/>
        <w:pageBreakBefore w:val="0"/>
        <w:widowControl w:val="0"/>
        <w:kinsoku/>
        <w:wordWrap/>
        <w:overflowPunct/>
        <w:topLinePunct w:val="0"/>
        <w:autoSpaceDE w:val="0"/>
        <w:autoSpaceDN w:val="0"/>
        <w:bidi w:val="0"/>
        <w:adjustRightInd w:val="0"/>
        <w:snapToGrid/>
        <w:spacing w:afterAutospacing="0" w:line="360" w:lineRule="auto"/>
        <w:ind w:firstLine="0" w:firstLineChars="0"/>
        <w:jc w:val="center"/>
        <w:outlineLvl w:val="0"/>
        <w:rPr>
          <w:rFonts w:ascii="黑体" w:hAnsi="黑体" w:eastAsia="黑体"/>
          <w:b/>
          <w:bCs/>
          <w:sz w:val="30"/>
          <w:szCs w:val="30"/>
        </w:rPr>
      </w:pPr>
    </w:p>
    <w:p w14:paraId="55A4D5A6">
      <w:pPr>
        <w:keepNext w:val="0"/>
        <w:keepLines w:val="0"/>
        <w:pageBreakBefore w:val="0"/>
        <w:widowControl w:val="0"/>
        <w:kinsoku/>
        <w:wordWrap/>
        <w:overflowPunct/>
        <w:topLinePunct w:val="0"/>
        <w:autoSpaceDE w:val="0"/>
        <w:autoSpaceDN w:val="0"/>
        <w:bidi w:val="0"/>
        <w:adjustRightInd w:val="0"/>
        <w:snapToGrid/>
        <w:spacing w:afterAutospacing="0" w:line="360" w:lineRule="auto"/>
        <w:ind w:firstLine="0" w:firstLineChars="0"/>
        <w:jc w:val="center"/>
        <w:outlineLvl w:val="0"/>
        <w:rPr>
          <w:rFonts w:ascii="黑体" w:hAnsi="黑体" w:eastAsia="黑体"/>
          <w:b/>
          <w:bCs/>
          <w:sz w:val="30"/>
          <w:szCs w:val="30"/>
        </w:rPr>
      </w:pPr>
    </w:p>
    <w:p w14:paraId="3F41BDB5">
      <w:pPr>
        <w:keepNext w:val="0"/>
        <w:keepLines w:val="0"/>
        <w:pageBreakBefore w:val="0"/>
        <w:widowControl w:val="0"/>
        <w:kinsoku/>
        <w:wordWrap/>
        <w:overflowPunct/>
        <w:topLinePunct w:val="0"/>
        <w:autoSpaceDE w:val="0"/>
        <w:autoSpaceDN w:val="0"/>
        <w:bidi w:val="0"/>
        <w:adjustRightInd w:val="0"/>
        <w:snapToGrid/>
        <w:spacing w:afterAutospacing="0" w:line="360" w:lineRule="auto"/>
        <w:ind w:firstLine="0" w:firstLineChars="0"/>
        <w:jc w:val="center"/>
        <w:outlineLvl w:val="0"/>
        <w:rPr>
          <w:rFonts w:hint="eastAsia"/>
        </w:rPr>
      </w:pPr>
    </w:p>
    <w:p w14:paraId="23CEC256">
      <w:pPr>
        <w:keepNext w:val="0"/>
        <w:keepLines w:val="0"/>
        <w:pageBreakBefore w:val="0"/>
        <w:widowControl w:val="0"/>
        <w:kinsoku/>
        <w:wordWrap/>
        <w:overflowPunct/>
        <w:topLinePunct w:val="0"/>
        <w:autoSpaceDE w:val="0"/>
        <w:autoSpaceDN w:val="0"/>
        <w:bidi w:val="0"/>
        <w:adjustRightInd w:val="0"/>
        <w:snapToGrid/>
        <w:spacing w:afterAutospacing="0" w:line="360" w:lineRule="auto"/>
        <w:ind w:firstLine="0" w:firstLineChars="0"/>
        <w:jc w:val="center"/>
        <w:outlineLvl w:val="0"/>
        <w:rPr>
          <w:rFonts w:hint="eastAsia"/>
          <w:lang w:val="en-US" w:eastAsia="zh-CN"/>
        </w:rPr>
      </w:pPr>
      <w:r>
        <w:rPr>
          <w:rFonts w:hint="eastAsia"/>
          <w:lang w:val="en-US" w:eastAsia="zh-CN"/>
        </w:rPr>
        <w:t>中国西部高原地区青少年脊柱侧弯预防与临床干预操作规范起草工作组</w:t>
      </w:r>
    </w:p>
    <w:p w14:paraId="40C542CE">
      <w:pPr>
        <w:keepNext w:val="0"/>
        <w:keepLines w:val="0"/>
        <w:pageBreakBefore w:val="0"/>
        <w:widowControl w:val="0"/>
        <w:kinsoku/>
        <w:wordWrap/>
        <w:overflowPunct/>
        <w:topLinePunct w:val="0"/>
        <w:autoSpaceDE w:val="0"/>
        <w:autoSpaceDN w:val="0"/>
        <w:bidi w:val="0"/>
        <w:adjustRightInd w:val="0"/>
        <w:snapToGrid/>
        <w:spacing w:afterAutospacing="0" w:line="360" w:lineRule="auto"/>
        <w:ind w:firstLine="0" w:firstLineChars="0"/>
        <w:jc w:val="center"/>
        <w:outlineLvl w:val="0"/>
        <w:rPr>
          <w:rFonts w:ascii="汉仪中黑简" w:eastAsia="汉仪中黑简"/>
          <w:b/>
          <w:sz w:val="36"/>
        </w:rPr>
      </w:pPr>
      <w:r>
        <w:rPr>
          <w:rFonts w:hint="eastAsia"/>
        </w:rPr>
        <w:t>202</w:t>
      </w:r>
      <w:r>
        <w:rPr>
          <w:rFonts w:hint="eastAsia"/>
          <w:lang w:val="en-US" w:eastAsia="zh-CN"/>
        </w:rPr>
        <w:t>6</w:t>
      </w:r>
      <w:r>
        <w:rPr>
          <w:rFonts w:hint="eastAsia"/>
        </w:rPr>
        <w:t>年</w:t>
      </w:r>
      <w:r>
        <w:rPr>
          <w:rFonts w:hint="eastAsia"/>
          <w:lang w:val="en-US" w:eastAsia="zh-CN"/>
        </w:rPr>
        <w:t>6</w:t>
      </w:r>
      <w:r>
        <w:rPr>
          <w:rFonts w:hint="eastAsia"/>
        </w:rPr>
        <w:t>月</w:t>
      </w:r>
      <w:r>
        <w:rPr>
          <w:rFonts w:ascii="黑体" w:hAnsi="黑体" w:eastAsia="黑体"/>
          <w:bCs/>
          <w:sz w:val="24"/>
        </w:rPr>
        <w:br w:type="page"/>
      </w:r>
      <w:bookmarkEnd w:id="0"/>
      <w:bookmarkEnd w:id="1"/>
    </w:p>
    <w:p w14:paraId="299CDB45">
      <w:pPr>
        <w:keepNext w:val="0"/>
        <w:keepLines w:val="0"/>
        <w:pageBreakBefore w:val="0"/>
        <w:kinsoku/>
        <w:wordWrap/>
        <w:overflowPunct/>
        <w:topLinePunct w:val="0"/>
        <w:autoSpaceDE w:val="0"/>
        <w:autoSpaceDN w:val="0"/>
        <w:bidi w:val="0"/>
        <w:adjustRightInd w:val="0"/>
        <w:spacing w:afterAutospacing="0" w:line="360" w:lineRule="auto"/>
        <w:ind w:firstLine="560" w:firstLineChars="200"/>
        <w:jc w:val="left"/>
        <w:outlineLvl w:val="0"/>
        <w:rPr>
          <w:rFonts w:ascii="黑体" w:hAnsi="黑体" w:eastAsia="黑体"/>
          <w:szCs w:val="28"/>
        </w:rPr>
      </w:pPr>
      <w:r>
        <w:rPr>
          <w:rFonts w:ascii="黑体" w:hAnsi="黑体" w:eastAsia="黑体"/>
          <w:szCs w:val="28"/>
        </w:rPr>
        <w:t>一、工作简况</w:t>
      </w:r>
    </w:p>
    <w:p w14:paraId="69717982">
      <w:pPr>
        <w:keepNext w:val="0"/>
        <w:keepLines w:val="0"/>
        <w:pageBreakBefore w:val="0"/>
        <w:kinsoku/>
        <w:wordWrap/>
        <w:overflowPunct/>
        <w:topLinePunct w:val="0"/>
        <w:autoSpaceDE w:val="0"/>
        <w:autoSpaceDN w:val="0"/>
        <w:bidi w:val="0"/>
        <w:adjustRightInd w:val="0"/>
        <w:spacing w:afterAutospacing="0" w:line="360" w:lineRule="auto"/>
        <w:ind w:firstLine="562" w:firstLineChars="200"/>
        <w:jc w:val="left"/>
        <w:rPr>
          <w:rFonts w:ascii="宋体" w:hAnsi="宋体"/>
          <w:b/>
          <w:szCs w:val="28"/>
        </w:rPr>
      </w:pPr>
      <w:r>
        <w:rPr>
          <w:rFonts w:hint="eastAsia" w:ascii="宋体" w:hAnsi="宋体"/>
          <w:b/>
          <w:szCs w:val="28"/>
        </w:rPr>
        <w:t xml:space="preserve">1. </w:t>
      </w:r>
      <w:r>
        <w:rPr>
          <w:rFonts w:ascii="宋体" w:hAnsi="宋体"/>
          <w:b/>
          <w:szCs w:val="28"/>
        </w:rPr>
        <w:t>任务来源</w:t>
      </w:r>
    </w:p>
    <w:p w14:paraId="00EFAA3E">
      <w:pPr>
        <w:pStyle w:val="23"/>
        <w:keepNext w:val="0"/>
        <w:keepLines w:val="0"/>
        <w:pageBreakBefore w:val="0"/>
        <w:kinsoku/>
        <w:wordWrap/>
        <w:overflowPunct/>
        <w:topLinePunct w:val="0"/>
        <w:bidi w:val="0"/>
        <w:spacing w:afterAutospacing="0" w:line="360" w:lineRule="auto"/>
        <w:ind w:firstLine="560" w:firstLineChars="200"/>
        <w:rPr>
          <w:rFonts w:hint="eastAsia" w:ascii="宋体" w:hAnsi="Times New Roman" w:eastAsia="宋体" w:cs="Times New Roman"/>
          <w:kern w:val="2"/>
          <w:sz w:val="28"/>
          <w:szCs w:val="24"/>
          <w:lang w:val="en-US" w:eastAsia="zh-CN" w:bidi="ar-SA"/>
        </w:rPr>
      </w:pPr>
      <w:r>
        <w:rPr>
          <w:rFonts w:hint="eastAsia" w:ascii="宋体" w:hAnsi="Times New Roman" w:eastAsia="宋体" w:cs="Times New Roman"/>
          <w:kern w:val="2"/>
          <w:sz w:val="28"/>
          <w:szCs w:val="24"/>
          <w:lang w:val="en-US" w:eastAsia="zh-CN" w:bidi="ar-SA"/>
        </w:rPr>
        <w:t>本团体标准项目《中国西部高原地区青少年脊柱侧弯预防与临床干预指南》由甘肃省中医院所提出。本文件规定了中国西部高原地区青少年脊柱侧弯的预防筛查、风险评估、临床干预（非手术）、康复管理及疗效评价等技术规范与质量管控要求。</w:t>
      </w:r>
    </w:p>
    <w:p w14:paraId="5E92E76C">
      <w:pPr>
        <w:keepNext w:val="0"/>
        <w:keepLines w:val="0"/>
        <w:pageBreakBefore w:val="0"/>
        <w:kinsoku/>
        <w:wordWrap/>
        <w:overflowPunct/>
        <w:topLinePunct w:val="0"/>
        <w:autoSpaceDE w:val="0"/>
        <w:autoSpaceDN w:val="0"/>
        <w:bidi w:val="0"/>
        <w:adjustRightInd w:val="0"/>
        <w:spacing w:afterAutospacing="0" w:line="360" w:lineRule="auto"/>
        <w:ind w:firstLine="562" w:firstLineChars="200"/>
        <w:jc w:val="left"/>
        <w:rPr>
          <w:rFonts w:ascii="宋体" w:hAnsi="宋体"/>
          <w:b/>
          <w:szCs w:val="28"/>
        </w:rPr>
      </w:pPr>
      <w:r>
        <w:rPr>
          <w:rFonts w:hint="eastAsia" w:ascii="宋体" w:hAnsi="宋体"/>
          <w:b/>
          <w:szCs w:val="28"/>
        </w:rPr>
        <w:t>2. 编制背景和意义</w:t>
      </w:r>
      <w:bookmarkStart w:id="17" w:name="_GoBack"/>
      <w:bookmarkEnd w:id="17"/>
    </w:p>
    <w:p w14:paraId="12425E24">
      <w:pPr>
        <w:pStyle w:val="23"/>
        <w:keepNext w:val="0"/>
        <w:keepLines w:val="0"/>
        <w:pageBreakBefore w:val="0"/>
        <w:kinsoku/>
        <w:wordWrap/>
        <w:overflowPunct/>
        <w:topLinePunct w:val="0"/>
        <w:bidi w:val="0"/>
        <w:spacing w:afterAutospacing="0" w:line="360" w:lineRule="auto"/>
        <w:ind w:firstLine="560" w:firstLineChars="200"/>
        <w:rPr>
          <w:rFonts w:hint="eastAsia" w:ascii="宋体" w:hAnsi="Times New Roman" w:eastAsia="宋体" w:cs="Times New Roman"/>
          <w:kern w:val="2"/>
          <w:sz w:val="28"/>
          <w:szCs w:val="24"/>
          <w:lang w:val="en-US" w:eastAsia="zh-CN" w:bidi="ar-SA"/>
        </w:rPr>
      </w:pPr>
      <w:r>
        <w:rPr>
          <w:rFonts w:hint="eastAsia" w:ascii="宋体" w:hAnsi="Times New Roman" w:eastAsia="宋体" w:cs="Times New Roman"/>
          <w:kern w:val="2"/>
          <w:sz w:val="28"/>
          <w:szCs w:val="24"/>
          <w:lang w:val="en-US" w:eastAsia="zh-CN" w:bidi="ar-SA"/>
        </w:rPr>
        <w:t>青少年特发性脊柱侧弯在我国西部高原地区10~18岁人群中发病率较高，由于受到低氧环境、严寒气候、强烈紫外线照射、维生素D代谢紊乱以及体育锻炼不足等多重特殊因素影响，当地患病率明显超出平原地区水平，病情严重者可能出现胸廓变形、心肺功能减退等问题，直接影响青少年的正常身体发育与心理健康状况。</w:t>
      </w:r>
    </w:p>
    <w:p w14:paraId="4D8AFA30">
      <w:pPr>
        <w:pStyle w:val="23"/>
        <w:keepNext w:val="0"/>
        <w:keepLines w:val="0"/>
        <w:pageBreakBefore w:val="0"/>
        <w:kinsoku/>
        <w:wordWrap/>
        <w:overflowPunct/>
        <w:topLinePunct w:val="0"/>
        <w:bidi w:val="0"/>
        <w:spacing w:afterAutospacing="0" w:line="360" w:lineRule="auto"/>
        <w:ind w:firstLine="560" w:firstLineChars="200"/>
        <w:rPr>
          <w:rFonts w:hint="eastAsia" w:ascii="宋体" w:hAnsi="Times New Roman" w:eastAsia="宋体" w:cs="Times New Roman"/>
          <w:kern w:val="2"/>
          <w:sz w:val="28"/>
          <w:szCs w:val="24"/>
          <w:lang w:val="en-US" w:eastAsia="zh-CN" w:bidi="ar-SA"/>
        </w:rPr>
      </w:pPr>
      <w:r>
        <w:rPr>
          <w:rFonts w:hint="eastAsia" w:ascii="宋体" w:hAnsi="Times New Roman" w:eastAsia="宋体" w:cs="Times New Roman"/>
          <w:kern w:val="2"/>
          <w:sz w:val="28"/>
          <w:szCs w:val="24"/>
          <w:lang w:val="en-US" w:eastAsia="zh-CN" w:bidi="ar-SA"/>
        </w:rPr>
        <w:t>目前国内外已发布多项脊柱侧弯相关指南，然而这些指南均未充分考虑西部高原地域特殊性、青少年群体生理特点以及中医药干预独特优势，因而缺乏针对性专项规范。基层医疗机构在实际工作中普遍面临筛查流程不一致、干预措施不规范、疗效评价体系缺失等困境，这不仅增加了漏诊误诊的发生率，提高侧弯病情进展的风险，甚至可能因不当医疗干预对患者造成损害。</w:t>
      </w:r>
    </w:p>
    <w:p w14:paraId="5A058B52">
      <w:pPr>
        <w:pStyle w:val="23"/>
        <w:keepNext w:val="0"/>
        <w:keepLines w:val="0"/>
        <w:pageBreakBefore w:val="0"/>
        <w:kinsoku/>
        <w:wordWrap/>
        <w:overflowPunct/>
        <w:topLinePunct w:val="0"/>
        <w:bidi w:val="0"/>
        <w:spacing w:afterAutospacing="0" w:line="360" w:lineRule="auto"/>
        <w:ind w:firstLine="560" w:firstLineChars="200"/>
        <w:rPr>
          <w:rFonts w:hint="eastAsia" w:ascii="宋体" w:hAnsi="Times New Roman" w:eastAsia="宋体" w:cs="Times New Roman"/>
          <w:kern w:val="2"/>
          <w:sz w:val="28"/>
          <w:szCs w:val="24"/>
          <w:lang w:val="en-US" w:eastAsia="zh-CN" w:bidi="ar-SA"/>
        </w:rPr>
      </w:pPr>
      <w:r>
        <w:rPr>
          <w:rFonts w:hint="eastAsia" w:ascii="宋体" w:hAnsi="Times New Roman" w:eastAsia="宋体" w:cs="Times New Roman"/>
          <w:kern w:val="2"/>
          <w:sz w:val="28"/>
          <w:szCs w:val="24"/>
          <w:lang w:val="en-US" w:eastAsia="zh-CN" w:bidi="ar-SA"/>
        </w:rPr>
        <w:t>本指南的制定将填补高原地区青少年脊柱侧弯防治标准空白，规范预防筛查、风险评估、临床干预、康复管理及疗效评价全流程，提升诊疗安全性与有效性，降低手术率与医疗成本，助力西部青少年健康成长，促进中医药适宜技术在高原地区的规范化推广与学术交流。</w:t>
      </w:r>
    </w:p>
    <w:p w14:paraId="3B9E9F91">
      <w:pPr>
        <w:keepNext w:val="0"/>
        <w:keepLines w:val="0"/>
        <w:pageBreakBefore w:val="0"/>
        <w:kinsoku/>
        <w:wordWrap/>
        <w:overflowPunct/>
        <w:topLinePunct w:val="0"/>
        <w:bidi w:val="0"/>
        <w:spacing w:afterAutospacing="0" w:line="360" w:lineRule="auto"/>
        <w:ind w:firstLine="562" w:firstLineChars="200"/>
        <w:jc w:val="left"/>
        <w:rPr>
          <w:rFonts w:ascii="宋体" w:hAnsi="宋体"/>
          <w:b/>
          <w:szCs w:val="28"/>
        </w:rPr>
      </w:pPr>
      <w:r>
        <w:rPr>
          <w:rFonts w:hint="eastAsia" w:ascii="宋体" w:hAnsi="宋体"/>
          <w:b/>
          <w:szCs w:val="28"/>
        </w:rPr>
        <w:t>3</w:t>
      </w:r>
      <w:r>
        <w:rPr>
          <w:rFonts w:ascii="宋体" w:hAnsi="宋体"/>
          <w:b/>
          <w:szCs w:val="28"/>
        </w:rPr>
        <w:t>. 工作过程</w:t>
      </w:r>
      <w:r>
        <w:rPr>
          <w:rFonts w:hint="eastAsia" w:ascii="宋体" w:hAnsi="宋体"/>
          <w:b/>
          <w:szCs w:val="28"/>
        </w:rPr>
        <w:t>及安排</w:t>
      </w:r>
    </w:p>
    <w:p w14:paraId="093A8A8D">
      <w:pPr>
        <w:keepNext w:val="0"/>
        <w:keepLines w:val="0"/>
        <w:pageBreakBefore w:val="0"/>
        <w:kinsoku/>
        <w:wordWrap/>
        <w:overflowPunct/>
        <w:topLinePunct w:val="0"/>
        <w:autoSpaceDE w:val="0"/>
        <w:autoSpaceDN w:val="0"/>
        <w:bidi w:val="0"/>
        <w:adjustRightInd w:val="0"/>
        <w:spacing w:afterAutospacing="0" w:line="360" w:lineRule="auto"/>
        <w:ind w:firstLine="560" w:firstLineChars="200"/>
        <w:jc w:val="left"/>
        <w:rPr>
          <w:rFonts w:ascii="宋体" w:hAnsi="宋体"/>
          <w:szCs w:val="28"/>
        </w:rPr>
      </w:pPr>
      <w:r>
        <w:rPr>
          <w:rFonts w:hint="eastAsia" w:ascii="宋体" w:hAnsi="宋体"/>
          <w:szCs w:val="28"/>
        </w:rPr>
        <w:t>1）标准立项</w:t>
      </w:r>
    </w:p>
    <w:p w14:paraId="6349D82D">
      <w:pPr>
        <w:pStyle w:val="23"/>
        <w:keepNext w:val="0"/>
        <w:keepLines w:val="0"/>
        <w:pageBreakBefore w:val="0"/>
        <w:kinsoku/>
        <w:wordWrap/>
        <w:overflowPunct/>
        <w:topLinePunct w:val="0"/>
        <w:bidi w:val="0"/>
        <w:spacing w:afterAutospacing="0" w:line="360" w:lineRule="auto"/>
        <w:rPr>
          <w:rFonts w:hint="eastAsia"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项目组系统检索了PubMed、CNKI、万方等数据库中关于青少年脊柱侧弯、高原医学及中医适宜技术的相关文献236篇，重点分析了西部高原地区青少年脊柱生长发育数据及现有指南的适用性缺口。在甘肃省中医院牵头下，联合青海等地的医疗机构，完成了调研，项目组完成了《中国西部高原地区青少年脊柱侧弯预防与临床干预指南》立项申请书，于2026年</w:t>
      </w:r>
      <w:r>
        <w:rPr>
          <w:rFonts w:hint="eastAsia" w:ascii="Times New Roman" w:cs="Times New Roman"/>
          <w:kern w:val="2"/>
          <w:sz w:val="28"/>
          <w:szCs w:val="24"/>
          <w:lang w:val="en-US" w:eastAsia="zh-CN" w:bidi="ar-SA"/>
        </w:rPr>
        <w:t>6</w:t>
      </w:r>
      <w:r>
        <w:rPr>
          <w:rFonts w:hint="eastAsia" w:ascii="Times New Roman" w:hAnsi="Times New Roman" w:eastAsia="宋体" w:cs="Times New Roman"/>
          <w:kern w:val="2"/>
          <w:sz w:val="28"/>
          <w:szCs w:val="24"/>
          <w:lang w:val="en-US" w:eastAsia="zh-CN" w:bidi="ar-SA"/>
        </w:rPr>
        <w:t>月正式提交，经专家组评审论证。</w:t>
      </w:r>
    </w:p>
    <w:p w14:paraId="0CFA977F">
      <w:pPr>
        <w:pStyle w:val="23"/>
        <w:keepNext w:val="0"/>
        <w:keepLines w:val="0"/>
        <w:pageBreakBefore w:val="0"/>
        <w:numPr>
          <w:ilvl w:val="0"/>
          <w:numId w:val="6"/>
        </w:numPr>
        <w:kinsoku/>
        <w:wordWrap/>
        <w:overflowPunct/>
        <w:topLinePunct w:val="0"/>
        <w:bidi w:val="0"/>
        <w:spacing w:afterAutospacing="0" w:line="360" w:lineRule="auto"/>
        <w:rPr>
          <w:rFonts w:hint="eastAsia"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标准起草阶段</w:t>
      </w:r>
    </w:p>
    <w:p w14:paraId="0755FA1B">
      <w:pPr>
        <w:pStyle w:val="23"/>
        <w:keepNext w:val="0"/>
        <w:keepLines w:val="0"/>
        <w:pageBreakBefore w:val="0"/>
        <w:widowControl/>
        <w:numPr>
          <w:ilvl w:val="0"/>
          <w:numId w:val="0"/>
        </w:numPr>
        <w:kinsoku/>
        <w:wordWrap/>
        <w:overflowPunct/>
        <w:topLinePunct w:val="0"/>
        <w:autoSpaceDE w:val="0"/>
        <w:autoSpaceDN w:val="0"/>
        <w:bidi w:val="0"/>
        <w:adjustRightInd/>
        <w:snapToGrid/>
        <w:spacing w:afterAutospacing="0" w:line="360" w:lineRule="auto"/>
        <w:ind w:firstLine="560" w:firstLineChars="200"/>
        <w:textAlignment w:val="auto"/>
        <w:rPr>
          <w:rFonts w:hint="eastAsia"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2026年5月，由甘肃省中医院召开了本项目团体标准启动会，会议上成立了甘肃省中医院、昆明医科大学第一附属医院(云南省皮肤病医院)、昆明医科大学第二附属医院(云南省泌尿专科医院、云南省肝胆胰外科医院)、青海省监狱管理局中心医院(青海红十字医院)、兰州大学、德宏州中医医院(德宏州傣医医院、德宏州第二人民医院、德宏州民族医药研究所)、昆明医科大学、甘肃省疾病预防控制中心(甘肃省预防医学科学院)、贵州省人民医院、甘肃中医药大学附属医院、甘肃省永靖县人民医院、陇西县中医医院、青海省妇女儿童医院等单位组成的标准起草工作组，经与会单位充分讨论并参考立项评审会专家意见，确定本标准的项目名称为《中国西部高原地区青少年脊柱侧弯预防与临床干预指南》草案，并确定了本标准的主要内容及框架结构。</w:t>
      </w:r>
    </w:p>
    <w:p w14:paraId="0AA69BF9">
      <w:pPr>
        <w:pStyle w:val="23"/>
        <w:keepNext w:val="0"/>
        <w:keepLines w:val="0"/>
        <w:pageBreakBefore w:val="0"/>
        <w:kinsoku/>
        <w:wordWrap/>
        <w:overflowPunct/>
        <w:topLinePunct w:val="0"/>
        <w:bidi w:val="0"/>
        <w:spacing w:afterAutospacing="0" w:line="360" w:lineRule="auto"/>
        <w:rPr>
          <w:rFonts w:hint="eastAsia"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标准编制期间召开了标准起草工作会议，发放并成功收集行业专家问卷20份，积极了解吸纳起草组参与单位的研究及应用成果，并在发起单位甘肃省中医院的统一指导下，标准起草工作组成员单位对标准文本内容经过了多次修改完善并与有关专家进行了多次沟通及咨询，在此基础上形成了标准征求意见稿及编制说明等附件，提交XXXXX对外征求意见。</w:t>
      </w:r>
    </w:p>
    <w:p w14:paraId="379D4C5B">
      <w:pPr>
        <w:pStyle w:val="23"/>
        <w:keepNext w:val="0"/>
        <w:keepLines w:val="0"/>
        <w:pageBreakBefore w:val="0"/>
        <w:numPr>
          <w:ilvl w:val="0"/>
          <w:numId w:val="6"/>
        </w:numPr>
        <w:kinsoku/>
        <w:wordWrap/>
        <w:overflowPunct/>
        <w:topLinePunct w:val="0"/>
        <w:bidi w:val="0"/>
        <w:spacing w:afterAutospacing="0" w:line="360" w:lineRule="auto"/>
        <w:ind w:left="0" w:leftChars="0" w:firstLine="560" w:firstLineChars="200"/>
        <w:rPr>
          <w:rFonts w:hint="eastAsia"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征求意见阶段</w:t>
      </w:r>
    </w:p>
    <w:p w14:paraId="3A79221D">
      <w:pPr>
        <w:pStyle w:val="23"/>
        <w:keepNext w:val="0"/>
        <w:keepLines w:val="0"/>
        <w:pageBreakBefore w:val="0"/>
        <w:widowControl/>
        <w:numPr>
          <w:ilvl w:val="0"/>
          <w:numId w:val="0"/>
        </w:numPr>
        <w:kinsoku/>
        <w:wordWrap/>
        <w:overflowPunct/>
        <w:topLinePunct w:val="0"/>
        <w:autoSpaceDE w:val="0"/>
        <w:autoSpaceDN w:val="0"/>
        <w:bidi w:val="0"/>
        <w:adjustRightInd/>
        <w:snapToGrid/>
        <w:spacing w:afterAutospacing="0" w:line="360" w:lineRule="auto"/>
        <w:ind w:firstLine="560" w:firstLineChars="200"/>
        <w:textAlignment w:val="auto"/>
        <w:rPr>
          <w:rFonts w:hint="eastAsia"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本阶段旨在广泛吸纳行业智慧，确保指南的科学性、实用性与地域适配性，具体工作安排如下：</w:t>
      </w:r>
    </w:p>
    <w:p w14:paraId="0FB8F2EE">
      <w:pPr>
        <w:pStyle w:val="23"/>
        <w:keepNext w:val="0"/>
        <w:keepLines w:val="0"/>
        <w:pageBreakBefore w:val="0"/>
        <w:kinsoku/>
        <w:wordWrap/>
        <w:overflowPunct/>
        <w:topLinePunct w:val="0"/>
        <w:bidi w:val="0"/>
        <w:spacing w:afterAutospacing="0" w:line="360" w:lineRule="auto"/>
        <w:ind w:firstLine="560" w:firstLineChars="200"/>
        <w:rPr>
          <w:rFonts w:hint="eastAsia"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归口单位</w:t>
      </w:r>
      <w:r>
        <w:rPr>
          <w:rFonts w:hint="eastAsia" w:ascii="Times New Roman" w:cs="Times New Roman"/>
          <w:kern w:val="2"/>
          <w:sz w:val="28"/>
          <w:szCs w:val="24"/>
          <w:lang w:val="en-US" w:eastAsia="zh-CN" w:bidi="ar-SA"/>
        </w:rPr>
        <w:t>甘肃省中医院</w:t>
      </w:r>
      <w:r>
        <w:rPr>
          <w:rFonts w:hint="eastAsia" w:ascii="Times New Roman" w:hAnsi="Times New Roman" w:eastAsia="宋体" w:cs="Times New Roman"/>
          <w:kern w:val="2"/>
          <w:sz w:val="28"/>
          <w:szCs w:val="24"/>
          <w:lang w:val="en-US" w:eastAsia="zh-CN" w:bidi="ar-SA"/>
        </w:rPr>
        <w:t>于2026年</w:t>
      </w:r>
      <w:r>
        <w:rPr>
          <w:rFonts w:hint="eastAsia" w:ascii="Times New Roman" w:cs="Times New Roman"/>
          <w:kern w:val="2"/>
          <w:sz w:val="28"/>
          <w:szCs w:val="24"/>
          <w:lang w:val="en-US" w:eastAsia="zh-CN" w:bidi="ar-SA"/>
        </w:rPr>
        <w:t>6</w:t>
      </w:r>
      <w:r>
        <w:rPr>
          <w:rFonts w:hint="eastAsia" w:ascii="Times New Roman" w:hAnsi="Times New Roman" w:eastAsia="宋体" w:cs="Times New Roman"/>
          <w:kern w:val="2"/>
          <w:sz w:val="28"/>
          <w:szCs w:val="24"/>
          <w:lang w:val="en-US" w:eastAsia="zh-CN" w:bidi="ar-SA"/>
        </w:rPr>
        <w:t>月正式发文，通过官方网站、行业期刊及新媒体平台向社会公开发布征求意见通知，。征求意见范围覆盖：</w:t>
      </w:r>
    </w:p>
    <w:p w14:paraId="30246144">
      <w:pPr>
        <w:pStyle w:val="23"/>
        <w:keepNext w:val="0"/>
        <w:keepLines w:val="0"/>
        <w:pageBreakBefore w:val="0"/>
        <w:kinsoku/>
        <w:wordWrap/>
        <w:overflowPunct/>
        <w:topLinePunct w:val="0"/>
        <w:bidi w:val="0"/>
        <w:spacing w:afterAutospacing="0" w:line="360" w:lineRule="auto"/>
        <w:ind w:firstLine="560" w:firstLineChars="200"/>
        <w:rPr>
          <w:rFonts w:hint="eastAsia"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① 地域覆盖：重点征求青海、甘肃、新疆</w:t>
      </w:r>
      <w:r>
        <w:rPr>
          <w:rFonts w:hint="eastAsia" w:ascii="Times New Roman" w:cs="Times New Roman"/>
          <w:kern w:val="2"/>
          <w:sz w:val="28"/>
          <w:szCs w:val="24"/>
          <w:lang w:val="en-US" w:eastAsia="zh-CN" w:bidi="ar-SA"/>
        </w:rPr>
        <w:t>、贵州</w:t>
      </w:r>
      <w:r>
        <w:rPr>
          <w:rFonts w:hint="eastAsia" w:ascii="Times New Roman" w:hAnsi="Times New Roman" w:eastAsia="宋体" w:cs="Times New Roman"/>
          <w:kern w:val="2"/>
          <w:sz w:val="28"/>
          <w:szCs w:val="24"/>
          <w:lang w:val="en-US" w:eastAsia="zh-CN" w:bidi="ar-SA"/>
        </w:rPr>
        <w:t>、四川西部、云南西北部等高原属地卫健委、疾控中心及各级医疗机构的意见；</w:t>
      </w:r>
    </w:p>
    <w:p w14:paraId="2D36362C">
      <w:pPr>
        <w:pStyle w:val="23"/>
        <w:keepNext w:val="0"/>
        <w:keepLines w:val="0"/>
        <w:pageBreakBefore w:val="0"/>
        <w:kinsoku/>
        <w:wordWrap/>
        <w:overflowPunct/>
        <w:topLinePunct w:val="0"/>
        <w:bidi w:val="0"/>
        <w:spacing w:afterAutospacing="0" w:line="360" w:lineRule="auto"/>
        <w:ind w:firstLine="560" w:firstLineChars="200"/>
        <w:rPr>
          <w:rFonts w:hint="eastAsia"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② 专业覆盖：定向邀请中医骨伤科、脊柱外科、康复医学科、儿科、高原医学、藏医药学及标准化领域的权威专家进行函审；</w:t>
      </w:r>
    </w:p>
    <w:p w14:paraId="6427336A">
      <w:pPr>
        <w:pStyle w:val="23"/>
        <w:keepNext w:val="0"/>
        <w:keepLines w:val="0"/>
        <w:pageBreakBefore w:val="0"/>
        <w:kinsoku/>
        <w:wordWrap/>
        <w:overflowPunct/>
        <w:topLinePunct w:val="0"/>
        <w:bidi w:val="0"/>
        <w:spacing w:afterAutospacing="0" w:line="360" w:lineRule="auto"/>
        <w:ind w:firstLine="560" w:firstLineChars="200"/>
        <w:rPr>
          <w:rFonts w:hint="eastAsia"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③ 基层覆盖：面向西部高原地区20个基层医疗卫生机构（含县级医院、乡镇卫生院、社区卫生服务中心）征集一线临床操作层面的反馈。</w:t>
      </w:r>
    </w:p>
    <w:p w14:paraId="39EFD0A7">
      <w:pPr>
        <w:keepNext w:val="0"/>
        <w:keepLines w:val="0"/>
        <w:pageBreakBefore w:val="0"/>
        <w:kinsoku/>
        <w:wordWrap/>
        <w:overflowPunct/>
        <w:topLinePunct w:val="0"/>
        <w:bidi w:val="0"/>
        <w:spacing w:afterAutospacing="0" w:line="360" w:lineRule="auto"/>
        <w:ind w:firstLine="560" w:firstLineChars="200"/>
        <w:rPr>
          <w:rFonts w:ascii="宋体" w:hAnsi="宋体"/>
          <w:szCs w:val="28"/>
        </w:rPr>
      </w:pPr>
      <w:r>
        <w:rPr>
          <w:rFonts w:hint="eastAsia" w:ascii="宋体" w:hAnsi="宋体"/>
          <w:szCs w:val="28"/>
        </w:rPr>
        <w:t>3）征求意见阶段</w:t>
      </w:r>
    </w:p>
    <w:p w14:paraId="3AA96579">
      <w:pPr>
        <w:keepNext w:val="0"/>
        <w:keepLines w:val="0"/>
        <w:pageBreakBefore w:val="0"/>
        <w:kinsoku/>
        <w:wordWrap/>
        <w:overflowPunct/>
        <w:topLinePunct w:val="0"/>
        <w:bidi w:val="0"/>
        <w:spacing w:afterAutospacing="0" w:line="360" w:lineRule="auto"/>
        <w:ind w:firstLine="560" w:firstLineChars="200"/>
        <w:rPr>
          <w:rFonts w:ascii="宋体" w:hAnsi="宋体"/>
          <w:szCs w:val="28"/>
        </w:rPr>
      </w:pPr>
      <w:r>
        <w:rPr>
          <w:rFonts w:ascii="宋体" w:hAnsi="宋体"/>
          <w:szCs w:val="28"/>
        </w:rPr>
        <w:t>…</w:t>
      </w:r>
    </w:p>
    <w:p w14:paraId="3B229DE2">
      <w:pPr>
        <w:keepNext w:val="0"/>
        <w:keepLines w:val="0"/>
        <w:pageBreakBefore w:val="0"/>
        <w:kinsoku/>
        <w:wordWrap/>
        <w:overflowPunct/>
        <w:topLinePunct w:val="0"/>
        <w:bidi w:val="0"/>
        <w:spacing w:afterAutospacing="0" w:line="360" w:lineRule="auto"/>
        <w:ind w:firstLine="560" w:firstLineChars="200"/>
        <w:rPr>
          <w:rFonts w:ascii="宋体" w:hAnsi="宋体"/>
          <w:szCs w:val="28"/>
        </w:rPr>
      </w:pPr>
      <w:r>
        <w:rPr>
          <w:rFonts w:hint="eastAsia" w:ascii="宋体" w:hAnsi="宋体"/>
          <w:szCs w:val="28"/>
        </w:rPr>
        <w:t>4）召开审查会</w:t>
      </w:r>
    </w:p>
    <w:p w14:paraId="5F441C41">
      <w:pPr>
        <w:keepNext w:val="0"/>
        <w:keepLines w:val="0"/>
        <w:pageBreakBefore w:val="0"/>
        <w:kinsoku/>
        <w:wordWrap/>
        <w:overflowPunct/>
        <w:topLinePunct w:val="0"/>
        <w:bidi w:val="0"/>
        <w:spacing w:afterAutospacing="0" w:line="360" w:lineRule="auto"/>
        <w:ind w:firstLine="560" w:firstLineChars="200"/>
        <w:rPr>
          <w:rFonts w:ascii="宋体" w:hAnsi="宋体"/>
          <w:szCs w:val="28"/>
        </w:rPr>
      </w:pPr>
      <w:r>
        <w:rPr>
          <w:rFonts w:ascii="宋体" w:hAnsi="宋体"/>
          <w:szCs w:val="28"/>
        </w:rPr>
        <w:t>…</w:t>
      </w:r>
    </w:p>
    <w:p w14:paraId="2433D939">
      <w:pPr>
        <w:keepNext w:val="0"/>
        <w:keepLines w:val="0"/>
        <w:pageBreakBefore w:val="0"/>
        <w:kinsoku/>
        <w:wordWrap/>
        <w:overflowPunct/>
        <w:topLinePunct w:val="0"/>
        <w:bidi w:val="0"/>
        <w:spacing w:afterAutospacing="0" w:line="360" w:lineRule="auto"/>
        <w:ind w:firstLine="560" w:firstLineChars="200"/>
        <w:rPr>
          <w:rFonts w:ascii="宋体" w:hAnsi="宋体"/>
          <w:szCs w:val="28"/>
        </w:rPr>
      </w:pPr>
      <w:r>
        <w:rPr>
          <w:rFonts w:ascii="宋体" w:hAnsi="宋体"/>
          <w:szCs w:val="28"/>
        </w:rPr>
        <w:t>5）标准报批</w:t>
      </w:r>
    </w:p>
    <w:p w14:paraId="0F3FEEC6">
      <w:pPr>
        <w:keepNext w:val="0"/>
        <w:keepLines w:val="0"/>
        <w:pageBreakBefore w:val="0"/>
        <w:kinsoku/>
        <w:wordWrap/>
        <w:overflowPunct/>
        <w:topLinePunct w:val="0"/>
        <w:bidi w:val="0"/>
        <w:spacing w:afterAutospacing="0" w:line="360" w:lineRule="auto"/>
        <w:ind w:firstLine="560" w:firstLineChars="200"/>
        <w:rPr>
          <w:rFonts w:ascii="宋体" w:hAnsi="宋体"/>
          <w:szCs w:val="28"/>
        </w:rPr>
      </w:pPr>
      <w:r>
        <w:rPr>
          <w:rFonts w:ascii="宋体" w:hAnsi="宋体"/>
          <w:szCs w:val="28"/>
        </w:rPr>
        <w:t>…</w:t>
      </w:r>
    </w:p>
    <w:p w14:paraId="53A21CA9">
      <w:pPr>
        <w:keepNext w:val="0"/>
        <w:keepLines w:val="0"/>
        <w:pageBreakBefore w:val="0"/>
        <w:kinsoku/>
        <w:wordWrap/>
        <w:overflowPunct/>
        <w:topLinePunct w:val="0"/>
        <w:bidi w:val="0"/>
        <w:spacing w:afterAutospacing="0" w:line="360" w:lineRule="auto"/>
        <w:ind w:firstLine="560" w:firstLineChars="200"/>
        <w:rPr>
          <w:rFonts w:hint="default" w:eastAsia="宋体"/>
          <w:lang w:val="en-US" w:eastAsia="zh-CN"/>
        </w:rPr>
      </w:pPr>
      <w:r>
        <w:rPr>
          <w:rFonts w:hint="eastAsia"/>
        </w:rPr>
        <w:t xml:space="preserve">4. </w:t>
      </w:r>
      <w:r>
        <w:rPr>
          <w:rFonts w:hint="eastAsia"/>
          <w:b/>
        </w:rPr>
        <w:t>起草单位</w:t>
      </w:r>
      <w:r>
        <w:rPr>
          <w:rFonts w:hint="eastAsia"/>
          <w:b/>
          <w:lang w:val="en-US" w:eastAsia="zh-CN"/>
        </w:rPr>
        <w:t>及参与专家</w:t>
      </w:r>
    </w:p>
    <w:p w14:paraId="54CC1361">
      <w:pPr>
        <w:pStyle w:val="23"/>
        <w:keepNext w:val="0"/>
        <w:keepLines w:val="0"/>
        <w:pageBreakBefore w:val="0"/>
        <w:kinsoku/>
        <w:wordWrap/>
        <w:overflowPunct/>
        <w:topLinePunct w:val="0"/>
        <w:bidi w:val="0"/>
        <w:spacing w:afterAutospacing="0" w:line="360" w:lineRule="auto"/>
        <w:ind w:firstLine="560" w:firstLineChars="200"/>
        <w:rPr>
          <w:rFonts w:hint="eastAsia"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1）本标准发起单位为甘肃省中医院。</w:t>
      </w:r>
    </w:p>
    <w:p w14:paraId="0700F769">
      <w:pPr>
        <w:pStyle w:val="23"/>
        <w:keepNext w:val="0"/>
        <w:keepLines w:val="0"/>
        <w:pageBreakBefore w:val="0"/>
        <w:kinsoku/>
        <w:wordWrap/>
        <w:overflowPunct/>
        <w:topLinePunct w:val="0"/>
        <w:bidi w:val="0"/>
        <w:spacing w:afterAutospacing="0" w:line="360" w:lineRule="auto"/>
        <w:ind w:firstLine="560" w:firstLineChars="200"/>
        <w:rPr>
          <w:rFonts w:hint="eastAsia" w:eastAsia="宋体"/>
          <w:sz w:val="28"/>
          <w:szCs w:val="28"/>
          <w:lang w:val="en-US" w:eastAsia="zh-CN"/>
        </w:rPr>
      </w:pPr>
      <w:r>
        <w:rPr>
          <w:rFonts w:hint="eastAsia" w:ascii="Times New Roman" w:hAnsi="Times New Roman" w:eastAsia="宋体" w:cs="Times New Roman"/>
          <w:kern w:val="2"/>
          <w:sz w:val="28"/>
          <w:szCs w:val="24"/>
          <w:lang w:val="en-US" w:eastAsia="zh-CN" w:bidi="ar-SA"/>
        </w:rPr>
        <w:t>2）本标准主要起草人包括：</w:t>
      </w:r>
      <w:r>
        <w:rPr>
          <w:rFonts w:hint="eastAsia" w:ascii="Times New Roman" w:cs="Times New Roman"/>
          <w:kern w:val="2"/>
          <w:sz w:val="28"/>
          <w:szCs w:val="24"/>
          <w:lang w:val="en-US" w:eastAsia="zh-CN" w:bidi="ar-SA"/>
        </w:rPr>
        <w:t>温剑涛（</w:t>
      </w:r>
      <w:r>
        <w:rPr>
          <w:rFonts w:ascii="Times New Roman" w:hAnsi="Times New Roman" w:cs="Times New Roman"/>
          <w:kern w:val="2"/>
          <w:sz w:val="28"/>
          <w:szCs w:val="21"/>
          <w:lang w:val="en-US" w:eastAsia="zh-CN" w:bidi="ar-SA"/>
        </w:rPr>
        <w:t>甘肃省中医院</w:t>
      </w:r>
      <w:r>
        <w:rPr>
          <w:rFonts w:hint="eastAsia" w:ascii="Times New Roman" w:cs="Times New Roman"/>
          <w:kern w:val="2"/>
          <w:sz w:val="28"/>
          <w:szCs w:val="24"/>
          <w:lang w:val="en-US" w:eastAsia="zh-CN" w:bidi="ar-SA"/>
        </w:rPr>
        <w:t>）</w:t>
      </w:r>
      <w:r>
        <w:rPr>
          <w:rFonts w:ascii="Times New Roman" w:hAnsi="Times New Roman" w:cs="Times New Roman"/>
          <w:kern w:val="2"/>
          <w:sz w:val="28"/>
          <w:szCs w:val="21"/>
          <w:lang w:val="en-US" w:eastAsia="zh-CN" w:bidi="ar-SA"/>
        </w:rPr>
        <w:t>、</w:t>
      </w:r>
      <w:r>
        <w:rPr>
          <w:rFonts w:hint="eastAsia" w:ascii="Times New Roman" w:cs="Times New Roman"/>
          <w:kern w:val="2"/>
          <w:sz w:val="28"/>
          <w:szCs w:val="21"/>
          <w:lang w:val="en-US" w:eastAsia="zh-CN" w:bidi="ar-SA"/>
        </w:rPr>
        <w:t>赵军（</w:t>
      </w:r>
      <w:r>
        <w:rPr>
          <w:rFonts w:ascii="Times New Roman" w:hAnsi="Times New Roman" w:cs="Times New Roman"/>
          <w:kern w:val="2"/>
          <w:sz w:val="28"/>
          <w:szCs w:val="21"/>
          <w:lang w:val="en-US" w:eastAsia="zh-CN" w:bidi="ar-SA"/>
        </w:rPr>
        <w:t>甘肃省中医院</w:t>
      </w:r>
      <w:r>
        <w:rPr>
          <w:rFonts w:hint="eastAsia" w:ascii="Times New Roman" w:cs="Times New Roman"/>
          <w:kern w:val="2"/>
          <w:sz w:val="28"/>
          <w:szCs w:val="21"/>
          <w:lang w:val="en-US" w:eastAsia="zh-CN" w:bidi="ar-SA"/>
        </w:rPr>
        <w:t>）王迎松（</w:t>
      </w:r>
      <w:r>
        <w:rPr>
          <w:rFonts w:hint="eastAsia" w:ascii="Times New Roman" w:hAnsi="Times New Roman" w:cs="Times New Roman"/>
          <w:kern w:val="2"/>
          <w:sz w:val="28"/>
          <w:szCs w:val="21"/>
          <w:lang w:val="en-US" w:eastAsia="zh-CN" w:bidi="ar-SA"/>
        </w:rPr>
        <w:t>昆明医科大学第一附属医院(云南省皮肤病医院)</w:t>
      </w:r>
      <w:r>
        <w:rPr>
          <w:rFonts w:hint="eastAsia" w:ascii="Times New Roman" w:cs="Times New Roman"/>
          <w:kern w:val="2"/>
          <w:sz w:val="28"/>
          <w:szCs w:val="21"/>
          <w:lang w:val="en-US" w:eastAsia="zh-CN" w:bidi="ar-SA"/>
        </w:rPr>
        <w:t>）</w:t>
      </w:r>
      <w:r>
        <w:rPr>
          <w:rFonts w:ascii="Times New Roman" w:hAnsi="Times New Roman" w:cs="Times New Roman"/>
          <w:kern w:val="2"/>
          <w:sz w:val="28"/>
          <w:szCs w:val="21"/>
          <w:lang w:val="en-US" w:eastAsia="zh-CN" w:bidi="ar-SA"/>
        </w:rPr>
        <w:t>、</w:t>
      </w:r>
      <w:r>
        <w:rPr>
          <w:rFonts w:hint="eastAsia" w:ascii="Times New Roman" w:cs="Times New Roman"/>
          <w:kern w:val="2"/>
          <w:sz w:val="28"/>
          <w:szCs w:val="21"/>
          <w:lang w:val="en-US" w:eastAsia="zh-CN" w:bidi="ar-SA"/>
        </w:rPr>
        <w:t>赵智（</w:t>
      </w:r>
      <w:r>
        <w:rPr>
          <w:rFonts w:hint="eastAsia" w:ascii="Times New Roman" w:hAnsi="Times New Roman" w:cs="Times New Roman"/>
          <w:kern w:val="2"/>
          <w:sz w:val="28"/>
          <w:szCs w:val="21"/>
          <w:lang w:val="en-US" w:eastAsia="zh-CN" w:bidi="ar-SA"/>
        </w:rPr>
        <w:t>昆明医科大学第二附属医院(云南省泌尿专科医院、云南省肝胆胰外科医院)</w:t>
      </w:r>
      <w:r>
        <w:rPr>
          <w:rFonts w:hint="eastAsia" w:ascii="Times New Roman" w:cs="Times New Roman"/>
          <w:kern w:val="2"/>
          <w:sz w:val="28"/>
          <w:szCs w:val="21"/>
          <w:lang w:val="en-US" w:eastAsia="zh-CN" w:bidi="ar-SA"/>
        </w:rPr>
        <w:t>）</w:t>
      </w:r>
      <w:r>
        <w:rPr>
          <w:rFonts w:ascii="Times New Roman" w:hAnsi="Times New Roman" w:cs="Times New Roman"/>
          <w:kern w:val="2"/>
          <w:sz w:val="28"/>
          <w:szCs w:val="21"/>
          <w:lang w:val="en-US" w:eastAsia="zh-CN" w:bidi="ar-SA"/>
        </w:rPr>
        <w:t>、</w:t>
      </w:r>
      <w:r>
        <w:rPr>
          <w:rFonts w:hint="eastAsia" w:ascii="Times New Roman" w:cs="Times New Roman"/>
          <w:kern w:val="2"/>
          <w:sz w:val="28"/>
          <w:szCs w:val="21"/>
          <w:lang w:val="en-US" w:eastAsia="zh-CN" w:bidi="ar-SA"/>
        </w:rPr>
        <w:t>阿尖措（</w:t>
      </w:r>
      <w:r>
        <w:rPr>
          <w:rFonts w:hint="eastAsia" w:ascii="Times New Roman" w:hAnsi="Times New Roman" w:cs="Times New Roman"/>
          <w:kern w:val="2"/>
          <w:sz w:val="28"/>
          <w:szCs w:val="21"/>
          <w:lang w:val="en-US" w:eastAsia="zh-CN" w:bidi="ar-SA"/>
        </w:rPr>
        <w:t>青海省监狱管理局中心医院(青海红十字医院)</w:t>
      </w:r>
      <w:r>
        <w:rPr>
          <w:rFonts w:hint="eastAsia" w:ascii="Times New Roman" w:cs="Times New Roman"/>
          <w:kern w:val="2"/>
          <w:sz w:val="28"/>
          <w:szCs w:val="21"/>
          <w:lang w:val="en-US" w:eastAsia="zh-CN" w:bidi="ar-SA"/>
        </w:rPr>
        <w:t>）</w:t>
      </w:r>
      <w:r>
        <w:rPr>
          <w:rFonts w:ascii="Times New Roman" w:hAnsi="Times New Roman" w:cs="Times New Roman"/>
          <w:kern w:val="2"/>
          <w:sz w:val="28"/>
          <w:szCs w:val="21"/>
          <w:lang w:val="en-US" w:eastAsia="zh-CN" w:bidi="ar-SA"/>
        </w:rPr>
        <w:t>、</w:t>
      </w:r>
      <w:r>
        <w:rPr>
          <w:rFonts w:hint="eastAsia" w:ascii="Times New Roman" w:cs="Times New Roman"/>
          <w:kern w:val="2"/>
          <w:sz w:val="28"/>
          <w:szCs w:val="21"/>
          <w:lang w:val="en-US" w:eastAsia="zh-CN" w:bidi="ar-SA"/>
        </w:rPr>
        <w:t>王敏珍（</w:t>
      </w:r>
      <w:r>
        <w:rPr>
          <w:rFonts w:ascii="Times New Roman" w:hAnsi="Times New Roman" w:cs="Times New Roman"/>
          <w:kern w:val="2"/>
          <w:sz w:val="28"/>
          <w:szCs w:val="21"/>
          <w:lang w:val="en-US" w:eastAsia="zh-CN" w:bidi="ar-SA"/>
        </w:rPr>
        <w:t>兰州大学</w:t>
      </w:r>
      <w:r>
        <w:rPr>
          <w:rFonts w:hint="eastAsia" w:ascii="Times New Roman" w:cs="Times New Roman"/>
          <w:kern w:val="2"/>
          <w:sz w:val="28"/>
          <w:szCs w:val="21"/>
          <w:lang w:val="en-US" w:eastAsia="zh-CN" w:bidi="ar-SA"/>
        </w:rPr>
        <w:t>）</w:t>
      </w:r>
      <w:r>
        <w:rPr>
          <w:rFonts w:ascii="Times New Roman" w:hAnsi="Times New Roman" w:cs="Times New Roman"/>
          <w:kern w:val="2"/>
          <w:sz w:val="28"/>
          <w:szCs w:val="21"/>
          <w:lang w:val="en-US" w:eastAsia="zh-CN" w:bidi="ar-SA"/>
        </w:rPr>
        <w:t>、</w:t>
      </w:r>
      <w:r>
        <w:rPr>
          <w:rFonts w:hint="eastAsia" w:ascii="Times New Roman" w:cs="Times New Roman"/>
          <w:kern w:val="2"/>
          <w:sz w:val="28"/>
          <w:szCs w:val="21"/>
          <w:lang w:val="en-US" w:eastAsia="zh-CN" w:bidi="ar-SA"/>
        </w:rPr>
        <w:t>陈应东（</w:t>
      </w:r>
      <w:r>
        <w:rPr>
          <w:rFonts w:hint="eastAsia" w:ascii="Times New Roman" w:hAnsi="Times New Roman" w:cs="Times New Roman"/>
          <w:kern w:val="2"/>
          <w:sz w:val="28"/>
          <w:szCs w:val="21"/>
          <w:lang w:val="en-US" w:eastAsia="zh-CN" w:bidi="ar-SA"/>
        </w:rPr>
        <w:t>德宏州中医医院(德宏州傣医医院、德宏州第二人民医院、德宏州民族医药研究所)</w:t>
      </w:r>
      <w:r>
        <w:rPr>
          <w:rFonts w:hint="eastAsia" w:ascii="Times New Roman" w:cs="Times New Roman"/>
          <w:kern w:val="2"/>
          <w:sz w:val="28"/>
          <w:szCs w:val="21"/>
          <w:lang w:val="en-US" w:eastAsia="zh-CN" w:bidi="ar-SA"/>
        </w:rPr>
        <w:t>）</w:t>
      </w:r>
      <w:r>
        <w:rPr>
          <w:rFonts w:hint="eastAsia" w:ascii="Times New Roman" w:hAnsi="Times New Roman" w:cs="Times New Roman"/>
          <w:kern w:val="2"/>
          <w:sz w:val="28"/>
          <w:szCs w:val="21"/>
          <w:lang w:val="en-US" w:eastAsia="zh-CN" w:bidi="ar-SA"/>
        </w:rPr>
        <w:t>、</w:t>
      </w:r>
      <w:r>
        <w:rPr>
          <w:rFonts w:hint="eastAsia" w:ascii="Times New Roman" w:cs="Times New Roman"/>
          <w:kern w:val="2"/>
          <w:sz w:val="28"/>
          <w:szCs w:val="21"/>
          <w:lang w:val="en-US" w:eastAsia="zh-CN" w:bidi="ar-SA"/>
        </w:rPr>
        <w:t>吴会东（</w:t>
      </w:r>
      <w:r>
        <w:rPr>
          <w:rFonts w:hint="eastAsia" w:ascii="Times New Roman" w:hAnsi="Times New Roman" w:cs="Times New Roman"/>
          <w:kern w:val="2"/>
          <w:sz w:val="28"/>
          <w:szCs w:val="21"/>
          <w:lang w:val="en-US" w:eastAsia="zh-CN" w:bidi="ar-SA"/>
        </w:rPr>
        <w:t>昆明医科大学</w:t>
      </w:r>
      <w:r>
        <w:rPr>
          <w:rFonts w:hint="eastAsia" w:ascii="Times New Roman" w:cs="Times New Roman"/>
          <w:kern w:val="2"/>
          <w:sz w:val="28"/>
          <w:szCs w:val="21"/>
          <w:lang w:val="en-US" w:eastAsia="zh-CN" w:bidi="ar-SA"/>
        </w:rPr>
        <w:t>）</w:t>
      </w:r>
      <w:r>
        <w:rPr>
          <w:rFonts w:hint="eastAsia" w:ascii="Times New Roman" w:hAnsi="Times New Roman" w:cs="Times New Roman"/>
          <w:kern w:val="2"/>
          <w:sz w:val="28"/>
          <w:szCs w:val="21"/>
          <w:lang w:val="en-US" w:eastAsia="zh-CN" w:bidi="ar-SA"/>
        </w:rPr>
        <w:t>、</w:t>
      </w:r>
      <w:r>
        <w:rPr>
          <w:rFonts w:hint="eastAsia" w:ascii="Times New Roman" w:cs="Times New Roman"/>
          <w:kern w:val="2"/>
          <w:sz w:val="28"/>
          <w:szCs w:val="21"/>
          <w:lang w:val="en-US" w:eastAsia="zh-CN" w:bidi="ar-SA"/>
        </w:rPr>
        <w:t>梁艳哲（</w:t>
      </w:r>
      <w:r>
        <w:rPr>
          <w:rFonts w:hint="eastAsia" w:ascii="Times New Roman" w:hAnsi="Times New Roman" w:cs="Times New Roman"/>
          <w:kern w:val="2"/>
          <w:sz w:val="28"/>
          <w:szCs w:val="21"/>
          <w:lang w:val="en-US" w:eastAsia="zh-CN" w:bidi="ar-SA"/>
        </w:rPr>
        <w:t>甘肃省疾病预防控制中心(甘肃省预防医学科学院)</w:t>
      </w:r>
      <w:r>
        <w:rPr>
          <w:rFonts w:hint="eastAsia" w:ascii="Times New Roman" w:cs="Times New Roman"/>
          <w:kern w:val="2"/>
          <w:sz w:val="28"/>
          <w:szCs w:val="21"/>
          <w:lang w:val="en-US" w:eastAsia="zh-CN" w:bidi="ar-SA"/>
        </w:rPr>
        <w:t>）杨震（</w:t>
      </w:r>
      <w:r>
        <w:rPr>
          <w:rFonts w:hint="eastAsia" w:ascii="Times New Roman" w:hAnsi="Times New Roman" w:cs="Times New Roman"/>
          <w:kern w:val="2"/>
          <w:sz w:val="28"/>
          <w:szCs w:val="21"/>
          <w:lang w:val="en-US" w:eastAsia="zh-CN" w:bidi="ar-SA"/>
        </w:rPr>
        <w:t>贵州省人民医院</w:t>
      </w:r>
      <w:r>
        <w:rPr>
          <w:rFonts w:hint="eastAsia" w:ascii="Times New Roman" w:cs="Times New Roman"/>
          <w:kern w:val="2"/>
          <w:sz w:val="28"/>
          <w:szCs w:val="21"/>
          <w:lang w:val="en-US" w:eastAsia="zh-CN" w:bidi="ar-SA"/>
        </w:rPr>
        <w:t>）</w:t>
      </w:r>
      <w:r>
        <w:rPr>
          <w:rFonts w:hint="eastAsia" w:ascii="Times New Roman" w:hAnsi="Times New Roman" w:cs="Times New Roman"/>
          <w:kern w:val="2"/>
          <w:sz w:val="28"/>
          <w:szCs w:val="21"/>
          <w:lang w:val="en-US" w:eastAsia="zh-CN" w:bidi="ar-SA"/>
        </w:rPr>
        <w:t>、</w:t>
      </w:r>
      <w:r>
        <w:rPr>
          <w:rFonts w:hint="eastAsia" w:ascii="Times New Roman" w:cs="Times New Roman"/>
          <w:kern w:val="2"/>
          <w:sz w:val="28"/>
          <w:szCs w:val="21"/>
          <w:lang w:val="en-US" w:eastAsia="zh-CN" w:bidi="ar-SA"/>
        </w:rPr>
        <w:t>巩彦龙（</w:t>
      </w:r>
      <w:r>
        <w:rPr>
          <w:rFonts w:hint="eastAsia" w:ascii="Times New Roman" w:hAnsi="Times New Roman" w:cs="Times New Roman"/>
          <w:kern w:val="2"/>
          <w:sz w:val="28"/>
          <w:szCs w:val="21"/>
          <w:lang w:val="en-US" w:eastAsia="zh-CN" w:bidi="ar-SA"/>
        </w:rPr>
        <w:t>甘肃中医药大学附属医院</w:t>
      </w:r>
      <w:r>
        <w:rPr>
          <w:rFonts w:hint="eastAsia" w:ascii="Times New Roman" w:cs="Times New Roman"/>
          <w:kern w:val="2"/>
          <w:sz w:val="28"/>
          <w:szCs w:val="21"/>
          <w:lang w:val="en-US" w:eastAsia="zh-CN" w:bidi="ar-SA"/>
        </w:rPr>
        <w:t>）</w:t>
      </w:r>
      <w:r>
        <w:rPr>
          <w:rFonts w:hint="eastAsia" w:ascii="Times New Roman" w:hAnsi="Times New Roman" w:cs="Times New Roman"/>
          <w:kern w:val="2"/>
          <w:sz w:val="28"/>
          <w:szCs w:val="21"/>
          <w:lang w:val="en-US" w:eastAsia="zh-CN" w:bidi="ar-SA"/>
        </w:rPr>
        <w:t>、</w:t>
      </w:r>
      <w:r>
        <w:rPr>
          <w:rFonts w:hint="eastAsia" w:ascii="Times New Roman" w:cs="Times New Roman"/>
          <w:kern w:val="2"/>
          <w:sz w:val="28"/>
          <w:szCs w:val="21"/>
          <w:lang w:val="en-US" w:eastAsia="zh-CN" w:bidi="ar-SA"/>
        </w:rPr>
        <w:t>崔顺军（</w:t>
      </w:r>
      <w:r>
        <w:rPr>
          <w:rFonts w:hint="eastAsia" w:ascii="Times New Roman" w:hAnsi="Times New Roman" w:cs="Times New Roman"/>
          <w:kern w:val="2"/>
          <w:sz w:val="28"/>
          <w:szCs w:val="21"/>
          <w:lang w:val="en-US" w:eastAsia="zh-CN" w:bidi="ar-SA"/>
        </w:rPr>
        <w:t>甘肃省永靖县人民医院</w:t>
      </w:r>
      <w:r>
        <w:rPr>
          <w:rFonts w:hint="eastAsia" w:ascii="Times New Roman" w:cs="Times New Roman"/>
          <w:kern w:val="2"/>
          <w:sz w:val="28"/>
          <w:szCs w:val="21"/>
          <w:lang w:val="en-US" w:eastAsia="zh-CN" w:bidi="ar-SA"/>
        </w:rPr>
        <w:t>）</w:t>
      </w:r>
      <w:r>
        <w:rPr>
          <w:rFonts w:hint="eastAsia" w:ascii="Times New Roman" w:hAnsi="Times New Roman" w:cs="Times New Roman"/>
          <w:kern w:val="2"/>
          <w:sz w:val="28"/>
          <w:szCs w:val="21"/>
          <w:lang w:val="en-US" w:eastAsia="zh-CN" w:bidi="ar-SA"/>
        </w:rPr>
        <w:t>、</w:t>
      </w:r>
      <w:r>
        <w:rPr>
          <w:rFonts w:hint="eastAsia" w:ascii="Times New Roman" w:cs="Times New Roman"/>
          <w:kern w:val="2"/>
          <w:sz w:val="28"/>
          <w:szCs w:val="21"/>
          <w:lang w:val="en-US" w:eastAsia="zh-CN" w:bidi="ar-SA"/>
        </w:rPr>
        <w:t>冯华（</w:t>
      </w:r>
      <w:r>
        <w:rPr>
          <w:rFonts w:hint="eastAsia" w:ascii="Times New Roman" w:hAnsi="Times New Roman" w:cs="Times New Roman"/>
          <w:kern w:val="2"/>
          <w:sz w:val="28"/>
          <w:szCs w:val="21"/>
          <w:lang w:val="en-US" w:eastAsia="zh-CN" w:bidi="ar-SA"/>
        </w:rPr>
        <w:t>陇西县中</w:t>
      </w:r>
      <w:r>
        <w:rPr>
          <w:rFonts w:hint="eastAsia" w:ascii="Times New Roman" w:cs="Times New Roman"/>
          <w:kern w:val="2"/>
          <w:sz w:val="28"/>
          <w:szCs w:val="21"/>
          <w:lang w:val="en-US" w:eastAsia="zh-CN" w:bidi="ar-SA"/>
        </w:rPr>
        <w:t>医</w:t>
      </w:r>
      <w:r>
        <w:rPr>
          <w:rFonts w:hint="eastAsia" w:ascii="Times New Roman" w:hAnsi="Times New Roman" w:cs="Times New Roman"/>
          <w:kern w:val="2"/>
          <w:sz w:val="28"/>
          <w:szCs w:val="21"/>
          <w:lang w:val="en-US" w:eastAsia="zh-CN" w:bidi="ar-SA"/>
        </w:rPr>
        <w:t>医院</w:t>
      </w:r>
      <w:r>
        <w:rPr>
          <w:rFonts w:hint="eastAsia" w:ascii="Times New Roman" w:cs="Times New Roman"/>
          <w:kern w:val="2"/>
          <w:sz w:val="28"/>
          <w:szCs w:val="21"/>
          <w:lang w:val="en-US" w:eastAsia="zh-CN" w:bidi="ar-SA"/>
        </w:rPr>
        <w:t>）、宋天霖（青海省妇女儿童医院）、黄晋</w:t>
      </w:r>
      <w:r>
        <w:rPr>
          <w:rFonts w:hint="eastAsia" w:ascii="Times New Roman" w:cs="Times New Roman"/>
          <w:kern w:val="2"/>
          <w:sz w:val="28"/>
          <w:szCs w:val="24"/>
          <w:lang w:val="en-US" w:eastAsia="zh-CN" w:bidi="ar-SA"/>
        </w:rPr>
        <w:t>（</w:t>
      </w:r>
      <w:r>
        <w:rPr>
          <w:rFonts w:ascii="Times New Roman" w:hAnsi="Times New Roman" w:cs="Times New Roman"/>
          <w:kern w:val="2"/>
          <w:sz w:val="28"/>
          <w:szCs w:val="21"/>
          <w:lang w:val="en-US" w:eastAsia="zh-CN" w:bidi="ar-SA"/>
        </w:rPr>
        <w:t>甘肃省中医院</w:t>
      </w:r>
      <w:r>
        <w:rPr>
          <w:rFonts w:hint="eastAsia" w:ascii="Times New Roman" w:cs="Times New Roman"/>
          <w:kern w:val="2"/>
          <w:sz w:val="28"/>
          <w:szCs w:val="24"/>
          <w:lang w:val="en-US" w:eastAsia="zh-CN" w:bidi="ar-SA"/>
        </w:rPr>
        <w:t>）、代长泉（</w:t>
      </w:r>
      <w:r>
        <w:rPr>
          <w:rFonts w:ascii="Times New Roman" w:hAnsi="Times New Roman" w:cs="Times New Roman"/>
          <w:kern w:val="2"/>
          <w:sz w:val="28"/>
          <w:szCs w:val="21"/>
          <w:lang w:val="en-US" w:eastAsia="zh-CN" w:bidi="ar-SA"/>
        </w:rPr>
        <w:t>甘肃省中医院</w:t>
      </w:r>
      <w:r>
        <w:rPr>
          <w:rFonts w:hint="eastAsia" w:ascii="Times New Roman" w:cs="Times New Roman"/>
          <w:kern w:val="2"/>
          <w:sz w:val="28"/>
          <w:szCs w:val="24"/>
          <w:lang w:val="en-US" w:eastAsia="zh-CN" w:bidi="ar-SA"/>
        </w:rPr>
        <w:t>）、张辰（</w:t>
      </w:r>
      <w:r>
        <w:rPr>
          <w:rFonts w:ascii="Times New Roman" w:hAnsi="Times New Roman" w:cs="Times New Roman"/>
          <w:kern w:val="2"/>
          <w:sz w:val="28"/>
          <w:szCs w:val="21"/>
          <w:lang w:val="en-US" w:eastAsia="zh-CN" w:bidi="ar-SA"/>
        </w:rPr>
        <w:t>甘肃省中医院</w:t>
      </w:r>
      <w:r>
        <w:rPr>
          <w:rFonts w:hint="eastAsia" w:ascii="Times New Roman" w:cs="Times New Roman"/>
          <w:kern w:val="2"/>
          <w:sz w:val="28"/>
          <w:szCs w:val="24"/>
          <w:lang w:val="en-US" w:eastAsia="zh-CN" w:bidi="ar-SA"/>
        </w:rPr>
        <w:t>）、汪娟（</w:t>
      </w:r>
      <w:r>
        <w:rPr>
          <w:rFonts w:ascii="Times New Roman" w:hAnsi="Times New Roman" w:cs="Times New Roman"/>
          <w:kern w:val="2"/>
          <w:sz w:val="28"/>
          <w:szCs w:val="21"/>
          <w:lang w:val="en-US" w:eastAsia="zh-CN" w:bidi="ar-SA"/>
        </w:rPr>
        <w:t>甘肃省中医院</w:t>
      </w:r>
      <w:r>
        <w:rPr>
          <w:rFonts w:hint="eastAsia" w:ascii="Times New Roman" w:cs="Times New Roman"/>
          <w:kern w:val="2"/>
          <w:sz w:val="28"/>
          <w:szCs w:val="24"/>
          <w:lang w:val="en-US" w:eastAsia="zh-CN" w:bidi="ar-SA"/>
        </w:rPr>
        <w:t>）、袁晓芸（</w:t>
      </w:r>
      <w:r>
        <w:rPr>
          <w:rFonts w:ascii="Times New Roman" w:hAnsi="Times New Roman" w:cs="Times New Roman"/>
          <w:kern w:val="2"/>
          <w:sz w:val="28"/>
          <w:szCs w:val="21"/>
          <w:lang w:val="en-US" w:eastAsia="zh-CN" w:bidi="ar-SA"/>
        </w:rPr>
        <w:t>甘肃省中</w:t>
      </w:r>
      <w:r>
        <w:rPr>
          <w:rFonts w:hint="eastAsia" w:ascii="Times New Roman" w:cs="Times New Roman"/>
          <w:kern w:val="2"/>
          <w:sz w:val="28"/>
          <w:szCs w:val="21"/>
          <w:lang w:val="en-US" w:eastAsia="zh-CN" w:bidi="ar-SA"/>
        </w:rPr>
        <w:t>医</w:t>
      </w:r>
      <w:r>
        <w:rPr>
          <w:rFonts w:ascii="Times New Roman" w:hAnsi="Times New Roman" w:cs="Times New Roman"/>
          <w:kern w:val="2"/>
          <w:sz w:val="28"/>
          <w:szCs w:val="21"/>
          <w:lang w:val="en-US" w:eastAsia="zh-CN" w:bidi="ar-SA"/>
        </w:rPr>
        <w:t>医院</w:t>
      </w:r>
      <w:r>
        <w:rPr>
          <w:rFonts w:hint="eastAsia" w:ascii="Times New Roman" w:cs="Times New Roman"/>
          <w:kern w:val="2"/>
          <w:sz w:val="28"/>
          <w:szCs w:val="24"/>
          <w:lang w:val="en-US" w:eastAsia="zh-CN" w:bidi="ar-SA"/>
        </w:rPr>
        <w:t>）、冷寒（</w:t>
      </w:r>
      <w:r>
        <w:rPr>
          <w:rFonts w:ascii="Times New Roman" w:hAnsi="Times New Roman" w:cs="Times New Roman"/>
          <w:kern w:val="2"/>
          <w:sz w:val="28"/>
          <w:szCs w:val="21"/>
          <w:lang w:val="en-US" w:eastAsia="zh-CN" w:bidi="ar-SA"/>
        </w:rPr>
        <w:t>甘肃省中医院</w:t>
      </w:r>
      <w:r>
        <w:rPr>
          <w:rFonts w:hint="eastAsia" w:ascii="Times New Roman" w:cs="Times New Roman"/>
          <w:kern w:val="2"/>
          <w:sz w:val="28"/>
          <w:szCs w:val="24"/>
          <w:lang w:val="en-US" w:eastAsia="zh-CN" w:bidi="ar-SA"/>
        </w:rPr>
        <w:t>）、侯栋（</w:t>
      </w:r>
      <w:r>
        <w:rPr>
          <w:rFonts w:ascii="Times New Roman" w:hAnsi="Times New Roman" w:cs="Times New Roman"/>
          <w:kern w:val="2"/>
          <w:sz w:val="28"/>
          <w:szCs w:val="21"/>
          <w:lang w:val="en-US" w:eastAsia="zh-CN" w:bidi="ar-SA"/>
        </w:rPr>
        <w:t>甘肃省中医院</w:t>
      </w:r>
      <w:r>
        <w:rPr>
          <w:rFonts w:hint="eastAsia" w:ascii="Times New Roman" w:cs="Times New Roman"/>
          <w:kern w:val="2"/>
          <w:sz w:val="28"/>
          <w:szCs w:val="24"/>
          <w:lang w:val="en-US" w:eastAsia="zh-CN" w:bidi="ar-SA"/>
        </w:rPr>
        <w:t>）。</w:t>
      </w:r>
    </w:p>
    <w:p w14:paraId="27AD53BD">
      <w:pPr>
        <w:keepNext w:val="0"/>
        <w:keepLines w:val="0"/>
        <w:pageBreakBefore w:val="0"/>
        <w:kinsoku/>
        <w:wordWrap/>
        <w:overflowPunct/>
        <w:topLinePunct w:val="0"/>
        <w:autoSpaceDE w:val="0"/>
        <w:autoSpaceDN w:val="0"/>
        <w:bidi w:val="0"/>
        <w:adjustRightInd w:val="0"/>
        <w:spacing w:afterAutospacing="0" w:line="360" w:lineRule="auto"/>
        <w:ind w:firstLine="560" w:firstLineChars="200"/>
        <w:jc w:val="left"/>
        <w:outlineLvl w:val="0"/>
        <w:rPr>
          <w:rFonts w:hint="eastAsia" w:ascii="黑体" w:hAnsi="黑体" w:eastAsia="黑体"/>
          <w:szCs w:val="28"/>
          <w:lang w:val="en-US" w:eastAsia="zh-CN"/>
        </w:rPr>
      </w:pPr>
      <w:r>
        <w:rPr>
          <w:rFonts w:ascii="黑体" w:hAnsi="黑体" w:eastAsia="黑体"/>
          <w:szCs w:val="28"/>
        </w:rPr>
        <w:t>二、标准技术内容</w:t>
      </w:r>
    </w:p>
    <w:p w14:paraId="187B0043">
      <w:pPr>
        <w:keepNext w:val="0"/>
        <w:keepLines w:val="0"/>
        <w:pageBreakBefore w:val="0"/>
        <w:kinsoku/>
        <w:wordWrap/>
        <w:overflowPunct/>
        <w:topLinePunct w:val="0"/>
        <w:bidi w:val="0"/>
        <w:spacing w:afterAutospacing="0" w:line="360" w:lineRule="auto"/>
        <w:ind w:firstLine="562" w:firstLineChars="200"/>
        <w:rPr>
          <w:rFonts w:hint="eastAsia" w:ascii="宋体" w:hAnsi="宋体"/>
          <w:b/>
          <w:szCs w:val="28"/>
        </w:rPr>
      </w:pPr>
      <w:r>
        <w:rPr>
          <w:rFonts w:hint="eastAsia" w:ascii="宋体" w:hAnsi="宋体"/>
          <w:b/>
          <w:szCs w:val="28"/>
        </w:rPr>
        <w:t>1.标准编制文件依据</w:t>
      </w:r>
    </w:p>
    <w:p w14:paraId="17B824D0">
      <w:pPr>
        <w:keepNext w:val="0"/>
        <w:keepLines w:val="0"/>
        <w:pageBreakBefore w:val="0"/>
        <w:kinsoku/>
        <w:wordWrap/>
        <w:overflowPunct/>
        <w:topLinePunct w:val="0"/>
        <w:bidi w:val="0"/>
        <w:spacing w:afterAutospacing="0" w:line="360" w:lineRule="auto"/>
        <w:ind w:firstLine="560" w:firstLineChars="200"/>
        <w:rPr>
          <w:rFonts w:hint="eastAsia" w:ascii="宋体" w:hAnsi="宋体"/>
          <w:b/>
          <w:szCs w:val="28"/>
        </w:rPr>
      </w:pPr>
      <w:r>
        <w:rPr>
          <w:rFonts w:hint="eastAsia" w:ascii="Times New Roman" w:hAnsi="Times New Roman" w:eastAsia="宋体" w:cs="Times New Roman"/>
          <w:kern w:val="2"/>
          <w:sz w:val="28"/>
          <w:szCs w:val="24"/>
          <w:lang w:val="en-US" w:eastAsia="zh-CN" w:bidi="ar-SA"/>
        </w:rPr>
        <w:t>下列文件中的内容通过文中的规范性引用而构成本文件必不可少的条款。其中，注日期的引用文件，仅该日期对应的版本适用于本文件；不注日期的引用文件，其最新版本（包括所有的修改单）适用于本文件</w:t>
      </w:r>
      <w:r>
        <w:rPr>
          <w:rFonts w:hint="eastAsia" w:cs="Times New Roman"/>
          <w:kern w:val="2"/>
          <w:sz w:val="28"/>
          <w:szCs w:val="24"/>
          <w:lang w:val="en-US" w:eastAsia="zh-CN" w:bidi="ar-SA"/>
        </w:rPr>
        <w:t>。</w:t>
      </w:r>
    </w:p>
    <w:p w14:paraId="4A00AD84">
      <w:pPr>
        <w:pStyle w:val="23"/>
        <w:keepNext w:val="0"/>
        <w:keepLines w:val="0"/>
        <w:pageBreakBefore w:val="0"/>
        <w:kinsoku/>
        <w:wordWrap/>
        <w:overflowPunct/>
        <w:topLinePunct w:val="0"/>
        <w:bidi w:val="0"/>
        <w:spacing w:afterAutospacing="0" w:line="360" w:lineRule="auto"/>
        <w:ind w:firstLine="560" w:firstLineChars="200"/>
        <w:rPr>
          <w:rFonts w:hint="eastAsia"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GBZ 130-2020 医用X射线诊断放射防护要求</w:t>
      </w:r>
    </w:p>
    <w:p w14:paraId="3A05BA9D">
      <w:pPr>
        <w:pStyle w:val="23"/>
        <w:keepNext w:val="0"/>
        <w:keepLines w:val="0"/>
        <w:pageBreakBefore w:val="0"/>
        <w:kinsoku/>
        <w:wordWrap/>
        <w:overflowPunct/>
        <w:topLinePunct w:val="0"/>
        <w:bidi w:val="0"/>
        <w:spacing w:afterAutospacing="0" w:line="360" w:lineRule="auto"/>
        <w:ind w:firstLine="560" w:firstLineChars="200"/>
        <w:rPr>
          <w:rFonts w:hint="eastAsia"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GB/T 21709.20-2013 针灸技术操作规范 第20部分：脊柱调整</w:t>
      </w:r>
    </w:p>
    <w:p w14:paraId="24133ABF">
      <w:pPr>
        <w:pStyle w:val="23"/>
        <w:keepNext w:val="0"/>
        <w:keepLines w:val="0"/>
        <w:pageBreakBefore w:val="0"/>
        <w:kinsoku/>
        <w:wordWrap/>
        <w:overflowPunct/>
        <w:topLinePunct w:val="0"/>
        <w:bidi w:val="0"/>
        <w:spacing w:afterAutospacing="0" w:line="360" w:lineRule="auto"/>
        <w:ind w:firstLine="560" w:firstLineChars="200"/>
        <w:rPr>
          <w:rFonts w:hint="eastAsia"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WS/T 790—2021 儿童青少年脊柱弯曲异常筛查技术规范</w:t>
      </w:r>
    </w:p>
    <w:p w14:paraId="08FB3EF3">
      <w:pPr>
        <w:pStyle w:val="23"/>
        <w:keepNext w:val="0"/>
        <w:keepLines w:val="0"/>
        <w:pageBreakBefore w:val="0"/>
        <w:kinsoku/>
        <w:wordWrap/>
        <w:overflowPunct/>
        <w:topLinePunct w:val="0"/>
        <w:bidi w:val="0"/>
        <w:spacing w:afterAutospacing="0" w:line="360" w:lineRule="auto"/>
        <w:ind w:firstLine="560" w:firstLineChars="200"/>
        <w:rPr>
          <w:rFonts w:hint="eastAsia"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T/CRACM 0001—2023 中医整脊科常见病诊疗指南</w:t>
      </w:r>
    </w:p>
    <w:p w14:paraId="4DB4BEBB">
      <w:pPr>
        <w:pStyle w:val="23"/>
        <w:keepNext w:val="0"/>
        <w:keepLines w:val="0"/>
        <w:pageBreakBefore w:val="0"/>
        <w:kinsoku/>
        <w:wordWrap/>
        <w:overflowPunct/>
        <w:topLinePunct w:val="0"/>
        <w:bidi w:val="0"/>
        <w:spacing w:afterAutospacing="0" w:line="360" w:lineRule="auto"/>
        <w:ind w:firstLine="560" w:firstLineChars="200"/>
        <w:rPr>
          <w:rFonts w:hint="eastAsia"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SOSORT 2016 Guidelines: Orthopaedic and Rehabilitation Treatment，国际指南</w:t>
      </w:r>
    </w:p>
    <w:p w14:paraId="2D2C0650">
      <w:pPr>
        <w:keepNext w:val="0"/>
        <w:keepLines w:val="0"/>
        <w:pageBreakBefore w:val="0"/>
        <w:kinsoku/>
        <w:wordWrap/>
        <w:overflowPunct/>
        <w:topLinePunct w:val="0"/>
        <w:autoSpaceDE w:val="0"/>
        <w:autoSpaceDN w:val="0"/>
        <w:bidi w:val="0"/>
        <w:adjustRightInd w:val="0"/>
        <w:spacing w:afterAutospacing="0" w:line="360" w:lineRule="auto"/>
        <w:ind w:firstLine="562" w:firstLineChars="200"/>
        <w:jc w:val="left"/>
        <w:rPr>
          <w:rFonts w:ascii="宋体" w:hAnsi="宋体"/>
          <w:b/>
          <w:szCs w:val="28"/>
        </w:rPr>
      </w:pPr>
      <w:r>
        <w:rPr>
          <w:rFonts w:hint="eastAsia" w:ascii="宋体" w:hAnsi="宋体"/>
          <w:b/>
          <w:szCs w:val="28"/>
        </w:rPr>
        <w:t>2.技术内容说明</w:t>
      </w:r>
    </w:p>
    <w:p w14:paraId="0EC50273">
      <w:pPr>
        <w:keepNext w:val="0"/>
        <w:keepLines w:val="0"/>
        <w:pageBreakBefore w:val="0"/>
        <w:kinsoku/>
        <w:wordWrap/>
        <w:overflowPunct/>
        <w:topLinePunct w:val="0"/>
        <w:autoSpaceDE w:val="0"/>
        <w:autoSpaceDN w:val="0"/>
        <w:bidi w:val="0"/>
        <w:adjustRightInd w:val="0"/>
        <w:spacing w:afterAutospacing="0" w:line="360" w:lineRule="auto"/>
        <w:ind w:firstLine="562" w:firstLineChars="200"/>
        <w:jc w:val="left"/>
        <w:rPr>
          <w:rFonts w:ascii="宋体" w:hAnsi="宋体"/>
          <w:b/>
          <w:szCs w:val="28"/>
        </w:rPr>
      </w:pPr>
      <w:r>
        <w:rPr>
          <w:rFonts w:hint="eastAsia" w:ascii="宋体" w:hAnsi="宋体"/>
          <w:b/>
          <w:szCs w:val="28"/>
        </w:rPr>
        <w:t>2.1 范围</w:t>
      </w:r>
    </w:p>
    <w:p w14:paraId="51EC9A01">
      <w:pPr>
        <w:pStyle w:val="23"/>
        <w:keepNext w:val="0"/>
        <w:keepLines w:val="0"/>
        <w:pageBreakBefore w:val="0"/>
        <w:widowControl/>
        <w:kinsoku/>
        <w:wordWrap/>
        <w:overflowPunct/>
        <w:topLinePunct w:val="0"/>
        <w:autoSpaceDE w:val="0"/>
        <w:autoSpaceDN w:val="0"/>
        <w:bidi w:val="0"/>
        <w:adjustRightInd/>
        <w:snapToGrid/>
        <w:spacing w:afterAutospacing="0" w:line="360" w:lineRule="auto"/>
        <w:ind w:firstLine="560" w:firstLineChars="200"/>
        <w:textAlignment w:val="auto"/>
        <w:rPr>
          <w:sz w:val="28"/>
          <w:szCs w:val="28"/>
          <w:lang w:eastAsia="zh-CN"/>
        </w:rPr>
      </w:pPr>
      <w:r>
        <w:rPr>
          <w:rFonts w:hint="eastAsia" w:eastAsia="宋体"/>
          <w:sz w:val="28"/>
          <w:szCs w:val="28"/>
          <w:lang w:val="en-US" w:eastAsia="zh-CN"/>
        </w:rPr>
        <w:t>本</w:t>
      </w:r>
      <w:r>
        <w:rPr>
          <w:sz w:val="28"/>
          <w:szCs w:val="28"/>
          <w:lang w:eastAsia="zh-CN"/>
        </w:rPr>
        <w:t>地域范围：适用于中国西部高原地区（包括青海、甘肃、</w:t>
      </w:r>
      <w:r>
        <w:rPr>
          <w:rFonts w:hint="eastAsia"/>
          <w:sz w:val="28"/>
          <w:szCs w:val="28"/>
          <w:lang w:val="en-US" w:eastAsia="zh-CN"/>
        </w:rPr>
        <w:t>新疆、贵州、</w:t>
      </w:r>
      <w:r>
        <w:rPr>
          <w:sz w:val="28"/>
          <w:szCs w:val="28"/>
          <w:lang w:eastAsia="zh-CN"/>
        </w:rPr>
        <w:t>四川西部、云南西北部等海拔</w:t>
      </w:r>
      <w:r>
        <w:rPr>
          <w:sz w:val="28"/>
          <w:szCs w:val="28"/>
          <w:lang w:val="en-US" w:eastAsia="zh-CN"/>
        </w:rPr>
        <w:t>超过</w:t>
      </w:r>
      <w:r>
        <w:rPr>
          <w:sz w:val="28"/>
          <w:szCs w:val="28"/>
          <w:lang w:eastAsia="zh-CN"/>
        </w:rPr>
        <w:t>2500米的区域）。</w:t>
      </w:r>
    </w:p>
    <w:p w14:paraId="62E67927">
      <w:pPr>
        <w:pStyle w:val="23"/>
        <w:keepNext w:val="0"/>
        <w:keepLines w:val="0"/>
        <w:pageBreakBefore w:val="0"/>
        <w:widowControl/>
        <w:kinsoku/>
        <w:wordWrap/>
        <w:overflowPunct/>
        <w:topLinePunct w:val="0"/>
        <w:autoSpaceDE w:val="0"/>
        <w:autoSpaceDN w:val="0"/>
        <w:bidi w:val="0"/>
        <w:adjustRightInd/>
        <w:snapToGrid/>
        <w:spacing w:afterAutospacing="0" w:line="360" w:lineRule="auto"/>
        <w:ind w:firstLine="560" w:firstLineChars="200"/>
        <w:textAlignment w:val="auto"/>
        <w:rPr>
          <w:sz w:val="28"/>
          <w:szCs w:val="28"/>
          <w:lang w:eastAsia="zh-CN"/>
        </w:rPr>
      </w:pPr>
      <w:r>
        <w:rPr>
          <w:sz w:val="28"/>
          <w:szCs w:val="28"/>
        </w:rPr>
        <w:t>适用对象：10～18岁青少年，重点关注在校学生群体。</w:t>
      </w:r>
    </w:p>
    <w:p w14:paraId="26BC414A">
      <w:pPr>
        <w:pStyle w:val="23"/>
        <w:keepNext w:val="0"/>
        <w:keepLines w:val="0"/>
        <w:pageBreakBefore w:val="0"/>
        <w:widowControl/>
        <w:kinsoku/>
        <w:wordWrap/>
        <w:overflowPunct/>
        <w:topLinePunct w:val="0"/>
        <w:autoSpaceDE w:val="0"/>
        <w:autoSpaceDN w:val="0"/>
        <w:bidi w:val="0"/>
        <w:adjustRightInd/>
        <w:snapToGrid/>
        <w:spacing w:afterAutospacing="0" w:line="360" w:lineRule="auto"/>
        <w:ind w:firstLine="560" w:firstLineChars="200"/>
        <w:textAlignment w:val="auto"/>
        <w:rPr>
          <w:sz w:val="28"/>
          <w:szCs w:val="28"/>
        </w:rPr>
      </w:pPr>
      <w:r>
        <w:rPr>
          <w:sz w:val="28"/>
          <w:szCs w:val="28"/>
        </w:rPr>
        <w:t>本文件适用于各级中医院、中西医结合医院、综合医院的中医骨伤科、脊柱外科、康复科及基层医疗机构相关执业医师</w:t>
      </w:r>
      <w:r>
        <w:rPr>
          <w:sz w:val="28"/>
          <w:szCs w:val="28"/>
          <w:lang w:val="en-US" w:eastAsia="zh-CN"/>
        </w:rPr>
        <w:t>及康复师</w:t>
      </w:r>
      <w:r>
        <w:rPr>
          <w:sz w:val="28"/>
          <w:szCs w:val="28"/>
        </w:rPr>
        <w:t>。</w:t>
      </w:r>
    </w:p>
    <w:p w14:paraId="226A5195">
      <w:pPr>
        <w:keepNext w:val="0"/>
        <w:keepLines w:val="0"/>
        <w:pageBreakBefore w:val="0"/>
        <w:kinsoku/>
        <w:wordWrap/>
        <w:overflowPunct/>
        <w:topLinePunct w:val="0"/>
        <w:autoSpaceDE w:val="0"/>
        <w:autoSpaceDN w:val="0"/>
        <w:bidi w:val="0"/>
        <w:adjustRightInd w:val="0"/>
        <w:spacing w:afterAutospacing="0" w:line="360" w:lineRule="auto"/>
        <w:ind w:firstLine="560" w:firstLineChars="200"/>
        <w:jc w:val="left"/>
        <w:rPr>
          <w:rFonts w:hint="eastAsia"/>
          <w:sz w:val="28"/>
          <w:szCs w:val="28"/>
          <w:lang w:val="en-US" w:eastAsia="zh-CN"/>
        </w:rPr>
      </w:pPr>
      <w:r>
        <w:rPr>
          <w:sz w:val="28"/>
          <w:szCs w:val="28"/>
        </w:rPr>
        <w:t>本技术规范规定了中国西部高原地区青少年脊柱侧弯预防与临床干预的术语和定义、治疗范围、操作前准备、操作步骤与要求、治疗时间及</w:t>
      </w:r>
      <w:r>
        <w:rPr>
          <w:rFonts w:hint="eastAsia"/>
          <w:sz w:val="28"/>
          <w:szCs w:val="28"/>
        </w:rPr>
        <w:t>疗程、禁忌症、注意事项、应急处置。</w:t>
      </w:r>
    </w:p>
    <w:p w14:paraId="1B91D00B">
      <w:pPr>
        <w:keepNext w:val="0"/>
        <w:keepLines w:val="0"/>
        <w:pageBreakBefore w:val="0"/>
        <w:kinsoku/>
        <w:wordWrap/>
        <w:overflowPunct/>
        <w:topLinePunct w:val="0"/>
        <w:autoSpaceDE w:val="0"/>
        <w:autoSpaceDN w:val="0"/>
        <w:bidi w:val="0"/>
        <w:adjustRightInd w:val="0"/>
        <w:spacing w:afterAutospacing="0" w:line="360" w:lineRule="auto"/>
        <w:ind w:firstLine="562" w:firstLineChars="200"/>
        <w:jc w:val="left"/>
        <w:rPr>
          <w:rFonts w:hint="eastAsia" w:ascii="宋体" w:hAnsi="宋体"/>
          <w:b/>
          <w:szCs w:val="28"/>
        </w:rPr>
      </w:pPr>
      <w:r>
        <w:rPr>
          <w:rFonts w:hint="eastAsia" w:ascii="宋体" w:hAnsi="宋体"/>
          <w:b/>
          <w:szCs w:val="28"/>
          <w:lang w:val="en-US" w:eastAsia="zh-CN"/>
        </w:rPr>
        <w:t>2.2</w:t>
      </w:r>
      <w:r>
        <w:rPr>
          <w:rFonts w:hint="eastAsia" w:ascii="宋体" w:hAnsi="宋体"/>
          <w:b/>
          <w:szCs w:val="28"/>
        </w:rPr>
        <w:t xml:space="preserve"> 术语定义</w:t>
      </w:r>
    </w:p>
    <w:p w14:paraId="65453E5A">
      <w:pPr>
        <w:keepNext w:val="0"/>
        <w:keepLines w:val="0"/>
        <w:pageBreakBefore w:val="0"/>
        <w:widowControl w:val="0"/>
        <w:kinsoku/>
        <w:wordWrap/>
        <w:overflowPunct/>
        <w:topLinePunct w:val="0"/>
        <w:autoSpaceDE/>
        <w:autoSpaceDN/>
        <w:bidi w:val="0"/>
        <w:adjustRightInd w:val="0"/>
        <w:snapToGrid w:val="0"/>
        <w:spacing w:afterAutospacing="0"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宋体" w:hAnsi="Times New Roman" w:eastAsia="宋体" w:cs="Times New Roman"/>
          <w:kern w:val="0"/>
          <w:sz w:val="28"/>
          <w:szCs w:val="28"/>
          <w:lang w:val="en-US" w:eastAsia="zh-CN" w:bidi="ar-SA"/>
        </w:rPr>
        <w:t>本标准对</w:t>
      </w:r>
      <w:r>
        <w:rPr>
          <w:rFonts w:ascii="宋体" w:hAnsi="Times New Roman" w:eastAsia="宋体" w:cs="Times New Roman"/>
          <w:kern w:val="0"/>
          <w:sz w:val="28"/>
          <w:szCs w:val="28"/>
          <w:lang w:val="en-US" w:eastAsia="zh-CN" w:bidi="ar-SA"/>
        </w:rPr>
        <w:t>中国西部高原地区青少年脊柱侧弯预防与临床干预</w:t>
      </w:r>
      <w:r>
        <w:rPr>
          <w:rFonts w:hint="eastAsia" w:ascii="宋体" w:hAnsi="Times New Roman" w:eastAsia="宋体" w:cs="Times New Roman"/>
          <w:kern w:val="0"/>
          <w:sz w:val="28"/>
          <w:szCs w:val="28"/>
          <w:lang w:val="en-US" w:eastAsia="zh-CN" w:bidi="ar-SA"/>
        </w:rPr>
        <w:t>操作规范中的相关术语做了界定表述</w:t>
      </w:r>
      <w:bookmarkStart w:id="2" w:name="_Toc26986532"/>
      <w:bookmarkEnd w:id="2"/>
      <w:r>
        <w:rPr>
          <w:rFonts w:hint="eastAsia" w:ascii="宋体" w:cs="Times New Roman"/>
          <w:kern w:val="0"/>
          <w:sz w:val="28"/>
          <w:szCs w:val="28"/>
          <w:lang w:val="en-US" w:eastAsia="zh-CN" w:bidi="ar-SA"/>
        </w:rPr>
        <w:t>。</w:t>
      </w:r>
      <w:sdt>
        <w:sdtPr>
          <w:id w:val="147459657"/>
          <w:dropDownList>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dropDownList>
        </w:sdtPr>
        <w:sdtEndPr>
          <w:rPr>
            <w:rFonts w:hint="eastAsia" w:asciiTheme="minorEastAsia" w:hAnsiTheme="minorEastAsia" w:eastAsiaTheme="minorEastAsia" w:cstheme="minorEastAsia"/>
            <w:sz w:val="28"/>
            <w:szCs w:val="28"/>
          </w:rPr>
        </w:sdtEndPr>
        <w:sdtContent>
          <w:r>
            <w:t>下列术语和定义适用于</w:t>
          </w:r>
          <w:r>
            <w:rPr>
              <w:rFonts w:hint="eastAsia" w:asciiTheme="minorEastAsia" w:hAnsiTheme="minorEastAsia" w:eastAsiaTheme="minorEastAsia" w:cstheme="minorEastAsia"/>
              <w:sz w:val="28"/>
              <w:szCs w:val="28"/>
            </w:rPr>
            <w:t>本文件。</w:t>
          </w:r>
        </w:sdtContent>
      </w:sdt>
    </w:p>
    <w:p w14:paraId="5C050085">
      <w:pPr>
        <w:pStyle w:val="33"/>
        <w:keepNext w:val="0"/>
        <w:keepLines w:val="0"/>
        <w:pageBreakBefore w:val="0"/>
        <w:numPr>
          <w:ilvl w:val="0"/>
          <w:numId w:val="0"/>
        </w:numPr>
        <w:kinsoku/>
        <w:wordWrap/>
        <w:overflowPunct/>
        <w:topLinePunct w:val="0"/>
        <w:bidi w:val="0"/>
        <w:spacing w:before="0" w:after="0" w:afterAutospacing="0" w:line="360" w:lineRule="auto"/>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2.2.1</w:t>
      </w:r>
      <w:r>
        <w:rPr>
          <w:rFonts w:hint="eastAsia" w:asciiTheme="minorEastAsia" w:hAnsiTheme="minorEastAsia" w:eastAsiaTheme="minorEastAsia" w:cstheme="minorEastAsia"/>
          <w:sz w:val="28"/>
          <w:szCs w:val="28"/>
        </w:rPr>
        <w:t>高原地区 High-altitude area</w:t>
      </w:r>
    </w:p>
    <w:p w14:paraId="76688235">
      <w:pPr>
        <w:pStyle w:val="6"/>
        <w:keepNext w:val="0"/>
        <w:keepLines w:val="0"/>
        <w:pageBreakBefore w:val="0"/>
        <w:widowControl/>
        <w:suppressLineNumbers w:val="0"/>
        <w:kinsoku/>
        <w:wordWrap/>
        <w:overflowPunct/>
        <w:topLinePunct w:val="0"/>
        <w:bidi w:val="0"/>
        <w:spacing w:before="0" w:beforeAutospacing="0" w:after="0" w:afterAutospacing="0" w:line="360" w:lineRule="auto"/>
        <w:ind w:left="0" w:right="0" w:firstLine="560" w:firstLineChars="200"/>
        <w:jc w:val="left"/>
        <w:textAlignment w:val="auto"/>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本指南特指中国西部及西北部海拔&gt;2500米、具有低氧、高寒、强紫外线、维生素D代谢异常、运动不足、营养不均衡等影响脊柱生长发育的因素的地域。包括青海、西藏、贵州、甘肃高海拔地区、新疆高海拔地区、四川西部及云南西北部地区。</w:t>
      </w:r>
    </w:p>
    <w:p w14:paraId="62F855E8">
      <w:pPr>
        <w:pStyle w:val="33"/>
        <w:keepNext w:val="0"/>
        <w:keepLines w:val="0"/>
        <w:pageBreakBefore w:val="0"/>
        <w:numPr>
          <w:ilvl w:val="0"/>
          <w:numId w:val="0"/>
        </w:numPr>
        <w:kinsoku/>
        <w:wordWrap/>
        <w:overflowPunct/>
        <w:topLinePunct w:val="0"/>
        <w:bidi w:val="0"/>
        <w:spacing w:before="0" w:after="0" w:afterAutospacing="0" w:line="360" w:lineRule="auto"/>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2.2.2</w:t>
      </w:r>
      <w:r>
        <w:rPr>
          <w:rFonts w:hint="eastAsia" w:asciiTheme="minorEastAsia" w:hAnsiTheme="minorEastAsia" w:eastAsiaTheme="minorEastAsia" w:cstheme="minorEastAsia"/>
          <w:sz w:val="28"/>
          <w:szCs w:val="28"/>
        </w:rPr>
        <w:t>青少年脊柱侧弯 Adolescent scoliosis</w:t>
      </w:r>
    </w:p>
    <w:p w14:paraId="06872F20">
      <w:pPr>
        <w:pStyle w:val="23"/>
        <w:keepNext w:val="0"/>
        <w:keepLines w:val="0"/>
        <w:pageBreakBefore w:val="0"/>
        <w:kinsoku/>
        <w:wordWrap/>
        <w:overflowPunct/>
        <w:topLinePunct w:val="0"/>
        <w:bidi w:val="0"/>
        <w:spacing w:afterAutospacing="0"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青少年脊柱侧弯</w:t>
      </w:r>
      <w:r>
        <w:rPr>
          <w:rFonts w:hint="eastAsia" w:asciiTheme="minorEastAsia" w:hAnsiTheme="minorEastAsia" w:eastAsiaTheme="minorEastAsia" w:cstheme="minorEastAsia"/>
          <w:sz w:val="28"/>
          <w:szCs w:val="28"/>
        </w:rPr>
        <w:t>是指发生于10～18岁青春期阶段的结构性三维脊柱畸形。其典型特征为脊柱在冠状面发生侧方弯曲，同时伴随椎体旋转及矢状面生理曲度改变。根据Scoliosis Research Society的诊断标准，站立位全脊柱DR线片测量Cobb角≥10°，并伴有椎体旋转，即可确诊为脊柱侧</w:t>
      </w:r>
      <w:r>
        <w:rPr>
          <w:rFonts w:hint="eastAsia" w:asciiTheme="minorEastAsia" w:hAnsiTheme="minorEastAsia" w:eastAsiaTheme="minorEastAsia" w:cstheme="minorEastAsia"/>
          <w:sz w:val="28"/>
          <w:szCs w:val="28"/>
          <w:lang w:val="en-US" w:eastAsia="zh-CN"/>
        </w:rPr>
        <w:t>弯</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本指南重在</w:t>
      </w:r>
      <w:r>
        <w:rPr>
          <w:rFonts w:hint="eastAsia" w:asciiTheme="minorEastAsia" w:hAnsiTheme="minorEastAsia" w:eastAsiaTheme="minorEastAsia" w:cstheme="minorEastAsia"/>
          <w:sz w:val="28"/>
          <w:szCs w:val="28"/>
        </w:rPr>
        <w:t>排除先天性、神经肌肉性、综合征性等明确病因</w:t>
      </w:r>
      <w:r>
        <w:rPr>
          <w:rFonts w:hint="eastAsia" w:asciiTheme="minorEastAsia" w:hAnsiTheme="minorEastAsia" w:eastAsiaTheme="minorEastAsia" w:cstheme="minorEastAsia"/>
          <w:sz w:val="28"/>
          <w:szCs w:val="28"/>
          <w:lang w:val="en-US" w:eastAsia="zh-CN"/>
        </w:rPr>
        <w:t>的脊柱侧弯后的青少年特发性脊柱侧弯。</w:t>
      </w:r>
      <w:r>
        <w:rPr>
          <w:rFonts w:hint="eastAsia" w:asciiTheme="minorEastAsia" w:hAnsiTheme="minorEastAsia" w:eastAsiaTheme="minorEastAsia" w:cstheme="minorEastAsia"/>
          <w:sz w:val="28"/>
          <w:szCs w:val="28"/>
        </w:rPr>
        <w:t>在中医范畴属于“龟背”、“筋骨病”及“伛偻”的范畴。</w:t>
      </w:r>
    </w:p>
    <w:p w14:paraId="68DBFEF6">
      <w:pPr>
        <w:pStyle w:val="33"/>
        <w:keepNext w:val="0"/>
        <w:keepLines w:val="0"/>
        <w:pageBreakBefore w:val="0"/>
        <w:numPr>
          <w:ilvl w:val="0"/>
          <w:numId w:val="0"/>
        </w:numPr>
        <w:kinsoku/>
        <w:wordWrap/>
        <w:overflowPunct/>
        <w:topLinePunct w:val="0"/>
        <w:bidi w:val="0"/>
        <w:spacing w:before="0" w:after="0" w:afterAutospacing="0" w:line="360" w:lineRule="auto"/>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2.2.3</w:t>
      </w:r>
      <w:r>
        <w:rPr>
          <w:rFonts w:hint="eastAsia" w:asciiTheme="minorEastAsia" w:hAnsiTheme="minorEastAsia" w:eastAsiaTheme="minorEastAsia" w:cstheme="minorEastAsia"/>
          <w:sz w:val="28"/>
          <w:szCs w:val="28"/>
        </w:rPr>
        <w:t>中医体质辨识 TCM constitution identification</w:t>
      </w:r>
    </w:p>
    <w:p w14:paraId="2875EC6E">
      <w:pPr>
        <w:pStyle w:val="23"/>
        <w:keepNext w:val="0"/>
        <w:keepLines w:val="0"/>
        <w:pageBreakBefore w:val="0"/>
        <w:kinsoku/>
        <w:wordWrap/>
        <w:overflowPunct/>
        <w:topLinePunct w:val="0"/>
        <w:bidi w:val="0"/>
        <w:spacing w:afterAutospacing="0"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根据中医《中医体质分类与判定》，对</w:t>
      </w:r>
      <w:r>
        <w:rPr>
          <w:rFonts w:hint="eastAsia" w:asciiTheme="minorEastAsia" w:hAnsiTheme="minorEastAsia" w:eastAsiaTheme="minorEastAsia" w:cstheme="minorEastAsia"/>
          <w:sz w:val="28"/>
          <w:szCs w:val="28"/>
          <w:lang w:val="en-US" w:eastAsia="zh-CN"/>
        </w:rPr>
        <w:t>青少年脊柱侧弯</w:t>
      </w:r>
      <w:r>
        <w:rPr>
          <w:rFonts w:hint="eastAsia" w:asciiTheme="minorEastAsia" w:hAnsiTheme="minorEastAsia" w:eastAsiaTheme="minorEastAsia" w:cstheme="minorEastAsia"/>
          <w:sz w:val="28"/>
          <w:szCs w:val="28"/>
        </w:rPr>
        <w:t>患者进行体质分类与判定，用以评估其与脊柱侧弯发病的潜在相关性。</w:t>
      </w:r>
    </w:p>
    <w:p w14:paraId="1A79CF57">
      <w:pPr>
        <w:pStyle w:val="33"/>
        <w:keepNext w:val="0"/>
        <w:keepLines w:val="0"/>
        <w:pageBreakBefore w:val="0"/>
        <w:numPr>
          <w:ilvl w:val="0"/>
          <w:numId w:val="0"/>
        </w:numPr>
        <w:kinsoku/>
        <w:wordWrap/>
        <w:overflowPunct/>
        <w:topLinePunct w:val="0"/>
        <w:bidi w:val="0"/>
        <w:spacing w:before="0" w:after="0" w:afterAutospacing="0" w:line="360" w:lineRule="auto"/>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2.2.4</w:t>
      </w:r>
      <w:r>
        <w:rPr>
          <w:rFonts w:hint="eastAsia" w:asciiTheme="minorEastAsia" w:hAnsiTheme="minorEastAsia" w:eastAsiaTheme="minorEastAsia" w:cstheme="minorEastAsia"/>
          <w:sz w:val="28"/>
          <w:szCs w:val="28"/>
        </w:rPr>
        <w:t>手法整脊手法 Chiropractic manipulation (TCM Spinal Manipulation)</w:t>
      </w:r>
    </w:p>
    <w:p w14:paraId="7F0FB4D8">
      <w:pPr>
        <w:pStyle w:val="23"/>
        <w:keepNext w:val="0"/>
        <w:keepLines w:val="0"/>
        <w:pageBreakBefore w:val="0"/>
        <w:kinsoku/>
        <w:wordWrap/>
        <w:overflowPunct/>
        <w:topLinePunct w:val="0"/>
        <w:bidi w:val="0"/>
        <w:spacing w:afterAutospacing="0"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在中医脏腑经络学说和现代脊柱解剖生物力学理论指导下，术者运用双手对青少年的脊柱及骨盆区域实施理筋、点穴、正骨等系列手法。通过舒筋通络、松解肌肉痉挛，以纠正“骨错缝、筋歪斜”，从而调节脊柱两侧的肌力平衡和异常生物力学结构，达到控制或矫正脊柱侧弯的目的。</w:t>
      </w:r>
    </w:p>
    <w:p w14:paraId="572222A3">
      <w:pPr>
        <w:pStyle w:val="33"/>
        <w:keepNext w:val="0"/>
        <w:keepLines w:val="0"/>
        <w:pageBreakBefore w:val="0"/>
        <w:numPr>
          <w:ilvl w:val="0"/>
          <w:numId w:val="0"/>
        </w:numPr>
        <w:kinsoku/>
        <w:wordWrap/>
        <w:overflowPunct/>
        <w:topLinePunct w:val="0"/>
        <w:bidi w:val="0"/>
        <w:spacing w:before="0" w:after="0" w:afterAutospacing="0" w:line="360" w:lineRule="auto"/>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2.2.5</w:t>
      </w:r>
      <w:r>
        <w:rPr>
          <w:rFonts w:hint="eastAsia" w:asciiTheme="minorEastAsia" w:hAnsiTheme="minorEastAsia" w:eastAsiaTheme="minorEastAsia" w:cstheme="minorEastAsia"/>
          <w:sz w:val="28"/>
          <w:szCs w:val="28"/>
        </w:rPr>
        <w:t>功法导引 Traditional health Qigong exercise (Daoyin)</w:t>
      </w:r>
    </w:p>
    <w:p w14:paraId="0A36674D">
      <w:pPr>
        <w:pStyle w:val="23"/>
        <w:keepNext w:val="0"/>
        <w:keepLines w:val="0"/>
        <w:pageBreakBefore w:val="0"/>
        <w:kinsoku/>
        <w:wordWrap/>
        <w:overflowPunct/>
        <w:topLinePunct w:val="0"/>
        <w:bidi w:val="0"/>
        <w:spacing w:afterAutospacing="0"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一种以中医“气血理论”与“整体观念”为基础，将呼吸吐纳、心理调节与身体肢体特定对称性动作有机结合的传统中医康复锻炼技术。本指南中特指通过</w:t>
      </w:r>
      <w:r>
        <w:rPr>
          <w:rFonts w:hint="eastAsia" w:asciiTheme="minorEastAsia" w:hAnsiTheme="minorEastAsia" w:eastAsiaTheme="minorEastAsia" w:cstheme="minorEastAsia"/>
          <w:sz w:val="28"/>
          <w:szCs w:val="28"/>
          <w:lang w:val="en-US" w:eastAsia="zh-CN"/>
        </w:rPr>
        <w:t>柔筋衡脊疗法</w:t>
      </w:r>
      <w:r>
        <w:rPr>
          <w:rFonts w:hint="eastAsia" w:asciiTheme="minorEastAsia" w:hAnsiTheme="minorEastAsia" w:eastAsiaTheme="minorEastAsia" w:cstheme="minorEastAsia"/>
          <w:sz w:val="28"/>
          <w:szCs w:val="28"/>
        </w:rPr>
        <w:t>等特定功法动作，重点调理脊柱周围深层核心肌群，纠正不良姿势并增强高原低氧环境下的心肺代偿及呼吸功能。</w:t>
      </w:r>
    </w:p>
    <w:p w14:paraId="00543C31">
      <w:pPr>
        <w:pStyle w:val="23"/>
        <w:keepNext w:val="0"/>
        <w:keepLines w:val="0"/>
        <w:pageBreakBefore w:val="0"/>
        <w:kinsoku/>
        <w:wordWrap/>
        <w:overflowPunct/>
        <w:topLinePunct w:val="0"/>
        <w:bidi w:val="0"/>
        <w:spacing w:afterAutospacing="0" w:line="360" w:lineRule="auto"/>
        <w:ind w:left="0" w:leftChars="0" w:firstLine="0"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2.2.6</w:t>
      </w:r>
      <w:r>
        <w:rPr>
          <w:rFonts w:hint="eastAsia" w:asciiTheme="minorEastAsia" w:hAnsiTheme="minorEastAsia" w:eastAsiaTheme="minorEastAsia" w:cstheme="minorEastAsia"/>
          <w:sz w:val="28"/>
          <w:szCs w:val="28"/>
        </w:rPr>
        <w:t>穴位敷贴 Acupoint application therapy</w:t>
      </w:r>
    </w:p>
    <w:p w14:paraId="3E446512">
      <w:pPr>
        <w:pStyle w:val="6"/>
        <w:keepNext w:val="0"/>
        <w:keepLines w:val="0"/>
        <w:pageBreakBefore w:val="0"/>
        <w:widowControl/>
        <w:suppressLineNumbers w:val="0"/>
        <w:kinsoku/>
        <w:wordWrap/>
        <w:overflowPunct/>
        <w:topLinePunct w:val="0"/>
        <w:bidi w:val="0"/>
        <w:spacing w:before="0" w:beforeAutospacing="0" w:after="0" w:afterAutospacing="0" w:line="360" w:lineRule="auto"/>
        <w:ind w:left="0" w:right="0" w:firstLine="560" w:firstLineChars="200"/>
        <w:textAlignment w:val="auto"/>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根据中医“治未病”及“因地制宜”理论，将特定配伍的具有温阳化瘀、通络止痛功效的中药制成膏摩、药饼或贴剂，固定敷贴于青少年患者体表的特定经络穴位（如大椎、命门及夹脊穴等）上。利用药物透皮吸收和对特定腧穴的持续温热刺激，达到调理偏颇体质（阳虚质、血瘀质）、改善高原高寒引起的局部血气运行不畅之目的。</w:t>
      </w:r>
    </w:p>
    <w:p w14:paraId="7F5EFAFA">
      <w:pPr>
        <w:pStyle w:val="33"/>
        <w:keepNext w:val="0"/>
        <w:keepLines w:val="0"/>
        <w:pageBreakBefore w:val="0"/>
        <w:numPr>
          <w:ilvl w:val="0"/>
          <w:numId w:val="0"/>
        </w:numPr>
        <w:kinsoku/>
        <w:wordWrap/>
        <w:overflowPunct/>
        <w:topLinePunct w:val="0"/>
        <w:bidi w:val="0"/>
        <w:spacing w:before="0" w:after="0" w:afterAutospacing="0" w:line="360" w:lineRule="auto"/>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2.2.7</w:t>
      </w:r>
      <w:r>
        <w:rPr>
          <w:rFonts w:hint="eastAsia" w:asciiTheme="minorEastAsia" w:hAnsiTheme="minorEastAsia" w:eastAsiaTheme="minorEastAsia" w:cstheme="minorEastAsia"/>
          <w:sz w:val="28"/>
          <w:szCs w:val="28"/>
        </w:rPr>
        <w:t>夹脊穴刺法 Needle insertion at Jiaji acupoints</w:t>
      </w:r>
    </w:p>
    <w:p w14:paraId="128D7E6F">
      <w:pPr>
        <w:pStyle w:val="6"/>
        <w:keepNext w:val="0"/>
        <w:keepLines w:val="0"/>
        <w:pageBreakBefore w:val="0"/>
        <w:widowControl/>
        <w:suppressLineNumbers w:val="0"/>
        <w:kinsoku/>
        <w:wordWrap/>
        <w:overflowPunct/>
        <w:topLinePunct w:val="0"/>
        <w:bidi w:val="0"/>
        <w:spacing w:before="0" w:beforeAutospacing="0" w:after="0" w:afterAutospacing="0" w:line="360" w:lineRule="auto"/>
        <w:ind w:left="0" w:right="0" w:firstLine="560" w:firstLineChars="200"/>
        <w:jc w:val="left"/>
        <w:textAlignment w:val="auto"/>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 xml:space="preserve">严格在无菌操作规范下，使用符合国家标准的针灸针，针对脊柱两侧凸侧与凹侧肌张力失衡区域的夹脊穴（位于背部，当第一胸椎至第五腰椎棘突下旁开0.5寸）实施针刺的操作技术。通过特定针刺手法的良性调节，活血通络，从而达到松解凸侧紧张肌群、激活凹侧无力肌群、重建脊柱动态平衡的作用。 </w:t>
      </w:r>
    </w:p>
    <w:p w14:paraId="681BBF58">
      <w:pPr>
        <w:pStyle w:val="33"/>
        <w:keepNext w:val="0"/>
        <w:keepLines w:val="0"/>
        <w:pageBreakBefore w:val="0"/>
        <w:numPr>
          <w:ilvl w:val="0"/>
          <w:numId w:val="0"/>
        </w:numPr>
        <w:kinsoku/>
        <w:wordWrap/>
        <w:overflowPunct/>
        <w:topLinePunct w:val="0"/>
        <w:bidi w:val="0"/>
        <w:spacing w:before="0" w:after="0" w:afterAutospacing="0" w:line="360" w:lineRule="auto"/>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2.2.8辨证选穴（针灸/敷贴） Syndrome differentiation-based acupoint selection</w:t>
      </w:r>
    </w:p>
    <w:p w14:paraId="02C5F4D6">
      <w:pPr>
        <w:pStyle w:val="6"/>
        <w:keepNext w:val="0"/>
        <w:keepLines w:val="0"/>
        <w:pageBreakBefore w:val="0"/>
        <w:widowControl/>
        <w:suppressLineNumbers w:val="0"/>
        <w:kinsoku/>
        <w:wordWrap/>
        <w:overflowPunct/>
        <w:topLinePunct w:val="0"/>
        <w:bidi w:val="0"/>
        <w:spacing w:before="0" w:beforeAutospacing="0" w:after="0" w:afterAutospacing="0" w:line="360" w:lineRule="auto"/>
        <w:ind w:left="0" w:right="0" w:firstLine="560" w:firstLineChars="20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kern w:val="0"/>
          <w:sz w:val="28"/>
          <w:szCs w:val="28"/>
          <w:lang w:val="en-US" w:eastAsia="zh-CN" w:bidi="ar-SA"/>
        </w:rPr>
        <w:t>根据中医辨证施治的核心原则，结合青少年的病变部位（胸椎段、腰椎段等）与高原环境诱发的具体全身证候（如阳虚、血瘀、气虚等），在十四经络和经外奇穴中科学选择主穴、配穴及阿是穴的临床操作方法。它是实现青少年脊柱侧弯中医药个体化精准干预的关键步骤。</w:t>
      </w:r>
    </w:p>
    <w:p w14:paraId="127B3AC3">
      <w:pPr>
        <w:pStyle w:val="23"/>
        <w:keepNext w:val="0"/>
        <w:keepLines w:val="0"/>
        <w:pageBreakBefore w:val="0"/>
        <w:kinsoku/>
        <w:wordWrap/>
        <w:overflowPunct/>
        <w:topLinePunct w:val="0"/>
        <w:bidi w:val="0"/>
        <w:spacing w:afterAutospacing="0"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bidi="ar-SA"/>
        </w:rPr>
        <w:t>开展中国西部高原地区青少年脊柱侧弯预防筛查、中医临床干预与疗效评估的操作人员，必须同时具备以下执业资质与专业条件：</w:t>
      </w:r>
    </w:p>
    <w:p w14:paraId="5BCA34A0">
      <w:pPr>
        <w:pStyle w:val="36"/>
        <w:keepNext w:val="0"/>
        <w:keepLines w:val="0"/>
        <w:pageBreakBefore w:val="0"/>
        <w:numPr>
          <w:ilvl w:val="0"/>
          <w:numId w:val="7"/>
        </w:numPr>
        <w:kinsoku/>
        <w:wordWrap/>
        <w:overflowPunct/>
        <w:topLinePunct w:val="0"/>
        <w:bidi w:val="0"/>
        <w:spacing w:before="0" w:after="0" w:afterAutospacing="0" w:line="360" w:lineRule="auto"/>
        <w:ind w:left="0" w:leftChars="0"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执业资格：必须持有有效的《医师执业证书》，执业范围为中医类别（中医骨伤、针灸推拿、中医康复等专业）或临床类别（脊柱外科、儿科、康复医学科专业），且在具备相应资质的医疗机构内注册执业。</w:t>
      </w:r>
    </w:p>
    <w:p w14:paraId="71C57437">
      <w:pPr>
        <w:pStyle w:val="36"/>
        <w:keepNext w:val="0"/>
        <w:keepLines w:val="0"/>
        <w:pageBreakBefore w:val="0"/>
        <w:numPr>
          <w:ilvl w:val="0"/>
          <w:numId w:val="7"/>
        </w:numPr>
        <w:kinsoku/>
        <w:wordWrap/>
        <w:overflowPunct/>
        <w:topLinePunct w:val="0"/>
        <w:bidi w:val="0"/>
        <w:spacing w:before="0" w:after="0" w:afterAutospacing="0" w:line="360" w:lineRule="auto"/>
        <w:ind w:left="0" w:leftChars="0"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专业职称： 独立开展筛查与初级干预者：应具备中医学、临床医学或康复医学助理医师及以上职称。</w:t>
      </w:r>
    </w:p>
    <w:p w14:paraId="7EE68B85">
      <w:pPr>
        <w:pStyle w:val="36"/>
        <w:keepNext w:val="0"/>
        <w:keepLines w:val="0"/>
        <w:pageBreakBefore w:val="0"/>
        <w:numPr>
          <w:ilvl w:val="0"/>
          <w:numId w:val="7"/>
        </w:numPr>
        <w:kinsoku/>
        <w:wordWrap/>
        <w:overflowPunct/>
        <w:topLinePunct w:val="0"/>
        <w:bidi w:val="0"/>
        <w:spacing w:before="0" w:after="0" w:afterAutospacing="0" w:line="360" w:lineRule="auto"/>
        <w:ind w:left="0" w:leftChars="0"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独立实施手法整脊等高风险外治技术者：必须具备主治医师及以上职称。住院医师必须在主治医师及以上职称医师的现场指导下方可参与协助操作。 </w:t>
      </w:r>
    </w:p>
    <w:p w14:paraId="4427C421">
      <w:pPr>
        <w:pStyle w:val="36"/>
        <w:keepNext w:val="0"/>
        <w:keepLines w:val="0"/>
        <w:pageBreakBefore w:val="0"/>
        <w:numPr>
          <w:ilvl w:val="0"/>
          <w:numId w:val="7"/>
        </w:numPr>
        <w:kinsoku/>
        <w:wordWrap/>
        <w:overflowPunct/>
        <w:topLinePunct w:val="0"/>
        <w:bidi w:val="0"/>
        <w:spacing w:before="0" w:after="0" w:afterAutospacing="0" w:line="360" w:lineRule="auto"/>
        <w:ind w:left="0" w:leftChars="0"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专项培训：</w:t>
      </w:r>
      <w:r>
        <w:rPr>
          <w:rFonts w:hint="eastAsia" w:asciiTheme="minorEastAsia" w:hAnsiTheme="minorEastAsia" w:eastAsiaTheme="minorEastAsia" w:cstheme="minorEastAsia"/>
          <w:sz w:val="28"/>
          <w:szCs w:val="28"/>
          <w:lang w:val="en-US" w:eastAsia="zh-CN"/>
        </w:rPr>
        <w:t>有操作人员必须完成“区域青少年脊柱侧弯中西医协同防治专项培训”（总学时≥40学时，其中高原环境发病机制与筛查规范16学时、中医适宜技术实操24学时），考核合格并取得由省级及以上归口管理单位或行业学会颁发的培训合格证书。</w:t>
      </w:r>
    </w:p>
    <w:p w14:paraId="5C781E77">
      <w:pPr>
        <w:pStyle w:val="36"/>
        <w:keepNext w:val="0"/>
        <w:keepLines w:val="0"/>
        <w:pageBreakBefore w:val="0"/>
        <w:numPr>
          <w:ilvl w:val="0"/>
          <w:numId w:val="7"/>
        </w:numPr>
        <w:kinsoku/>
        <w:wordWrap/>
        <w:overflowPunct/>
        <w:topLinePunct w:val="0"/>
        <w:bidi w:val="0"/>
        <w:spacing w:before="0" w:after="0" w:afterAutospacing="0" w:line="360" w:lineRule="auto"/>
        <w:ind w:left="0" w:leftChars="0"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实操经验：在独立开展手法整脊、针灸及中西医结合综合干预前，需在指导老师监督下，作为主要操作者完成≥15例青少年脊柱侧弯患者的完整诊疗或康复流程，且无不良事件记录</w:t>
      </w:r>
    </w:p>
    <w:p w14:paraId="53CB5C91">
      <w:pPr>
        <w:pStyle w:val="35"/>
        <w:keepNext w:val="0"/>
        <w:keepLines w:val="0"/>
        <w:pageBreakBefore w:val="0"/>
        <w:numPr>
          <w:ilvl w:val="0"/>
          <w:numId w:val="0"/>
        </w:numPr>
        <w:kinsoku/>
        <w:wordWrap/>
        <w:overflowPunct/>
        <w:topLinePunct w:val="0"/>
        <w:bidi w:val="0"/>
        <w:spacing w:before="0" w:after="0" w:afterAutospacing="0" w:line="360" w:lineRule="auto"/>
        <w:textAlignment w:val="auto"/>
        <w:rPr>
          <w:rFonts w:hint="eastAsia" w:asciiTheme="minorEastAsia" w:hAnsiTheme="minorEastAsia" w:eastAsiaTheme="minorEastAsia" w:cstheme="minorEastAsia"/>
          <w:sz w:val="28"/>
          <w:szCs w:val="28"/>
        </w:rPr>
      </w:pPr>
      <w:bookmarkStart w:id="3" w:name="_Toc208503226"/>
      <w:r>
        <w:rPr>
          <w:rFonts w:hint="eastAsia" w:asciiTheme="minorEastAsia" w:hAnsiTheme="minorEastAsia" w:eastAsiaTheme="minorEastAsia" w:cstheme="minorEastAsia"/>
          <w:sz w:val="28"/>
          <w:szCs w:val="28"/>
          <w:lang w:val="en-US" w:eastAsia="zh-CN"/>
        </w:rPr>
        <w:t>3.2</w:t>
      </w:r>
      <w:r>
        <w:rPr>
          <w:rFonts w:hint="eastAsia" w:asciiTheme="minorEastAsia" w:hAnsiTheme="minorEastAsia" w:eastAsiaTheme="minorEastAsia" w:cstheme="minorEastAsia"/>
          <w:sz w:val="28"/>
          <w:szCs w:val="28"/>
        </w:rPr>
        <w:t>技能要求</w:t>
      </w:r>
      <w:bookmarkEnd w:id="3"/>
    </w:p>
    <w:p w14:paraId="06DCF8A2">
      <w:pPr>
        <w:pStyle w:val="23"/>
        <w:keepNext w:val="0"/>
        <w:keepLines w:val="0"/>
        <w:pageBreakBefore w:val="0"/>
        <w:kinsoku/>
        <w:wordWrap/>
        <w:overflowPunct/>
        <w:topLinePunct w:val="0"/>
        <w:bidi w:val="0"/>
        <w:spacing w:afterAutospacing="0"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操作人员需熟练掌握以下技能，确保操作安全与疗效：</w:t>
      </w:r>
    </w:p>
    <w:p w14:paraId="5035AA07">
      <w:pPr>
        <w:pStyle w:val="35"/>
        <w:keepNext w:val="0"/>
        <w:keepLines w:val="0"/>
        <w:pageBreakBefore w:val="0"/>
        <w:numPr>
          <w:ilvl w:val="0"/>
          <w:numId w:val="0"/>
        </w:numPr>
        <w:kinsoku/>
        <w:wordWrap/>
        <w:overflowPunct/>
        <w:topLinePunct w:val="0"/>
        <w:bidi w:val="0"/>
        <w:spacing w:before="0" w:after="0" w:afterAutospacing="0" w:line="360" w:lineRule="auto"/>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 xml:space="preserve">3.2.1  </w:t>
      </w:r>
      <w:r>
        <w:rPr>
          <w:rFonts w:hint="eastAsia" w:asciiTheme="minorEastAsia" w:hAnsiTheme="minorEastAsia" w:eastAsiaTheme="minorEastAsia" w:cstheme="minorEastAsia"/>
          <w:sz w:val="28"/>
          <w:szCs w:val="28"/>
        </w:rPr>
        <w:t>预防筛查技能</w:t>
      </w:r>
    </w:p>
    <w:p w14:paraId="430CB91E">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firstLine="560" w:firstLineChars="20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物理筛查准确度：操作人员必须 100% 熟练掌握 WS/T 790—2021 规定的筛查动作</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其中一检</w:t>
      </w:r>
      <w:r>
        <w:rPr>
          <w:rFonts w:hint="eastAsia" w:asciiTheme="minorEastAsia" w:hAnsiTheme="minorEastAsia" w:eastAsiaTheme="minorEastAsia" w:cstheme="minorEastAsia"/>
          <w:sz w:val="28"/>
          <w:szCs w:val="28"/>
        </w:rPr>
        <w:t>筛查内容</w:t>
      </w:r>
      <w:r>
        <w:rPr>
          <w:rFonts w:hint="eastAsia" w:asciiTheme="minorEastAsia" w:hAnsiTheme="minorEastAsia" w:eastAsiaTheme="minorEastAsia" w:cstheme="minorEastAsia"/>
          <w:sz w:val="28"/>
          <w:szCs w:val="28"/>
          <w:lang w:val="en-US" w:eastAsia="zh-CN"/>
        </w:rPr>
        <w:t>包括：</w:t>
      </w:r>
      <w:r>
        <w:rPr>
          <w:rFonts w:hint="eastAsia" w:asciiTheme="minorEastAsia" w:hAnsiTheme="minorEastAsia" w:eastAsiaTheme="minorEastAsia" w:cstheme="minorEastAsia"/>
          <w:sz w:val="28"/>
          <w:szCs w:val="28"/>
        </w:rPr>
        <w:t>体态观察</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明显肩胛骨不对称</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骨盆倾斜</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Adams前屈试验</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二检筛查包括：</w:t>
      </w:r>
      <w:r>
        <w:rPr>
          <w:rFonts w:hint="eastAsia" w:asciiTheme="minorEastAsia" w:hAnsiTheme="minorEastAsia" w:eastAsiaTheme="minorEastAsia" w:cstheme="minorEastAsia"/>
          <w:sz w:val="28"/>
          <w:szCs w:val="28"/>
        </w:rPr>
        <w:t>躯干旋转角（ATR）≥5°；</w:t>
      </w:r>
      <w:r>
        <w:rPr>
          <w:rFonts w:hint="eastAsia" w:asciiTheme="minorEastAsia" w:hAnsiTheme="minorEastAsia" w:eastAsiaTheme="minorEastAsia" w:cstheme="minorEastAsia"/>
          <w:sz w:val="28"/>
          <w:szCs w:val="28"/>
          <w:lang w:val="en-US" w:eastAsia="zh-CN"/>
        </w:rPr>
        <w:t>三检</w:t>
      </w:r>
      <w:r>
        <w:rPr>
          <w:rFonts w:hint="eastAsia" w:asciiTheme="minorEastAsia" w:hAnsiTheme="minorEastAsia" w:eastAsiaTheme="minorEastAsia" w:cstheme="minorEastAsia"/>
          <w:sz w:val="28"/>
          <w:szCs w:val="28"/>
        </w:rPr>
        <w:t>影像学</w:t>
      </w:r>
      <w:r>
        <w:rPr>
          <w:rFonts w:hint="eastAsia" w:asciiTheme="minorEastAsia" w:hAnsiTheme="minorEastAsia" w:eastAsiaTheme="minorEastAsia" w:cstheme="minorEastAsia"/>
          <w:sz w:val="28"/>
          <w:szCs w:val="28"/>
          <w:lang w:val="en-US" w:eastAsia="zh-CN"/>
        </w:rPr>
        <w:t>筛查：</w:t>
      </w:r>
      <w:r>
        <w:rPr>
          <w:rFonts w:hint="eastAsia" w:asciiTheme="minorEastAsia" w:hAnsiTheme="minorEastAsia" w:eastAsiaTheme="minorEastAsia" w:cstheme="minorEastAsia"/>
          <w:sz w:val="28"/>
          <w:szCs w:val="28"/>
        </w:rPr>
        <w:t>站立位全脊柱X线片</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并依据Cobb角进行分组：</w:t>
      </w:r>
      <w:r>
        <w:rPr>
          <w:rFonts w:hint="eastAsia" w:asciiTheme="minorEastAsia" w:hAnsiTheme="minorEastAsia" w:eastAsiaTheme="minorEastAsia" w:cstheme="minorEastAsia"/>
          <w:sz w:val="28"/>
          <w:szCs w:val="28"/>
        </w:rPr>
        <w:t>轻度：10°～20°</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中度：21°～40°重度：＞40°</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熟练使用</w:t>
      </w:r>
      <w:r>
        <w:rPr>
          <w:rFonts w:hint="eastAsia" w:asciiTheme="minorEastAsia" w:hAnsiTheme="minorEastAsia" w:eastAsiaTheme="minorEastAsia" w:cstheme="minorEastAsia"/>
          <w:sz w:val="28"/>
          <w:szCs w:val="28"/>
          <w:lang w:val="en-US" w:eastAsia="zh-CN"/>
        </w:rPr>
        <w:t>脊柱测量仪</w:t>
      </w:r>
      <w:r>
        <w:rPr>
          <w:rFonts w:hint="eastAsia" w:asciiTheme="minorEastAsia" w:hAnsiTheme="minorEastAsia" w:eastAsiaTheme="minorEastAsia" w:cstheme="minorEastAsia"/>
          <w:sz w:val="28"/>
          <w:szCs w:val="28"/>
        </w:rPr>
        <w:t>测量仪，对 Adams 前屈试验中的双侧背部不对称高度进行精准读数，误差控制在±</w:t>
      </w: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rPr>
        <w:t>以内。</w:t>
      </w:r>
    </w:p>
    <w:p w14:paraId="771909D3">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firstLine="560" w:firstLineChars="20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风险评估能力：能精准识别并量化记录“高原环境风险因子清单”指标（准确采集受试青少年每日户外日照时长、书写坐姿习惯、抗寒缩胸行为频次等）。</w:t>
      </w:r>
    </w:p>
    <w:p w14:paraId="4444BC17">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firstLine="560" w:firstLineChars="20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3</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体质辨识规范度：熟练运用《中医体质分类与判定》标准，通过量化表对青少年进行阳虚质、血瘀质等</w:t>
      </w:r>
      <w:r>
        <w:rPr>
          <w:rFonts w:hint="eastAsia" w:asciiTheme="minorEastAsia" w:hAnsiTheme="minorEastAsia" w:eastAsiaTheme="minorEastAsia" w:cstheme="minorEastAsia"/>
          <w:sz w:val="28"/>
          <w:szCs w:val="28"/>
          <w:lang w:val="en-US" w:eastAsia="zh-CN"/>
        </w:rPr>
        <w:t>九种</w:t>
      </w:r>
      <w:r>
        <w:rPr>
          <w:rFonts w:hint="eastAsia" w:asciiTheme="minorEastAsia" w:hAnsiTheme="minorEastAsia" w:eastAsiaTheme="minorEastAsia" w:cstheme="minorEastAsia"/>
          <w:sz w:val="28"/>
          <w:szCs w:val="28"/>
        </w:rPr>
        <w:t>体质的判定，辨识准确率</w:t>
      </w:r>
      <w:r>
        <w:rPr>
          <w:rFonts w:hint="eastAsia" w:asciiTheme="minorEastAsia" w:hAnsiTheme="minorEastAsia" w:eastAsiaTheme="minorEastAsia" w:cstheme="minorEastAsia"/>
          <w:sz w:val="28"/>
          <w:szCs w:val="28"/>
          <w:lang w:val="en-US" w:eastAsia="zh-CN"/>
        </w:rPr>
        <w:t>≥90%，见表1</w:t>
      </w:r>
      <w:r>
        <w:rPr>
          <w:rFonts w:hint="eastAsia" w:asciiTheme="minorEastAsia" w:hAnsiTheme="minorEastAsia" w:eastAsiaTheme="minorEastAsia" w:cstheme="minorEastAsia"/>
          <w:sz w:val="28"/>
          <w:szCs w:val="28"/>
        </w:rPr>
        <w:t>。</w:t>
      </w:r>
    </w:p>
    <w:p w14:paraId="09F4DBAF">
      <w:pPr>
        <w:pStyle w:val="37"/>
        <w:keepNext w:val="0"/>
        <w:keepLines w:val="0"/>
        <w:pageBreakBefore w:val="0"/>
        <w:numPr>
          <w:ilvl w:val="0"/>
          <w:numId w:val="4"/>
        </w:numPr>
        <w:kinsoku/>
        <w:wordWrap/>
        <w:overflowPunct/>
        <w:topLinePunct w:val="0"/>
        <w:bidi w:val="0"/>
        <w:spacing w:before="0" w:after="0" w:afterAutospacing="0" w:line="360" w:lineRule="auto"/>
        <w:ind w:firstLine="420" w:firstLineChars="200"/>
        <w:jc w:val="center"/>
      </w:pPr>
      <w:r>
        <w:rPr>
          <w:lang w:val="en-US" w:eastAsia="zh-CN"/>
        </w:rPr>
        <w:t>体质判定标准</w:t>
      </w:r>
    </w:p>
    <w:tbl>
      <w:tblPr>
        <w:tblStyle w:val="8"/>
        <w:tblW w:w="7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6"/>
        <w:gridCol w:w="3992"/>
        <w:gridCol w:w="2415"/>
      </w:tblGrid>
      <w:tr w14:paraId="40E89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1166" w:type="dxa"/>
            <w:tcBorders>
              <w:top w:val="single" w:color="000000" w:sz="8" w:space="0"/>
              <w:left w:val="nil"/>
              <w:bottom w:val="single" w:color="000000" w:sz="8" w:space="0"/>
              <w:right w:val="nil"/>
            </w:tcBorders>
            <w:vAlign w:val="center"/>
          </w:tcPr>
          <w:p w14:paraId="353DB4D2">
            <w:pPr>
              <w:pStyle w:val="38"/>
              <w:keepNext w:val="0"/>
              <w:keepLines w:val="0"/>
              <w:pageBreakBefore w:val="0"/>
              <w:widowControl/>
              <w:kinsoku/>
              <w:wordWrap/>
              <w:overflowPunct/>
              <w:topLinePunct w:val="0"/>
              <w:bidi w:val="0"/>
              <w:spacing w:afterAutospacing="0" w:line="360" w:lineRule="auto"/>
              <w:ind w:firstLine="360" w:firstLineChars="200"/>
              <w:rPr>
                <w:kern w:val="0"/>
                <w:szCs w:val="20"/>
              </w:rPr>
            </w:pPr>
            <w:r>
              <w:rPr>
                <w:kern w:val="0"/>
                <w:szCs w:val="20"/>
              </w:rPr>
              <w:t>体质类型</w:t>
            </w:r>
          </w:p>
        </w:tc>
        <w:tc>
          <w:tcPr>
            <w:tcW w:w="3992" w:type="dxa"/>
            <w:tcBorders>
              <w:top w:val="single" w:color="000000" w:sz="8" w:space="0"/>
              <w:left w:val="nil"/>
              <w:bottom w:val="single" w:color="000000" w:sz="8" w:space="0"/>
              <w:right w:val="nil"/>
            </w:tcBorders>
            <w:vAlign w:val="center"/>
          </w:tcPr>
          <w:p w14:paraId="2EDB79CB">
            <w:pPr>
              <w:pStyle w:val="38"/>
              <w:keepNext w:val="0"/>
              <w:keepLines w:val="0"/>
              <w:pageBreakBefore w:val="0"/>
              <w:widowControl/>
              <w:kinsoku/>
              <w:wordWrap/>
              <w:overflowPunct/>
              <w:topLinePunct w:val="0"/>
              <w:bidi w:val="0"/>
              <w:spacing w:afterAutospacing="0" w:line="360" w:lineRule="auto"/>
              <w:ind w:firstLine="360" w:firstLineChars="200"/>
              <w:rPr>
                <w:kern w:val="0"/>
                <w:szCs w:val="20"/>
              </w:rPr>
            </w:pPr>
            <w:r>
              <w:rPr>
                <w:kern w:val="0"/>
                <w:szCs w:val="20"/>
              </w:rPr>
              <w:t>条件</w:t>
            </w:r>
          </w:p>
        </w:tc>
        <w:tc>
          <w:tcPr>
            <w:tcW w:w="2415" w:type="dxa"/>
            <w:tcBorders>
              <w:top w:val="single" w:color="000000" w:sz="8" w:space="0"/>
              <w:left w:val="nil"/>
              <w:bottom w:val="single" w:color="000000" w:sz="8" w:space="0"/>
              <w:right w:val="nil"/>
            </w:tcBorders>
            <w:vAlign w:val="center"/>
          </w:tcPr>
          <w:p w14:paraId="4C3F42D2">
            <w:pPr>
              <w:pStyle w:val="38"/>
              <w:keepNext w:val="0"/>
              <w:keepLines w:val="0"/>
              <w:pageBreakBefore w:val="0"/>
              <w:widowControl/>
              <w:kinsoku/>
              <w:wordWrap/>
              <w:overflowPunct/>
              <w:topLinePunct w:val="0"/>
              <w:bidi w:val="0"/>
              <w:spacing w:afterAutospacing="0" w:line="360" w:lineRule="auto"/>
              <w:ind w:firstLine="360" w:firstLineChars="200"/>
              <w:rPr>
                <w:kern w:val="0"/>
                <w:szCs w:val="20"/>
              </w:rPr>
            </w:pPr>
            <w:r>
              <w:rPr>
                <w:kern w:val="0"/>
                <w:szCs w:val="20"/>
              </w:rPr>
              <w:t>判定结果</w:t>
            </w:r>
          </w:p>
        </w:tc>
      </w:tr>
      <w:tr w14:paraId="732C7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1166" w:type="dxa"/>
            <w:vMerge w:val="restart"/>
            <w:tcBorders>
              <w:top w:val="single" w:color="000000" w:sz="8" w:space="0"/>
              <w:left w:val="nil"/>
              <w:bottom w:val="nil"/>
              <w:right w:val="nil"/>
            </w:tcBorders>
            <w:vAlign w:val="center"/>
          </w:tcPr>
          <w:p w14:paraId="0C1A80C2">
            <w:pPr>
              <w:pStyle w:val="38"/>
              <w:keepNext w:val="0"/>
              <w:keepLines w:val="0"/>
              <w:pageBreakBefore w:val="0"/>
              <w:widowControl/>
              <w:kinsoku/>
              <w:wordWrap/>
              <w:overflowPunct/>
              <w:topLinePunct w:val="0"/>
              <w:bidi w:val="0"/>
              <w:spacing w:afterAutospacing="0" w:line="360" w:lineRule="auto"/>
              <w:ind w:firstLine="360" w:firstLineChars="200"/>
              <w:rPr>
                <w:kern w:val="0"/>
                <w:szCs w:val="20"/>
              </w:rPr>
            </w:pPr>
            <w:r>
              <w:rPr>
                <w:kern w:val="0"/>
                <w:szCs w:val="20"/>
              </w:rPr>
              <w:t>平和质</w:t>
            </w:r>
          </w:p>
        </w:tc>
        <w:tc>
          <w:tcPr>
            <w:tcW w:w="3992" w:type="dxa"/>
            <w:tcBorders>
              <w:top w:val="single" w:color="000000" w:sz="8" w:space="0"/>
              <w:left w:val="nil"/>
              <w:bottom w:val="nil"/>
              <w:right w:val="nil"/>
            </w:tcBorders>
            <w:vAlign w:val="center"/>
          </w:tcPr>
          <w:p w14:paraId="0F7F58D6">
            <w:pPr>
              <w:pStyle w:val="38"/>
              <w:keepNext w:val="0"/>
              <w:keepLines w:val="0"/>
              <w:pageBreakBefore w:val="0"/>
              <w:widowControl/>
              <w:kinsoku/>
              <w:wordWrap/>
              <w:overflowPunct/>
              <w:topLinePunct w:val="0"/>
              <w:bidi w:val="0"/>
              <w:spacing w:afterAutospacing="0" w:line="360" w:lineRule="auto"/>
              <w:ind w:firstLine="360" w:firstLineChars="200"/>
              <w:rPr>
                <w:kern w:val="0"/>
                <w:szCs w:val="20"/>
              </w:rPr>
            </w:pPr>
            <w:r>
              <w:rPr>
                <w:kern w:val="0"/>
                <w:szCs w:val="20"/>
              </w:rPr>
              <w:t>转化分</w:t>
            </w:r>
            <w:r>
              <w:rPr>
                <w:rFonts w:ascii="Symbol" w:hAnsi="Symbol" w:eastAsia="Symbol" w:cs="Symbol"/>
                <w:kern w:val="0"/>
                <w:szCs w:val="20"/>
              </w:rPr>
              <w:sym w:font="Symbol" w:char="F0B3"/>
            </w:r>
            <w:r>
              <w:rPr>
                <w:kern w:val="0"/>
                <w:szCs w:val="20"/>
              </w:rPr>
              <w:t>60分</w:t>
            </w:r>
          </w:p>
        </w:tc>
        <w:tc>
          <w:tcPr>
            <w:tcW w:w="2415" w:type="dxa"/>
            <w:vMerge w:val="restart"/>
            <w:tcBorders>
              <w:top w:val="single" w:color="000000" w:sz="8" w:space="0"/>
              <w:left w:val="nil"/>
              <w:bottom w:val="nil"/>
              <w:right w:val="nil"/>
            </w:tcBorders>
            <w:vAlign w:val="center"/>
          </w:tcPr>
          <w:p w14:paraId="3A2F8BF9">
            <w:pPr>
              <w:pStyle w:val="38"/>
              <w:keepNext w:val="0"/>
              <w:keepLines w:val="0"/>
              <w:pageBreakBefore w:val="0"/>
              <w:widowControl/>
              <w:kinsoku/>
              <w:wordWrap/>
              <w:overflowPunct/>
              <w:topLinePunct w:val="0"/>
              <w:bidi w:val="0"/>
              <w:spacing w:afterAutospacing="0" w:line="360" w:lineRule="auto"/>
              <w:ind w:firstLine="360" w:firstLineChars="200"/>
              <w:rPr>
                <w:kern w:val="0"/>
                <w:szCs w:val="20"/>
              </w:rPr>
            </w:pPr>
            <w:r>
              <w:rPr>
                <w:kern w:val="0"/>
                <w:szCs w:val="20"/>
              </w:rPr>
              <w:t>是</w:t>
            </w:r>
          </w:p>
        </w:tc>
      </w:tr>
      <w:tr w14:paraId="20150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166" w:type="dxa"/>
            <w:vMerge w:val="continue"/>
            <w:tcBorders>
              <w:top w:val="nil"/>
              <w:left w:val="nil"/>
              <w:bottom w:val="nil"/>
              <w:right w:val="nil"/>
            </w:tcBorders>
            <w:vAlign w:val="center"/>
          </w:tcPr>
          <w:p w14:paraId="57E680E7">
            <w:pPr>
              <w:pStyle w:val="38"/>
              <w:keepNext w:val="0"/>
              <w:keepLines w:val="0"/>
              <w:pageBreakBefore w:val="0"/>
              <w:widowControl/>
              <w:kinsoku/>
              <w:wordWrap/>
              <w:overflowPunct/>
              <w:topLinePunct w:val="0"/>
              <w:bidi w:val="0"/>
              <w:spacing w:afterAutospacing="0" w:line="360" w:lineRule="auto"/>
              <w:ind w:firstLine="360" w:firstLineChars="200"/>
              <w:rPr>
                <w:kern w:val="0"/>
                <w:szCs w:val="20"/>
              </w:rPr>
            </w:pPr>
          </w:p>
        </w:tc>
        <w:tc>
          <w:tcPr>
            <w:tcW w:w="3992" w:type="dxa"/>
            <w:tcBorders>
              <w:top w:val="nil"/>
              <w:left w:val="nil"/>
              <w:bottom w:val="nil"/>
              <w:right w:val="nil"/>
            </w:tcBorders>
            <w:vAlign w:val="center"/>
          </w:tcPr>
          <w:p w14:paraId="786509F2">
            <w:pPr>
              <w:pStyle w:val="38"/>
              <w:keepNext w:val="0"/>
              <w:keepLines w:val="0"/>
              <w:pageBreakBefore w:val="0"/>
              <w:widowControl/>
              <w:kinsoku/>
              <w:wordWrap/>
              <w:overflowPunct/>
              <w:topLinePunct w:val="0"/>
              <w:bidi w:val="0"/>
              <w:spacing w:afterAutospacing="0" w:line="360" w:lineRule="auto"/>
              <w:ind w:firstLine="360" w:firstLineChars="200"/>
              <w:rPr>
                <w:kern w:val="0"/>
                <w:szCs w:val="20"/>
              </w:rPr>
            </w:pPr>
            <w:r>
              <w:rPr>
                <w:kern w:val="0"/>
                <w:szCs w:val="20"/>
              </w:rPr>
              <w:t>其他八种体质转化分均＜30分</w:t>
            </w:r>
          </w:p>
        </w:tc>
        <w:tc>
          <w:tcPr>
            <w:tcW w:w="2415" w:type="dxa"/>
            <w:vMerge w:val="continue"/>
            <w:tcBorders>
              <w:top w:val="nil"/>
              <w:left w:val="nil"/>
              <w:bottom w:val="nil"/>
              <w:right w:val="nil"/>
            </w:tcBorders>
            <w:vAlign w:val="center"/>
          </w:tcPr>
          <w:p w14:paraId="79B9797C">
            <w:pPr>
              <w:pStyle w:val="38"/>
              <w:keepNext w:val="0"/>
              <w:keepLines w:val="0"/>
              <w:pageBreakBefore w:val="0"/>
              <w:widowControl/>
              <w:kinsoku/>
              <w:wordWrap/>
              <w:overflowPunct/>
              <w:topLinePunct w:val="0"/>
              <w:bidi w:val="0"/>
              <w:spacing w:afterAutospacing="0" w:line="360" w:lineRule="auto"/>
              <w:ind w:firstLine="360" w:firstLineChars="200"/>
              <w:rPr>
                <w:kern w:val="0"/>
                <w:szCs w:val="20"/>
              </w:rPr>
            </w:pPr>
          </w:p>
        </w:tc>
      </w:tr>
      <w:tr w14:paraId="4929D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166" w:type="dxa"/>
            <w:vMerge w:val="continue"/>
            <w:tcBorders>
              <w:top w:val="nil"/>
              <w:left w:val="nil"/>
              <w:bottom w:val="nil"/>
              <w:right w:val="nil"/>
            </w:tcBorders>
            <w:vAlign w:val="center"/>
          </w:tcPr>
          <w:p w14:paraId="4E23D862">
            <w:pPr>
              <w:pStyle w:val="38"/>
              <w:keepNext w:val="0"/>
              <w:keepLines w:val="0"/>
              <w:pageBreakBefore w:val="0"/>
              <w:widowControl/>
              <w:kinsoku/>
              <w:wordWrap/>
              <w:overflowPunct/>
              <w:topLinePunct w:val="0"/>
              <w:bidi w:val="0"/>
              <w:spacing w:afterAutospacing="0" w:line="360" w:lineRule="auto"/>
              <w:ind w:firstLine="360" w:firstLineChars="200"/>
              <w:rPr>
                <w:kern w:val="0"/>
                <w:szCs w:val="20"/>
              </w:rPr>
            </w:pPr>
          </w:p>
        </w:tc>
        <w:tc>
          <w:tcPr>
            <w:tcW w:w="3992" w:type="dxa"/>
            <w:tcBorders>
              <w:top w:val="nil"/>
              <w:left w:val="nil"/>
              <w:bottom w:val="nil"/>
              <w:right w:val="nil"/>
            </w:tcBorders>
            <w:vAlign w:val="center"/>
          </w:tcPr>
          <w:p w14:paraId="2AE51D30">
            <w:pPr>
              <w:pStyle w:val="38"/>
              <w:keepNext w:val="0"/>
              <w:keepLines w:val="0"/>
              <w:pageBreakBefore w:val="0"/>
              <w:widowControl/>
              <w:kinsoku/>
              <w:wordWrap/>
              <w:overflowPunct/>
              <w:topLinePunct w:val="0"/>
              <w:bidi w:val="0"/>
              <w:spacing w:afterAutospacing="0" w:line="360" w:lineRule="auto"/>
              <w:ind w:firstLine="360" w:firstLineChars="200"/>
              <w:rPr>
                <w:kern w:val="0"/>
                <w:szCs w:val="20"/>
              </w:rPr>
            </w:pPr>
            <w:r>
              <w:rPr>
                <w:kern w:val="0"/>
                <w:szCs w:val="20"/>
              </w:rPr>
              <w:t>转化分</w:t>
            </w:r>
            <w:r>
              <w:rPr>
                <w:rFonts w:ascii="Symbol" w:hAnsi="Symbol" w:eastAsia="Symbol" w:cs="Symbol"/>
                <w:kern w:val="0"/>
                <w:szCs w:val="20"/>
              </w:rPr>
              <w:sym w:font="Symbol" w:char="F0B3"/>
            </w:r>
            <w:r>
              <w:rPr>
                <w:kern w:val="0"/>
                <w:szCs w:val="20"/>
              </w:rPr>
              <w:t>60分</w:t>
            </w:r>
          </w:p>
        </w:tc>
        <w:tc>
          <w:tcPr>
            <w:tcW w:w="2415" w:type="dxa"/>
            <w:vMerge w:val="restart"/>
            <w:tcBorders>
              <w:top w:val="nil"/>
              <w:left w:val="nil"/>
              <w:bottom w:val="nil"/>
              <w:right w:val="nil"/>
            </w:tcBorders>
            <w:vAlign w:val="center"/>
          </w:tcPr>
          <w:p w14:paraId="2B6C358F">
            <w:pPr>
              <w:pStyle w:val="38"/>
              <w:keepNext w:val="0"/>
              <w:keepLines w:val="0"/>
              <w:pageBreakBefore w:val="0"/>
              <w:widowControl/>
              <w:kinsoku/>
              <w:wordWrap/>
              <w:overflowPunct/>
              <w:topLinePunct w:val="0"/>
              <w:bidi w:val="0"/>
              <w:spacing w:afterAutospacing="0" w:line="360" w:lineRule="auto"/>
              <w:ind w:firstLine="360" w:firstLineChars="200"/>
              <w:rPr>
                <w:kern w:val="0"/>
                <w:szCs w:val="20"/>
              </w:rPr>
            </w:pPr>
            <w:r>
              <w:rPr>
                <w:kern w:val="0"/>
                <w:szCs w:val="20"/>
              </w:rPr>
              <w:t>基本是</w:t>
            </w:r>
          </w:p>
        </w:tc>
      </w:tr>
      <w:tr w14:paraId="5222E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166" w:type="dxa"/>
            <w:vMerge w:val="continue"/>
            <w:tcBorders>
              <w:top w:val="nil"/>
              <w:left w:val="nil"/>
              <w:bottom w:val="nil"/>
              <w:right w:val="nil"/>
            </w:tcBorders>
            <w:vAlign w:val="center"/>
          </w:tcPr>
          <w:p w14:paraId="341BE272">
            <w:pPr>
              <w:pStyle w:val="38"/>
              <w:keepNext w:val="0"/>
              <w:keepLines w:val="0"/>
              <w:pageBreakBefore w:val="0"/>
              <w:widowControl/>
              <w:kinsoku/>
              <w:wordWrap/>
              <w:overflowPunct/>
              <w:topLinePunct w:val="0"/>
              <w:bidi w:val="0"/>
              <w:spacing w:afterAutospacing="0" w:line="360" w:lineRule="auto"/>
              <w:ind w:firstLine="360" w:firstLineChars="200"/>
              <w:rPr>
                <w:kern w:val="0"/>
                <w:szCs w:val="20"/>
              </w:rPr>
            </w:pPr>
          </w:p>
        </w:tc>
        <w:tc>
          <w:tcPr>
            <w:tcW w:w="3992" w:type="dxa"/>
            <w:tcBorders>
              <w:top w:val="nil"/>
              <w:left w:val="nil"/>
              <w:bottom w:val="nil"/>
              <w:right w:val="nil"/>
            </w:tcBorders>
            <w:vAlign w:val="center"/>
          </w:tcPr>
          <w:p w14:paraId="2D085824">
            <w:pPr>
              <w:pStyle w:val="38"/>
              <w:keepNext w:val="0"/>
              <w:keepLines w:val="0"/>
              <w:pageBreakBefore w:val="0"/>
              <w:widowControl/>
              <w:kinsoku/>
              <w:wordWrap/>
              <w:overflowPunct/>
              <w:topLinePunct w:val="0"/>
              <w:bidi w:val="0"/>
              <w:spacing w:afterAutospacing="0" w:line="360" w:lineRule="auto"/>
              <w:ind w:firstLine="360" w:firstLineChars="200"/>
              <w:rPr>
                <w:kern w:val="0"/>
                <w:szCs w:val="20"/>
              </w:rPr>
            </w:pPr>
            <w:r>
              <w:rPr>
                <w:kern w:val="0"/>
                <w:szCs w:val="20"/>
              </w:rPr>
              <w:t>其他八种体质转化分均＜40分</w:t>
            </w:r>
          </w:p>
        </w:tc>
        <w:tc>
          <w:tcPr>
            <w:tcW w:w="2415" w:type="dxa"/>
            <w:vMerge w:val="continue"/>
            <w:tcBorders>
              <w:top w:val="nil"/>
              <w:left w:val="nil"/>
              <w:bottom w:val="nil"/>
              <w:right w:val="nil"/>
            </w:tcBorders>
            <w:vAlign w:val="center"/>
          </w:tcPr>
          <w:p w14:paraId="77FEAF0D">
            <w:pPr>
              <w:pStyle w:val="38"/>
              <w:keepNext w:val="0"/>
              <w:keepLines w:val="0"/>
              <w:pageBreakBefore w:val="0"/>
              <w:widowControl/>
              <w:kinsoku/>
              <w:wordWrap/>
              <w:overflowPunct/>
              <w:topLinePunct w:val="0"/>
              <w:bidi w:val="0"/>
              <w:spacing w:afterAutospacing="0" w:line="360" w:lineRule="auto"/>
              <w:ind w:firstLine="360" w:firstLineChars="200"/>
              <w:rPr>
                <w:kern w:val="0"/>
                <w:szCs w:val="20"/>
              </w:rPr>
            </w:pPr>
          </w:p>
        </w:tc>
      </w:tr>
      <w:tr w14:paraId="6BBDD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166" w:type="dxa"/>
            <w:vMerge w:val="continue"/>
            <w:tcBorders>
              <w:top w:val="nil"/>
              <w:left w:val="nil"/>
              <w:bottom w:val="nil"/>
              <w:right w:val="nil"/>
            </w:tcBorders>
            <w:vAlign w:val="center"/>
          </w:tcPr>
          <w:p w14:paraId="4B6BA02B">
            <w:pPr>
              <w:pStyle w:val="38"/>
              <w:keepNext w:val="0"/>
              <w:keepLines w:val="0"/>
              <w:pageBreakBefore w:val="0"/>
              <w:widowControl/>
              <w:kinsoku/>
              <w:wordWrap/>
              <w:overflowPunct/>
              <w:topLinePunct w:val="0"/>
              <w:bidi w:val="0"/>
              <w:spacing w:afterAutospacing="0" w:line="360" w:lineRule="auto"/>
              <w:ind w:firstLine="360" w:firstLineChars="200"/>
              <w:rPr>
                <w:kern w:val="0"/>
                <w:szCs w:val="20"/>
              </w:rPr>
            </w:pPr>
          </w:p>
        </w:tc>
        <w:tc>
          <w:tcPr>
            <w:tcW w:w="3992" w:type="dxa"/>
            <w:tcBorders>
              <w:top w:val="nil"/>
              <w:left w:val="nil"/>
              <w:bottom w:val="nil"/>
              <w:right w:val="nil"/>
            </w:tcBorders>
            <w:vAlign w:val="center"/>
          </w:tcPr>
          <w:p w14:paraId="279C8452">
            <w:pPr>
              <w:pStyle w:val="38"/>
              <w:keepNext w:val="0"/>
              <w:keepLines w:val="0"/>
              <w:pageBreakBefore w:val="0"/>
              <w:widowControl/>
              <w:kinsoku/>
              <w:wordWrap/>
              <w:overflowPunct/>
              <w:topLinePunct w:val="0"/>
              <w:bidi w:val="0"/>
              <w:spacing w:afterAutospacing="0" w:line="360" w:lineRule="auto"/>
              <w:ind w:firstLine="360" w:firstLineChars="200"/>
              <w:rPr>
                <w:kern w:val="0"/>
                <w:szCs w:val="20"/>
              </w:rPr>
            </w:pPr>
            <w:r>
              <w:rPr>
                <w:kern w:val="0"/>
                <w:szCs w:val="20"/>
              </w:rPr>
              <w:t>不满足上述条件者</w:t>
            </w:r>
          </w:p>
        </w:tc>
        <w:tc>
          <w:tcPr>
            <w:tcW w:w="2415" w:type="dxa"/>
            <w:tcBorders>
              <w:top w:val="nil"/>
              <w:left w:val="nil"/>
              <w:bottom w:val="nil"/>
              <w:right w:val="nil"/>
            </w:tcBorders>
            <w:vAlign w:val="center"/>
          </w:tcPr>
          <w:p w14:paraId="1CBBA2BE">
            <w:pPr>
              <w:pStyle w:val="38"/>
              <w:keepNext w:val="0"/>
              <w:keepLines w:val="0"/>
              <w:pageBreakBefore w:val="0"/>
              <w:widowControl/>
              <w:kinsoku/>
              <w:wordWrap/>
              <w:overflowPunct/>
              <w:topLinePunct w:val="0"/>
              <w:bidi w:val="0"/>
              <w:spacing w:afterAutospacing="0" w:line="360" w:lineRule="auto"/>
              <w:ind w:firstLine="360" w:firstLineChars="200"/>
              <w:rPr>
                <w:kern w:val="0"/>
                <w:szCs w:val="20"/>
              </w:rPr>
            </w:pPr>
            <w:r>
              <w:rPr>
                <w:kern w:val="0"/>
                <w:szCs w:val="20"/>
              </w:rPr>
              <w:t>否</w:t>
            </w:r>
          </w:p>
        </w:tc>
      </w:tr>
      <w:tr w14:paraId="05394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166" w:type="dxa"/>
            <w:vMerge w:val="restart"/>
            <w:tcBorders>
              <w:top w:val="nil"/>
              <w:left w:val="nil"/>
              <w:bottom w:val="single" w:color="000000" w:sz="8" w:space="0"/>
              <w:right w:val="nil"/>
            </w:tcBorders>
          </w:tcPr>
          <w:p w14:paraId="56AE9FE9">
            <w:pPr>
              <w:pStyle w:val="38"/>
              <w:keepNext w:val="0"/>
              <w:keepLines w:val="0"/>
              <w:pageBreakBefore w:val="0"/>
              <w:widowControl/>
              <w:kinsoku/>
              <w:wordWrap/>
              <w:overflowPunct/>
              <w:topLinePunct w:val="0"/>
              <w:bidi w:val="0"/>
              <w:spacing w:afterAutospacing="0" w:line="360" w:lineRule="auto"/>
              <w:ind w:firstLine="360" w:firstLineChars="200"/>
              <w:rPr>
                <w:kern w:val="0"/>
                <w:szCs w:val="20"/>
              </w:rPr>
            </w:pPr>
            <w:r>
              <w:rPr>
                <w:kern w:val="0"/>
                <w:szCs w:val="20"/>
              </w:rPr>
              <w:t>偏颇体质</w:t>
            </w:r>
          </w:p>
        </w:tc>
        <w:tc>
          <w:tcPr>
            <w:tcW w:w="3992" w:type="dxa"/>
            <w:tcBorders>
              <w:top w:val="nil"/>
              <w:left w:val="nil"/>
              <w:bottom w:val="nil"/>
              <w:right w:val="nil"/>
            </w:tcBorders>
          </w:tcPr>
          <w:p w14:paraId="19AFD08A">
            <w:pPr>
              <w:pStyle w:val="38"/>
              <w:keepNext w:val="0"/>
              <w:keepLines w:val="0"/>
              <w:pageBreakBefore w:val="0"/>
              <w:widowControl/>
              <w:kinsoku/>
              <w:wordWrap/>
              <w:overflowPunct/>
              <w:topLinePunct w:val="0"/>
              <w:bidi w:val="0"/>
              <w:spacing w:afterAutospacing="0" w:line="360" w:lineRule="auto"/>
              <w:ind w:firstLine="360" w:firstLineChars="200"/>
              <w:rPr>
                <w:kern w:val="0"/>
                <w:szCs w:val="20"/>
              </w:rPr>
            </w:pPr>
            <w:r>
              <w:rPr>
                <w:kern w:val="0"/>
                <w:szCs w:val="20"/>
              </w:rPr>
              <w:t>转化分</w:t>
            </w:r>
            <w:r>
              <w:rPr>
                <w:rFonts w:ascii="Symbol" w:hAnsi="Symbol" w:eastAsia="Symbol" w:cs="Symbol"/>
                <w:kern w:val="0"/>
                <w:szCs w:val="20"/>
              </w:rPr>
              <w:sym w:font="Symbol" w:char="F0B3"/>
            </w:r>
            <w:r>
              <w:rPr>
                <w:kern w:val="0"/>
                <w:szCs w:val="20"/>
              </w:rPr>
              <w:t>40分</w:t>
            </w:r>
          </w:p>
        </w:tc>
        <w:tc>
          <w:tcPr>
            <w:tcW w:w="2415" w:type="dxa"/>
            <w:tcBorders>
              <w:top w:val="nil"/>
              <w:left w:val="nil"/>
              <w:bottom w:val="nil"/>
              <w:right w:val="nil"/>
            </w:tcBorders>
          </w:tcPr>
          <w:p w14:paraId="6BE5EE9E">
            <w:pPr>
              <w:pStyle w:val="38"/>
              <w:keepNext w:val="0"/>
              <w:keepLines w:val="0"/>
              <w:pageBreakBefore w:val="0"/>
              <w:widowControl/>
              <w:kinsoku/>
              <w:wordWrap/>
              <w:overflowPunct/>
              <w:topLinePunct w:val="0"/>
              <w:bidi w:val="0"/>
              <w:spacing w:afterAutospacing="0" w:line="360" w:lineRule="auto"/>
              <w:ind w:firstLine="360" w:firstLineChars="200"/>
              <w:rPr>
                <w:kern w:val="0"/>
                <w:szCs w:val="20"/>
              </w:rPr>
            </w:pPr>
            <w:r>
              <w:rPr>
                <w:kern w:val="0"/>
                <w:szCs w:val="20"/>
              </w:rPr>
              <w:t>是</w:t>
            </w:r>
          </w:p>
        </w:tc>
      </w:tr>
      <w:tr w14:paraId="0CE84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166" w:type="dxa"/>
            <w:vMerge w:val="continue"/>
            <w:tcBorders>
              <w:top w:val="nil"/>
              <w:left w:val="nil"/>
              <w:bottom w:val="nil"/>
              <w:right w:val="nil"/>
            </w:tcBorders>
          </w:tcPr>
          <w:p w14:paraId="39270681">
            <w:pPr>
              <w:pStyle w:val="38"/>
              <w:keepNext w:val="0"/>
              <w:keepLines w:val="0"/>
              <w:pageBreakBefore w:val="0"/>
              <w:widowControl/>
              <w:kinsoku/>
              <w:wordWrap/>
              <w:overflowPunct/>
              <w:topLinePunct w:val="0"/>
              <w:bidi w:val="0"/>
              <w:spacing w:afterAutospacing="0" w:line="360" w:lineRule="auto"/>
              <w:ind w:firstLine="360" w:firstLineChars="200"/>
              <w:rPr>
                <w:kern w:val="0"/>
                <w:szCs w:val="20"/>
              </w:rPr>
            </w:pPr>
          </w:p>
        </w:tc>
        <w:tc>
          <w:tcPr>
            <w:tcW w:w="3992" w:type="dxa"/>
            <w:tcBorders>
              <w:top w:val="nil"/>
              <w:left w:val="nil"/>
              <w:bottom w:val="nil"/>
              <w:right w:val="nil"/>
            </w:tcBorders>
          </w:tcPr>
          <w:p w14:paraId="76322DED">
            <w:pPr>
              <w:pStyle w:val="38"/>
              <w:keepNext w:val="0"/>
              <w:keepLines w:val="0"/>
              <w:pageBreakBefore w:val="0"/>
              <w:widowControl/>
              <w:kinsoku/>
              <w:wordWrap/>
              <w:overflowPunct/>
              <w:topLinePunct w:val="0"/>
              <w:bidi w:val="0"/>
              <w:spacing w:afterAutospacing="0" w:line="360" w:lineRule="auto"/>
              <w:ind w:firstLine="360" w:firstLineChars="200"/>
              <w:rPr>
                <w:kern w:val="0"/>
                <w:szCs w:val="20"/>
              </w:rPr>
            </w:pPr>
            <w:r>
              <w:rPr>
                <w:kern w:val="0"/>
                <w:szCs w:val="20"/>
              </w:rPr>
              <w:t>转化分30~39分</w:t>
            </w:r>
          </w:p>
        </w:tc>
        <w:tc>
          <w:tcPr>
            <w:tcW w:w="2415" w:type="dxa"/>
            <w:tcBorders>
              <w:top w:val="nil"/>
              <w:left w:val="nil"/>
              <w:bottom w:val="nil"/>
              <w:right w:val="nil"/>
            </w:tcBorders>
          </w:tcPr>
          <w:p w14:paraId="5CDEDD9E">
            <w:pPr>
              <w:pStyle w:val="38"/>
              <w:keepNext w:val="0"/>
              <w:keepLines w:val="0"/>
              <w:pageBreakBefore w:val="0"/>
              <w:widowControl/>
              <w:kinsoku/>
              <w:wordWrap/>
              <w:overflowPunct/>
              <w:topLinePunct w:val="0"/>
              <w:bidi w:val="0"/>
              <w:spacing w:afterAutospacing="0" w:line="360" w:lineRule="auto"/>
              <w:ind w:firstLine="360" w:firstLineChars="200"/>
              <w:rPr>
                <w:kern w:val="0"/>
                <w:szCs w:val="20"/>
              </w:rPr>
            </w:pPr>
            <w:r>
              <w:rPr>
                <w:kern w:val="0"/>
                <w:szCs w:val="20"/>
              </w:rPr>
              <w:t>倾向是</w:t>
            </w:r>
          </w:p>
        </w:tc>
      </w:tr>
      <w:tr w14:paraId="47625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1166" w:type="dxa"/>
            <w:vMerge w:val="continue"/>
            <w:tcBorders>
              <w:top w:val="nil"/>
              <w:left w:val="nil"/>
              <w:bottom w:val="single" w:color="000000" w:sz="8" w:space="0"/>
              <w:right w:val="nil"/>
            </w:tcBorders>
          </w:tcPr>
          <w:p w14:paraId="34EFC7F0">
            <w:pPr>
              <w:pStyle w:val="38"/>
              <w:keepNext w:val="0"/>
              <w:keepLines w:val="0"/>
              <w:pageBreakBefore w:val="0"/>
              <w:widowControl/>
              <w:kinsoku/>
              <w:wordWrap/>
              <w:overflowPunct/>
              <w:topLinePunct w:val="0"/>
              <w:bidi w:val="0"/>
              <w:spacing w:afterAutospacing="0" w:line="360" w:lineRule="auto"/>
              <w:ind w:firstLine="360" w:firstLineChars="200"/>
              <w:rPr>
                <w:kern w:val="0"/>
                <w:szCs w:val="20"/>
              </w:rPr>
            </w:pPr>
          </w:p>
        </w:tc>
        <w:tc>
          <w:tcPr>
            <w:tcW w:w="3992" w:type="dxa"/>
            <w:tcBorders>
              <w:top w:val="nil"/>
              <w:left w:val="nil"/>
              <w:bottom w:val="single" w:color="000000" w:sz="8" w:space="0"/>
              <w:right w:val="nil"/>
            </w:tcBorders>
          </w:tcPr>
          <w:p w14:paraId="460C4926">
            <w:pPr>
              <w:pStyle w:val="38"/>
              <w:keepNext w:val="0"/>
              <w:keepLines w:val="0"/>
              <w:pageBreakBefore w:val="0"/>
              <w:widowControl/>
              <w:kinsoku/>
              <w:wordWrap/>
              <w:overflowPunct/>
              <w:topLinePunct w:val="0"/>
              <w:bidi w:val="0"/>
              <w:spacing w:afterAutospacing="0" w:line="360" w:lineRule="auto"/>
              <w:ind w:firstLine="360" w:firstLineChars="200"/>
              <w:rPr>
                <w:kern w:val="0"/>
                <w:szCs w:val="20"/>
              </w:rPr>
            </w:pPr>
            <w:r>
              <w:rPr>
                <w:kern w:val="0"/>
                <w:szCs w:val="20"/>
              </w:rPr>
              <w:t>转化分＜30分</w:t>
            </w:r>
          </w:p>
        </w:tc>
        <w:tc>
          <w:tcPr>
            <w:tcW w:w="2415" w:type="dxa"/>
            <w:tcBorders>
              <w:top w:val="nil"/>
              <w:left w:val="nil"/>
              <w:bottom w:val="single" w:color="000000" w:sz="8" w:space="0"/>
              <w:right w:val="nil"/>
            </w:tcBorders>
          </w:tcPr>
          <w:p w14:paraId="4C3673B3">
            <w:pPr>
              <w:pStyle w:val="38"/>
              <w:keepNext w:val="0"/>
              <w:keepLines w:val="0"/>
              <w:pageBreakBefore w:val="0"/>
              <w:widowControl/>
              <w:kinsoku/>
              <w:wordWrap/>
              <w:overflowPunct/>
              <w:topLinePunct w:val="0"/>
              <w:bidi w:val="0"/>
              <w:spacing w:afterAutospacing="0" w:line="360" w:lineRule="auto"/>
              <w:ind w:firstLine="360" w:firstLineChars="200"/>
              <w:rPr>
                <w:kern w:val="0"/>
                <w:szCs w:val="20"/>
              </w:rPr>
            </w:pPr>
            <w:r>
              <w:rPr>
                <w:kern w:val="0"/>
                <w:szCs w:val="20"/>
              </w:rPr>
              <w:t>否</w:t>
            </w:r>
          </w:p>
        </w:tc>
      </w:tr>
    </w:tbl>
    <w:p w14:paraId="493DC9C0">
      <w:pPr>
        <w:pStyle w:val="35"/>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3.2.2注意事项</w:t>
      </w:r>
    </w:p>
    <w:p w14:paraId="7D79EE4B">
      <w:pPr>
        <w:pStyle w:val="36"/>
        <w:keepNext w:val="0"/>
        <w:keepLines w:val="0"/>
        <w:pageBreakBefore w:val="0"/>
        <w:numPr>
          <w:ilvl w:val="0"/>
          <w:numId w:val="0"/>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 xml:space="preserve">（1）手法整脊技术：掌握脊柱触诊“摸法”，能准确触知脊柱节段的“骨错缝、筋歪斜”病变。熟练运用理筋、点穴及轻柔、稳妥的正骨手法，严格掌握进针与施术的角度、力度、幅度，严禁对发育期青少年实施暴力旋转或过载生硬的机械发力。 </w:t>
      </w:r>
    </w:p>
    <w:p w14:paraId="1DF5220C">
      <w:pPr>
        <w:pStyle w:val="36"/>
        <w:keepNext w:val="0"/>
        <w:keepLines w:val="0"/>
        <w:pageBreakBefore w:val="0"/>
        <w:numPr>
          <w:ilvl w:val="0"/>
          <w:numId w:val="0"/>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 xml:space="preserve">（2）针灸与敷贴技能：100% 准确定位夹脊穴、大椎、命门、脾俞、肾俞等核心治疗穴位，误差≤ 0.3cm。掌握针对凸侧肌群松解、凹侧肌群激活的差异化针刺手法，熟练掌握高原高寒环境下透皮吸收药膏的摩化与温阳敷贴技术。 </w:t>
      </w:r>
    </w:p>
    <w:p w14:paraId="203C124E">
      <w:pPr>
        <w:pStyle w:val="36"/>
        <w:keepNext w:val="0"/>
        <w:keepLines w:val="0"/>
        <w:pageBreakBefore w:val="0"/>
        <w:numPr>
          <w:ilvl w:val="0"/>
          <w:numId w:val="0"/>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（3）康复导引带教能力：具备精准示范和纠正“柔筋衡脊疗法”等功法动作的能力，能指导侧弯青少年在低氧环境下安全开展对称性胸廓扩张及腹式呼吸功能训练，实时监测患者血氧饱和度与心率变化。</w:t>
      </w:r>
    </w:p>
    <w:p w14:paraId="037AE2EB">
      <w:pPr>
        <w:pStyle w:val="35"/>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3.2.3 疗效评估技能</w:t>
      </w:r>
    </w:p>
    <w:p w14:paraId="16B62F18">
      <w:pPr>
        <w:pStyle w:val="36"/>
        <w:keepNext w:val="0"/>
        <w:keepLines w:val="0"/>
        <w:pageBreakBefore w:val="0"/>
        <w:numPr>
          <w:ilvl w:val="0"/>
          <w:numId w:val="0"/>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（1）影像测量技能：熟练掌握全脊柱正侧位X线片的Cobb角测量方法，掌握端椎的选取规则，Cobb 角测量误差≤±5°。</w:t>
      </w:r>
    </w:p>
    <w:p w14:paraId="76A0CD75">
      <w:pPr>
        <w:pStyle w:val="36"/>
        <w:keepNext w:val="0"/>
        <w:keepLines w:val="0"/>
        <w:pageBreakBefore w:val="0"/>
        <w:numPr>
          <w:ilvl w:val="0"/>
          <w:numId w:val="0"/>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（2）量表评估技能：掌握中医证候积分评分标准，能引导未成年患者准确理解并独立填写《SRS-22 生存质量量表》，避免主观诱导。</w:t>
      </w:r>
    </w:p>
    <w:p w14:paraId="70B11225">
      <w:pPr>
        <w:pStyle w:val="35"/>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color w:val="auto"/>
          <w:kern w:val="0"/>
          <w:sz w:val="28"/>
          <w:szCs w:val="28"/>
          <w:lang w:val="en-US" w:eastAsia="zh-CN" w:bidi="ar-SA"/>
        </w:rPr>
      </w:pPr>
      <w:bookmarkStart w:id="4" w:name="_Toc208503227"/>
      <w:r>
        <w:rPr>
          <w:rFonts w:hint="eastAsia" w:asciiTheme="minorEastAsia" w:hAnsiTheme="minorEastAsia" w:eastAsiaTheme="minorEastAsia" w:cstheme="minorEastAsia"/>
          <w:color w:val="auto"/>
          <w:kern w:val="0"/>
          <w:sz w:val="28"/>
          <w:szCs w:val="28"/>
          <w:lang w:val="en-US" w:eastAsia="zh-CN" w:bidi="ar-SA"/>
        </w:rPr>
        <w:t>3.3职业素养</w:t>
      </w:r>
      <w:bookmarkEnd w:id="4"/>
    </w:p>
    <w:p w14:paraId="559A96D1">
      <w:pPr>
        <w:pStyle w:val="39"/>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 xml:space="preserve">3.3.1无菌与安全观念：涉及针刺等侵入性中医适宜技术时，严格执行无菌操作规范（如医务人员手卫生规范及皮肤消毒流程），防范感染风险。手法治疗前必须全面排查禁忌证。 </w:t>
      </w:r>
    </w:p>
    <w:p w14:paraId="459AD753">
      <w:pPr>
        <w:pStyle w:val="39"/>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 xml:space="preserve">3.3.2伦理与沟通意识：充分尊重青少年及其监护人的知情权与隐私权。实施筛查、支具制动、手法或针灸干预前，必须向监护人详细说明预期效果、可能的治疗反应（如手法后的短暂酸胀、皮肤过敏等）及侧弯进展风险，严格签署双重《知情同意书》。 </w:t>
      </w:r>
    </w:p>
    <w:p w14:paraId="1D3B96D7">
      <w:pPr>
        <w:pStyle w:val="39"/>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3.3.3随访与规范记录：严格遵循信息化、规范化病历管理要求。操作完成后 1 小时内，完整记录患者的体格检查、辨证分型、干预方案、Cobb角变化及随访计划，确保诊疗流程全程可追溯。针对西部偏远、高海拔牧区患者，应具备高度的责任心和远程主动随访意识。</w:t>
      </w:r>
    </w:p>
    <w:p w14:paraId="1AF217DF">
      <w:pPr>
        <w:pStyle w:val="32"/>
        <w:keepNext w:val="0"/>
        <w:keepLines w:val="0"/>
        <w:pageBreakBefore w:val="0"/>
        <w:numPr>
          <w:ilvl w:val="1"/>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color w:val="auto"/>
          <w:kern w:val="0"/>
          <w:sz w:val="28"/>
          <w:szCs w:val="28"/>
          <w:lang w:val="en-US" w:eastAsia="zh-CN" w:bidi="ar-SA"/>
        </w:rPr>
      </w:pPr>
      <w:bookmarkStart w:id="5" w:name="_Copy_4"/>
      <w:bookmarkEnd w:id="5"/>
      <w:r>
        <w:rPr>
          <w:rFonts w:hint="eastAsia" w:asciiTheme="minorEastAsia" w:hAnsiTheme="minorEastAsia" w:eastAsiaTheme="minorEastAsia" w:cstheme="minorEastAsia"/>
          <w:color w:val="auto"/>
          <w:kern w:val="0"/>
          <w:sz w:val="28"/>
          <w:szCs w:val="28"/>
          <w:lang w:val="en-US" w:eastAsia="zh-CN" w:bidi="ar-SA"/>
        </w:rPr>
        <w:t>4基本要求</w:t>
      </w:r>
    </w:p>
    <w:p w14:paraId="28BD3329">
      <w:pPr>
        <w:pStyle w:val="35"/>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4.1诊疗环境要求</w:t>
      </w:r>
    </w:p>
    <w:p w14:paraId="4D04BED3">
      <w:pPr>
        <w:pStyle w:val="40"/>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4.1.1空间要求</w:t>
      </w:r>
    </w:p>
    <w:p w14:paraId="7101B155">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4.1.2训练室面积：训练室面积：30m²至50m²为宜，以容纳必要的训练设备和有充足的活动空间。</w:t>
      </w:r>
    </w:p>
    <w:p w14:paraId="75210B92">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4.1.3分区设置：训练室需划分拍照区、会议区、患者家属休息区，各区域功能定位清晰，并配有显著标识。</w:t>
      </w:r>
    </w:p>
    <w:p w14:paraId="1CCFA1A1">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4.1.4通风采光：通风系统需保证室内空气流通，自然通风≥2次/天（每次≥30分钟），或配备机械通风系统（换气次数≥6次/小时）；采光充足，照度≥300lx（训练室），避免强光直射，确保训练时的视觉舒适度。</w:t>
      </w:r>
    </w:p>
    <w:p w14:paraId="01344DD0">
      <w:pPr>
        <w:pStyle w:val="40"/>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4.1.5清洁与消毒</w:t>
      </w:r>
    </w:p>
    <w:p w14:paraId="6DBAEEDB">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4.1.5.1日常清洁：训练室地面、瑜伽垫、操作机械每日用75%的酒精擦拭1次；垃圾每日清理，污染时立即更换。</w:t>
      </w:r>
    </w:p>
    <w:p w14:paraId="1C6C6CC4">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4.1.5.2空气消毒：每日治疗前、后用紫外线灯（辐照强度≥70μW/cm²）照射消毒30分钟，或采用空气净化设备（洁净度≥8级），消毒后空气中菌落总数≤4cfu/皿（沉降法，30分钟）。</w:t>
      </w:r>
    </w:p>
    <w:p w14:paraId="7092E638">
      <w:pPr>
        <w:pStyle w:val="40"/>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4.2设备与设施</w:t>
      </w:r>
    </w:p>
    <w:p w14:paraId="14E13A09">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4.2.1基础设备：配备治疗床（可调节高度，床垫防水、易清洁）、操作机械（肋木架）、紫外线消毒灯等。</w:t>
      </w:r>
    </w:p>
    <w:p w14:paraId="03B8E669">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4.2.2应急设备：配备急救箱（含肾上腺素、抗组胺药、止血带、无菌纱布）、吸氧设备、，所有应急设备需定期检查（每月1次），确保功能正常。</w:t>
      </w:r>
    </w:p>
    <w:p w14:paraId="27D06ABD">
      <w:pPr>
        <w:pStyle w:val="35"/>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4.3患者评估要求</w:t>
      </w:r>
    </w:p>
    <w:p w14:paraId="1B2B9F7E">
      <w:pPr>
        <w:pStyle w:val="40"/>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4.3.1西医诊断评估</w:t>
      </w:r>
    </w:p>
    <w:p w14:paraId="6695F1C4">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4.3.1.1Cobb角与ATR测量：</w:t>
      </w:r>
    </w:p>
    <w:p w14:paraId="6B0BE324">
      <w:pPr>
        <w:pStyle w:val="36"/>
        <w:keepNext w:val="0"/>
        <w:keepLines w:val="0"/>
        <w:pageBreakBefore w:val="0"/>
        <w:numPr>
          <w:ilvl w:val="0"/>
          <w:numId w:val="0"/>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（1）Cobb角：在X线片上，沿上端椎的上终板（UEV）和下端椎的下终板（LEV）各画一条直线，分别做这两条直线的垂线，两垂直线的交角即为侧凸Cobb角；</w:t>
      </w:r>
    </w:p>
    <w:p w14:paraId="488FD6AE">
      <w:pPr>
        <w:pStyle w:val="36"/>
        <w:keepNext w:val="0"/>
        <w:keepLines w:val="0"/>
        <w:pageBreakBefore w:val="0"/>
        <w:numPr>
          <w:ilvl w:val="0"/>
          <w:numId w:val="0"/>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2）ATR：被检查者光脚站立，双脚并拢，双手掌心相对，指尖对齐双脚间隙，双上肢前屈90°。观察者站在被检查者正后方，用脊柱测量尺测量旋转度数，被检查者向前缓慢低头弯腰。将尺从头部向尾部移动，记录最高点度数，即为该弯的旋转度数。旋转度数会在移动过程中不断变化。 </w:t>
      </w:r>
    </w:p>
    <w:p w14:paraId="798930E7">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4.3.1.2病史采集：</w:t>
      </w:r>
    </w:p>
    <w:p w14:paraId="17CCC229">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询问患者的基线资料（包括姓名、性别、年龄、身高、体重、居住地）、是否有家族遗传倾向、首次发现时间、发现后的相关治疗、心肺疾病、过敏史、晕针史，记录用药情况。</w:t>
      </w:r>
    </w:p>
    <w:p w14:paraId="52A1D4CB">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4.3.1.3实验室检查：</w:t>
      </w:r>
    </w:p>
    <w:p w14:paraId="7246B961">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必要时检查患者的骨密度、骨代谢标志物（β-CTX：β-胶原降解产物，BGP：骨钙素，PTH：甲状旁腺激素，ALP：碱性磷酸酶，P1NP：总Ⅰ型胶原氨基酸延长肽。）及血清免疫因子（IL-6:白细胞介素-6；IL-10:白细胞介素-10；IL-17A:白细胞介素-17A；IL-23:白细胞介素-23；IP-10/CXCL10:干扰素诱导蛋白-10/C-X-C基序趋化因子配体10；TNF-α:肿瘤坏死因子-α；TGF-α:转化生长因子-α））等。</w:t>
      </w:r>
    </w:p>
    <w:p w14:paraId="66FCE7D4">
      <w:pPr>
        <w:pStyle w:val="40"/>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4.3.2禁忌证与慎用证评估</w:t>
      </w:r>
    </w:p>
    <w:p w14:paraId="1B26B8B3">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4.3.2.1绝对禁忌证（符合任一情况）：</w:t>
      </w:r>
    </w:p>
    <w:p w14:paraId="026F62CC">
      <w:pPr>
        <w:pStyle w:val="36"/>
        <w:keepNext w:val="0"/>
        <w:keepLines w:val="0"/>
        <w:pageBreakBefore w:val="0"/>
        <w:numPr>
          <w:ilvl w:val="0"/>
          <w:numId w:val="8"/>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患者有其它脊髓疾患；</w:t>
      </w:r>
    </w:p>
    <w:p w14:paraId="30314981">
      <w:pPr>
        <w:pStyle w:val="36"/>
        <w:keepNext w:val="0"/>
        <w:keepLines w:val="0"/>
        <w:pageBreakBefore w:val="0"/>
        <w:numPr>
          <w:ilvl w:val="0"/>
          <w:numId w:val="9"/>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有出血性疾病史；</w:t>
      </w:r>
    </w:p>
    <w:p w14:paraId="47A61CFB">
      <w:pPr>
        <w:pStyle w:val="36"/>
        <w:keepNext w:val="0"/>
        <w:keepLines w:val="0"/>
        <w:pageBreakBefore w:val="0"/>
        <w:numPr>
          <w:ilvl w:val="0"/>
          <w:numId w:val="9"/>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操作部位存在皮肤感染、溃疡、湿疹或严重瘢痕；</w:t>
      </w:r>
    </w:p>
    <w:p w14:paraId="7541BBB5">
      <w:pPr>
        <w:pStyle w:val="36"/>
        <w:keepNext w:val="0"/>
        <w:keepLines w:val="0"/>
        <w:pageBreakBefore w:val="0"/>
        <w:numPr>
          <w:ilvl w:val="0"/>
          <w:numId w:val="9"/>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急性感染性疾病发作期；</w:t>
      </w:r>
    </w:p>
    <w:p w14:paraId="1B789867">
      <w:pPr>
        <w:pStyle w:val="36"/>
        <w:keepNext w:val="0"/>
        <w:keepLines w:val="0"/>
        <w:pageBreakBefore w:val="0"/>
        <w:numPr>
          <w:ilvl w:val="0"/>
          <w:numId w:val="9"/>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恶性肿瘤患者（尤其是晚期或有转移倾向）。</w:t>
      </w:r>
    </w:p>
    <w:p w14:paraId="7DB393FC">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4.3.2.2相对禁忌证（符合任一情况，需谨慎评估）：</w:t>
      </w:r>
    </w:p>
    <w:p w14:paraId="1DDFF16F">
      <w:pPr>
        <w:pStyle w:val="36"/>
        <w:keepNext w:val="0"/>
        <w:keepLines w:val="0"/>
        <w:pageBreakBefore w:val="0"/>
        <w:numPr>
          <w:ilvl w:val="0"/>
          <w:numId w:val="9"/>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不配合治疗的患者；</w:t>
      </w:r>
    </w:p>
    <w:p w14:paraId="171E8B9C">
      <w:pPr>
        <w:pStyle w:val="36"/>
        <w:keepNext w:val="0"/>
        <w:keepLines w:val="0"/>
        <w:pageBreakBefore w:val="0"/>
        <w:numPr>
          <w:ilvl w:val="0"/>
          <w:numId w:val="9"/>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严重心肺疾病；</w:t>
      </w:r>
    </w:p>
    <w:p w14:paraId="672EF301">
      <w:pPr>
        <w:pStyle w:val="36"/>
        <w:keepNext w:val="0"/>
        <w:keepLines w:val="0"/>
        <w:pageBreakBefore w:val="0"/>
        <w:numPr>
          <w:ilvl w:val="0"/>
          <w:numId w:val="9"/>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精神疾病患者；</w:t>
      </w:r>
    </w:p>
    <w:p w14:paraId="62EF348D">
      <w:pPr>
        <w:pStyle w:val="36"/>
        <w:keepNext w:val="0"/>
        <w:keepLines w:val="0"/>
        <w:pageBreakBefore w:val="0"/>
        <w:numPr>
          <w:ilvl w:val="0"/>
          <w:numId w:val="9"/>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智力低下患者。</w:t>
      </w:r>
    </w:p>
    <w:p w14:paraId="393322B2">
      <w:pPr>
        <w:pStyle w:val="32"/>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5   预防干预</w:t>
      </w:r>
    </w:p>
    <w:p w14:paraId="44A1705E">
      <w:pPr>
        <w:pStyle w:val="35"/>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5.1一级预防</w:t>
      </w:r>
    </w:p>
    <w:p w14:paraId="171C985B">
      <w:pPr>
        <w:pStyle w:val="36"/>
        <w:keepNext w:val="0"/>
        <w:keepLines w:val="0"/>
        <w:pageBreakBefore w:val="0"/>
        <w:numPr>
          <w:ilvl w:val="0"/>
          <w:numId w:val="0"/>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针对健康人群。</w:t>
      </w:r>
    </w:p>
    <w:p w14:paraId="4564C0BE">
      <w:pPr>
        <w:pStyle w:val="36"/>
        <w:keepNext w:val="0"/>
        <w:keepLines w:val="0"/>
        <w:pageBreakBefore w:val="0"/>
        <w:numPr>
          <w:ilvl w:val="0"/>
          <w:numId w:val="0"/>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包括：</w:t>
      </w:r>
    </w:p>
    <w:p w14:paraId="3BBD530E">
      <w:pPr>
        <w:pStyle w:val="36"/>
        <w:keepNext w:val="0"/>
        <w:keepLines w:val="0"/>
        <w:pageBreakBefore w:val="0"/>
        <w:numPr>
          <w:ilvl w:val="0"/>
          <w:numId w:val="10"/>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脊柱健康教育；</w:t>
      </w:r>
    </w:p>
    <w:p w14:paraId="7919B49E">
      <w:pPr>
        <w:pStyle w:val="36"/>
        <w:keepNext w:val="0"/>
        <w:keepLines w:val="0"/>
        <w:pageBreakBefore w:val="0"/>
        <w:numPr>
          <w:ilvl w:val="0"/>
          <w:numId w:val="9"/>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课桌椅适配；</w:t>
      </w:r>
    </w:p>
    <w:p w14:paraId="5B887894">
      <w:pPr>
        <w:pStyle w:val="36"/>
        <w:keepNext w:val="0"/>
        <w:keepLines w:val="0"/>
        <w:pageBreakBefore w:val="0"/>
        <w:numPr>
          <w:ilvl w:val="0"/>
          <w:numId w:val="9"/>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每日户外活动≥60 min；</w:t>
      </w:r>
    </w:p>
    <w:p w14:paraId="773F799F">
      <w:pPr>
        <w:pStyle w:val="36"/>
        <w:keepNext w:val="0"/>
        <w:keepLines w:val="0"/>
        <w:pageBreakBefore w:val="0"/>
        <w:numPr>
          <w:ilvl w:val="0"/>
          <w:numId w:val="9"/>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维生素D及钙补充；</w:t>
      </w:r>
    </w:p>
    <w:p w14:paraId="577769CA">
      <w:pPr>
        <w:pStyle w:val="36"/>
        <w:keepNext w:val="0"/>
        <w:keepLines w:val="0"/>
        <w:pageBreakBefore w:val="0"/>
        <w:numPr>
          <w:ilvl w:val="0"/>
          <w:numId w:val="9"/>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高原适应性体能训练。</w:t>
      </w:r>
    </w:p>
    <w:p w14:paraId="1F551EEB">
      <w:pPr>
        <w:pStyle w:val="35"/>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5.2二级预防</w:t>
      </w:r>
    </w:p>
    <w:p w14:paraId="4C559888">
      <w:pPr>
        <w:pStyle w:val="36"/>
        <w:keepNext w:val="0"/>
        <w:keepLines w:val="0"/>
        <w:pageBreakBefore w:val="0"/>
        <w:numPr>
          <w:ilvl w:val="0"/>
          <w:numId w:val="0"/>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针对筛查阳性人群。</w:t>
      </w:r>
    </w:p>
    <w:p w14:paraId="02C056D6">
      <w:pPr>
        <w:pStyle w:val="36"/>
        <w:keepNext w:val="0"/>
        <w:keepLines w:val="0"/>
        <w:pageBreakBefore w:val="0"/>
        <w:numPr>
          <w:ilvl w:val="0"/>
          <w:numId w:val="0"/>
        </w:numPr>
        <w:kinsoku/>
        <w:wordWrap/>
        <w:overflowPunct/>
        <w:topLinePunct w:val="0"/>
        <w:bidi w:val="0"/>
        <w:spacing w:before="0" w:after="0" w:afterAutospacing="0" w:line="360" w:lineRule="auto"/>
        <w:ind w:left="425" w:firstLine="560" w:firstLineChars="200"/>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包括：</w:t>
      </w:r>
    </w:p>
    <w:p w14:paraId="6EB56D2B">
      <w:pPr>
        <w:pStyle w:val="36"/>
        <w:keepNext w:val="0"/>
        <w:keepLines w:val="0"/>
        <w:pageBreakBefore w:val="0"/>
        <w:numPr>
          <w:ilvl w:val="0"/>
          <w:numId w:val="9"/>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定期复查；</w:t>
      </w:r>
    </w:p>
    <w:p w14:paraId="7EA3E55C">
      <w:pPr>
        <w:pStyle w:val="36"/>
        <w:keepNext w:val="0"/>
        <w:keepLines w:val="0"/>
        <w:pageBreakBefore w:val="0"/>
        <w:numPr>
          <w:ilvl w:val="0"/>
          <w:numId w:val="9"/>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姿势矫正训练；</w:t>
      </w:r>
    </w:p>
    <w:p w14:paraId="4E690221">
      <w:pPr>
        <w:pStyle w:val="36"/>
        <w:keepNext w:val="0"/>
        <w:keepLines w:val="0"/>
        <w:pageBreakBefore w:val="0"/>
        <w:numPr>
          <w:ilvl w:val="0"/>
          <w:numId w:val="9"/>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核心肌群训练；</w:t>
      </w:r>
    </w:p>
    <w:p w14:paraId="1B62C501">
      <w:pPr>
        <w:pStyle w:val="36"/>
        <w:keepNext w:val="0"/>
        <w:keepLines w:val="0"/>
        <w:pageBreakBefore w:val="0"/>
        <w:numPr>
          <w:ilvl w:val="0"/>
          <w:numId w:val="9"/>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中医导引疗法。</w:t>
      </w:r>
    </w:p>
    <w:p w14:paraId="11A79AB3">
      <w:pPr>
        <w:pStyle w:val="35"/>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5.3三级预防</w:t>
      </w:r>
    </w:p>
    <w:p w14:paraId="5DF5F23E">
      <w:pPr>
        <w:pStyle w:val="36"/>
        <w:keepNext w:val="0"/>
        <w:keepLines w:val="0"/>
        <w:pageBreakBefore w:val="0"/>
        <w:numPr>
          <w:ilvl w:val="0"/>
          <w:numId w:val="0"/>
        </w:numPr>
        <w:kinsoku/>
        <w:wordWrap/>
        <w:overflowPunct/>
        <w:topLinePunct w:val="0"/>
        <w:bidi w:val="0"/>
        <w:spacing w:before="0" w:after="0" w:afterAutospacing="0" w:line="360" w:lineRule="auto"/>
        <w:ind w:left="425" w:firstLine="560" w:firstLineChars="200"/>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针对确诊患者。</w:t>
      </w:r>
    </w:p>
    <w:p w14:paraId="5CD6219A">
      <w:pPr>
        <w:pStyle w:val="36"/>
        <w:keepNext w:val="0"/>
        <w:keepLines w:val="0"/>
        <w:pageBreakBefore w:val="0"/>
        <w:numPr>
          <w:ilvl w:val="0"/>
          <w:numId w:val="9"/>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防止进展及功能障碍。</w:t>
      </w:r>
    </w:p>
    <w:p w14:paraId="74B509C7">
      <w:pPr>
        <w:pStyle w:val="32"/>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color w:val="auto"/>
          <w:kern w:val="0"/>
          <w:sz w:val="28"/>
          <w:szCs w:val="28"/>
          <w:lang w:val="en-US" w:eastAsia="zh-CN" w:bidi="ar-SA"/>
        </w:rPr>
      </w:pPr>
      <w:bookmarkStart w:id="6" w:name="_Copy_2_Copy_1"/>
      <w:bookmarkEnd w:id="6"/>
      <w:r>
        <w:rPr>
          <w:rFonts w:hint="eastAsia" w:asciiTheme="minorEastAsia" w:hAnsiTheme="minorEastAsia" w:eastAsiaTheme="minorEastAsia" w:cstheme="minorEastAsia"/>
          <w:color w:val="auto"/>
          <w:kern w:val="0"/>
          <w:sz w:val="28"/>
          <w:szCs w:val="28"/>
          <w:lang w:val="en-US" w:eastAsia="zh-CN" w:bidi="ar-SA"/>
        </w:rPr>
        <w:t>6   操作流程</w:t>
      </w:r>
    </w:p>
    <w:p w14:paraId="594FDAFD">
      <w:pPr>
        <w:pStyle w:val="35"/>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6.1轻度侧弯（10°～25°）</w:t>
      </w:r>
    </w:p>
    <w:p w14:paraId="1EF7A19B">
      <w:pPr>
        <w:pStyle w:val="36"/>
        <w:keepNext w:val="0"/>
        <w:keepLines w:val="0"/>
        <w:pageBreakBefore w:val="0"/>
        <w:numPr>
          <w:ilvl w:val="0"/>
          <w:numId w:val="0"/>
        </w:numPr>
        <w:kinsoku/>
        <w:wordWrap/>
        <w:overflowPunct/>
        <w:topLinePunct w:val="0"/>
        <w:bidi w:val="0"/>
        <w:spacing w:before="0" w:after="0" w:afterAutospacing="0" w:line="360" w:lineRule="auto"/>
        <w:ind w:left="425" w:firstLine="560" w:firstLineChars="200"/>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观察+柔筋衡脊疗法</w:t>
      </w:r>
    </w:p>
    <w:p w14:paraId="3445FC70">
      <w:pPr>
        <w:pStyle w:val="36"/>
        <w:keepNext w:val="0"/>
        <w:keepLines w:val="0"/>
        <w:pageBreakBefore w:val="0"/>
        <w:numPr>
          <w:ilvl w:val="0"/>
          <w:numId w:val="0"/>
        </w:numPr>
        <w:kinsoku/>
        <w:wordWrap/>
        <w:overflowPunct/>
        <w:topLinePunct w:val="0"/>
        <w:bidi w:val="0"/>
        <w:spacing w:before="0" w:after="0" w:afterAutospacing="0" w:line="360" w:lineRule="auto"/>
        <w:ind w:left="425" w:firstLine="560" w:firstLineChars="200"/>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柔筋衡脊手法：</w:t>
      </w:r>
    </w:p>
    <w:p w14:paraId="3FCCF9C4">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firstLine="560" w:firstLineChars="200"/>
        <w:textAlignment w:val="auto"/>
        <w:rPr>
          <w:lang w:val="en-US" w:eastAsia="zh-CN"/>
        </w:rPr>
      </w:pPr>
      <w:r>
        <w:rPr>
          <w:rFonts w:hint="eastAsia" w:asciiTheme="minorEastAsia" w:hAnsiTheme="minorEastAsia" w:eastAsiaTheme="minorEastAsia" w:cstheme="minorEastAsia"/>
          <w:color w:val="auto"/>
          <w:kern w:val="0"/>
          <w:sz w:val="28"/>
          <w:szCs w:val="28"/>
          <w:lang w:val="en-US" w:eastAsia="zh-CN" w:bidi="ar-SA"/>
        </w:rPr>
        <w:t>以“整体辨证、筋骨并重、内外兼治、动静互补”为治疗理念，以“筋骨并重”为关键靶点，维护二者之间的动静平衡。根据脊柱侧凸患者脊柱全长X线的特征，由准备部分、治疗部分、结束部分组成准备部分包括揉法、推法、法放松患者脊柱两侧肌肉,尤其松解由于眷柱侧弯顶椎区挛缩的肌肉;治疗部分包括颈椎松肌理筋手法、胸椎俯卧冲压手法、胸椎按背扳肩整复手法、腰椎斜扳手法、推腰扳腿手法、屈髋屈膝冲压手法、屈膝屈髋施压外旋外展伸腿手法、屈髋屈膝蹬足手法、对抗牵引牵抖手法，以上九种治疗手法涉及脊柱侧凸患者顶椎区、骨盆区、下肢区，符合中医手法“局部-整体”整体观治疗理念。结束部分包括揉法、推法、捋法、拍法加强气血运行，缓解肌肉紧张痉挛状态。(如下表2所示,为柔筋衡脊手法概况)</w:t>
      </w:r>
    </w:p>
    <w:p w14:paraId="3B7FA303">
      <w:pPr>
        <w:pStyle w:val="37"/>
        <w:keepNext w:val="0"/>
        <w:keepLines w:val="0"/>
        <w:pageBreakBefore w:val="0"/>
        <w:numPr>
          <w:ilvl w:val="0"/>
          <w:numId w:val="4"/>
        </w:numPr>
        <w:kinsoku/>
        <w:wordWrap/>
        <w:overflowPunct/>
        <w:topLinePunct w:val="0"/>
        <w:bidi w:val="0"/>
        <w:spacing w:before="0" w:after="0" w:afterAutospacing="0" w:line="360" w:lineRule="auto"/>
        <w:ind w:firstLine="420" w:firstLineChars="200"/>
        <w:jc w:val="center"/>
        <w:rPr>
          <w:lang w:val="en-US" w:eastAsia="zh-CN"/>
        </w:rPr>
      </w:pPr>
      <w:r>
        <w:rPr>
          <w:lang w:val="en-US" w:eastAsia="zh-CN"/>
        </w:rPr>
        <w:t>柔筋衡脊手法概况</w:t>
      </w:r>
    </w:p>
    <w:tbl>
      <w:tblPr>
        <w:tblStyle w:val="8"/>
        <w:tblW w:w="7763"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3"/>
        <w:gridCol w:w="1312"/>
        <w:gridCol w:w="1125"/>
        <w:gridCol w:w="1313"/>
        <w:gridCol w:w="2710"/>
      </w:tblGrid>
      <w:tr w14:paraId="1C7D8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trPr>
        <w:tc>
          <w:tcPr>
            <w:tcW w:w="1303" w:type="dxa"/>
            <w:vAlign w:val="center"/>
          </w:tcPr>
          <w:p w14:paraId="6B81F660">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r>
              <w:rPr>
                <w:kern w:val="0"/>
                <w:szCs w:val="20"/>
                <w:lang w:val="en-US" w:eastAsia="zh-CN"/>
              </w:rPr>
              <w:t>部分（三部）</w:t>
            </w:r>
          </w:p>
        </w:tc>
        <w:tc>
          <w:tcPr>
            <w:tcW w:w="1312" w:type="dxa"/>
            <w:vAlign w:val="center"/>
          </w:tcPr>
          <w:p w14:paraId="68CAC5D8">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r>
              <w:rPr>
                <w:kern w:val="0"/>
                <w:szCs w:val="20"/>
                <w:lang w:val="en-US" w:eastAsia="zh-CN"/>
              </w:rPr>
              <w:t>体位（三位）</w:t>
            </w:r>
          </w:p>
        </w:tc>
        <w:tc>
          <w:tcPr>
            <w:tcW w:w="1125" w:type="dxa"/>
            <w:vAlign w:val="center"/>
          </w:tcPr>
          <w:p w14:paraId="1D3CBB8C">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r>
              <w:rPr>
                <w:kern w:val="0"/>
                <w:szCs w:val="20"/>
                <w:lang w:val="en-US" w:eastAsia="zh-CN"/>
              </w:rPr>
              <w:t>区域（三区）</w:t>
            </w:r>
          </w:p>
        </w:tc>
        <w:tc>
          <w:tcPr>
            <w:tcW w:w="1313" w:type="dxa"/>
            <w:vAlign w:val="center"/>
          </w:tcPr>
          <w:p w14:paraId="1970E03B">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r>
              <w:rPr>
                <w:kern w:val="0"/>
                <w:szCs w:val="20"/>
                <w:lang w:val="en-US" w:eastAsia="zh-CN"/>
              </w:rPr>
              <w:t>解剖位置（一整体）</w:t>
            </w:r>
          </w:p>
        </w:tc>
        <w:tc>
          <w:tcPr>
            <w:tcW w:w="2710" w:type="dxa"/>
            <w:vAlign w:val="center"/>
          </w:tcPr>
          <w:p w14:paraId="4DA9C9EB">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r>
              <w:rPr>
                <w:kern w:val="0"/>
                <w:szCs w:val="20"/>
                <w:lang w:val="en-US" w:eastAsia="zh-CN"/>
              </w:rPr>
              <w:t>手法（九种治疗手法）</w:t>
            </w:r>
          </w:p>
        </w:tc>
      </w:tr>
      <w:tr w14:paraId="024DD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303" w:type="dxa"/>
            <w:vAlign w:val="center"/>
          </w:tcPr>
          <w:p w14:paraId="227F57E4">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r>
              <w:rPr>
                <w:kern w:val="0"/>
                <w:szCs w:val="20"/>
                <w:lang w:val="en-US" w:eastAsia="zh-CN"/>
              </w:rPr>
              <w:t>准备部分</w:t>
            </w:r>
          </w:p>
        </w:tc>
        <w:tc>
          <w:tcPr>
            <w:tcW w:w="1312" w:type="dxa"/>
            <w:vAlign w:val="center"/>
          </w:tcPr>
          <w:p w14:paraId="6698AEFC">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p>
        </w:tc>
        <w:tc>
          <w:tcPr>
            <w:tcW w:w="1125" w:type="dxa"/>
            <w:vAlign w:val="center"/>
          </w:tcPr>
          <w:p w14:paraId="52022C32">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p>
        </w:tc>
        <w:tc>
          <w:tcPr>
            <w:tcW w:w="1313" w:type="dxa"/>
            <w:vAlign w:val="center"/>
          </w:tcPr>
          <w:p w14:paraId="25DBB621">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p>
        </w:tc>
        <w:tc>
          <w:tcPr>
            <w:tcW w:w="2710" w:type="dxa"/>
            <w:vAlign w:val="center"/>
          </w:tcPr>
          <w:p w14:paraId="5A43A361">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r>
              <w:rPr>
                <w:kern w:val="0"/>
                <w:szCs w:val="20"/>
                <w:lang w:val="en-US" w:eastAsia="zh-CN"/>
              </w:rPr>
              <w:t>揉法、推法、捋法</w:t>
            </w:r>
          </w:p>
        </w:tc>
      </w:tr>
      <w:tr w14:paraId="50594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303" w:type="dxa"/>
            <w:vMerge w:val="restart"/>
            <w:vAlign w:val="center"/>
          </w:tcPr>
          <w:p w14:paraId="59274B94">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r>
              <w:rPr>
                <w:kern w:val="0"/>
                <w:szCs w:val="20"/>
                <w:lang w:val="en-US" w:eastAsia="zh-CN"/>
              </w:rPr>
              <w:t>治疗部分</w:t>
            </w:r>
          </w:p>
        </w:tc>
        <w:tc>
          <w:tcPr>
            <w:tcW w:w="1312" w:type="dxa"/>
            <w:vMerge w:val="restart"/>
            <w:vAlign w:val="center"/>
          </w:tcPr>
          <w:p w14:paraId="112E0E26">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r>
              <w:rPr>
                <w:kern w:val="0"/>
                <w:szCs w:val="20"/>
                <w:lang w:val="en-US" w:eastAsia="zh-CN"/>
              </w:rPr>
              <w:t>俯卧位</w:t>
            </w:r>
          </w:p>
        </w:tc>
        <w:tc>
          <w:tcPr>
            <w:tcW w:w="1125" w:type="dxa"/>
            <w:vMerge w:val="restart"/>
            <w:vAlign w:val="center"/>
          </w:tcPr>
          <w:p w14:paraId="6434A060">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r>
              <w:rPr>
                <w:kern w:val="0"/>
                <w:szCs w:val="20"/>
                <w:lang w:val="en-US" w:eastAsia="zh-CN"/>
              </w:rPr>
              <w:t>顶椎区/主弯区</w:t>
            </w:r>
          </w:p>
        </w:tc>
        <w:tc>
          <w:tcPr>
            <w:tcW w:w="1313" w:type="dxa"/>
            <w:vAlign w:val="center"/>
          </w:tcPr>
          <w:p w14:paraId="356EBF17">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r>
              <w:rPr>
                <w:kern w:val="0"/>
                <w:szCs w:val="20"/>
                <w:lang w:val="en-US" w:eastAsia="zh-CN"/>
              </w:rPr>
              <w:t>颈椎</w:t>
            </w:r>
          </w:p>
        </w:tc>
        <w:tc>
          <w:tcPr>
            <w:tcW w:w="2710" w:type="dxa"/>
            <w:vAlign w:val="center"/>
          </w:tcPr>
          <w:p w14:paraId="7E24F680">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r>
              <w:rPr>
                <w:kern w:val="0"/>
                <w:szCs w:val="20"/>
                <w:lang w:val="en-US" w:eastAsia="zh-CN"/>
              </w:rPr>
              <w:t>颈椎松肌理筋手法</w:t>
            </w:r>
          </w:p>
        </w:tc>
      </w:tr>
      <w:tr w14:paraId="627EA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303" w:type="dxa"/>
            <w:vMerge w:val="continue"/>
            <w:vAlign w:val="center"/>
          </w:tcPr>
          <w:p w14:paraId="1B3B6B3B">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p>
        </w:tc>
        <w:tc>
          <w:tcPr>
            <w:tcW w:w="1312" w:type="dxa"/>
            <w:vMerge w:val="continue"/>
            <w:vAlign w:val="center"/>
          </w:tcPr>
          <w:p w14:paraId="6F914668">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p>
        </w:tc>
        <w:tc>
          <w:tcPr>
            <w:tcW w:w="1125" w:type="dxa"/>
            <w:vMerge w:val="continue"/>
            <w:vAlign w:val="center"/>
          </w:tcPr>
          <w:p w14:paraId="233C5ADD">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p>
        </w:tc>
        <w:tc>
          <w:tcPr>
            <w:tcW w:w="1313" w:type="dxa"/>
            <w:vMerge w:val="restart"/>
            <w:vAlign w:val="center"/>
          </w:tcPr>
          <w:p w14:paraId="447C83E6">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r>
              <w:rPr>
                <w:kern w:val="0"/>
                <w:szCs w:val="20"/>
                <w:lang w:val="en-US" w:eastAsia="zh-CN"/>
              </w:rPr>
              <w:t>胸椎</w:t>
            </w:r>
          </w:p>
        </w:tc>
        <w:tc>
          <w:tcPr>
            <w:tcW w:w="2710" w:type="dxa"/>
            <w:vAlign w:val="center"/>
          </w:tcPr>
          <w:p w14:paraId="3F1D0F46">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r>
              <w:rPr>
                <w:kern w:val="0"/>
                <w:szCs w:val="20"/>
                <w:lang w:val="en-US" w:eastAsia="zh-CN"/>
              </w:rPr>
              <w:t>胸椎俯卧冲压手法</w:t>
            </w:r>
          </w:p>
        </w:tc>
      </w:tr>
      <w:tr w14:paraId="009FB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303" w:type="dxa"/>
            <w:vMerge w:val="continue"/>
            <w:vAlign w:val="center"/>
          </w:tcPr>
          <w:p w14:paraId="226248BD">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p>
        </w:tc>
        <w:tc>
          <w:tcPr>
            <w:tcW w:w="1312" w:type="dxa"/>
            <w:vMerge w:val="continue"/>
            <w:vAlign w:val="center"/>
          </w:tcPr>
          <w:p w14:paraId="49F8DBBD">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p>
        </w:tc>
        <w:tc>
          <w:tcPr>
            <w:tcW w:w="1125" w:type="dxa"/>
            <w:vMerge w:val="continue"/>
            <w:vAlign w:val="center"/>
          </w:tcPr>
          <w:p w14:paraId="316EEF40">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p>
        </w:tc>
        <w:tc>
          <w:tcPr>
            <w:tcW w:w="1313" w:type="dxa"/>
            <w:vMerge w:val="continue"/>
            <w:vAlign w:val="center"/>
          </w:tcPr>
          <w:p w14:paraId="45F87530">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p>
        </w:tc>
        <w:tc>
          <w:tcPr>
            <w:tcW w:w="2710" w:type="dxa"/>
            <w:vAlign w:val="center"/>
          </w:tcPr>
          <w:p w14:paraId="4A7B633A">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r>
              <w:rPr>
                <w:kern w:val="0"/>
                <w:szCs w:val="20"/>
                <w:lang w:val="en-US" w:eastAsia="zh-CN"/>
              </w:rPr>
              <w:t>胸椎按背扳肩整复手法</w:t>
            </w:r>
          </w:p>
        </w:tc>
      </w:tr>
      <w:tr w14:paraId="30CFA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303" w:type="dxa"/>
            <w:vMerge w:val="continue"/>
            <w:vAlign w:val="center"/>
          </w:tcPr>
          <w:p w14:paraId="21F82025">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p>
        </w:tc>
        <w:tc>
          <w:tcPr>
            <w:tcW w:w="1312" w:type="dxa"/>
            <w:vMerge w:val="continue"/>
            <w:vAlign w:val="center"/>
          </w:tcPr>
          <w:p w14:paraId="353CF75B">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p>
        </w:tc>
        <w:tc>
          <w:tcPr>
            <w:tcW w:w="1125" w:type="dxa"/>
            <w:vMerge w:val="continue"/>
            <w:vAlign w:val="center"/>
          </w:tcPr>
          <w:p w14:paraId="6F00CFAB">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p>
        </w:tc>
        <w:tc>
          <w:tcPr>
            <w:tcW w:w="1313" w:type="dxa"/>
            <w:vMerge w:val="continue"/>
            <w:vAlign w:val="center"/>
          </w:tcPr>
          <w:p w14:paraId="1ABC0E8D">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p>
        </w:tc>
        <w:tc>
          <w:tcPr>
            <w:tcW w:w="2710" w:type="dxa"/>
            <w:vAlign w:val="center"/>
          </w:tcPr>
          <w:p w14:paraId="34DB89A8">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r>
              <w:rPr>
                <w:kern w:val="0"/>
                <w:szCs w:val="20"/>
                <w:lang w:val="en-US" w:eastAsia="zh-CN"/>
              </w:rPr>
              <w:t>胸椎调横正骨手法</w:t>
            </w:r>
          </w:p>
        </w:tc>
      </w:tr>
      <w:tr w14:paraId="25DC2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303" w:type="dxa"/>
            <w:vMerge w:val="continue"/>
            <w:vAlign w:val="center"/>
          </w:tcPr>
          <w:p w14:paraId="052418FB">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p>
        </w:tc>
        <w:tc>
          <w:tcPr>
            <w:tcW w:w="1312" w:type="dxa"/>
            <w:vMerge w:val="restart"/>
            <w:vAlign w:val="center"/>
          </w:tcPr>
          <w:p w14:paraId="303E81CC">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r>
              <w:rPr>
                <w:kern w:val="0"/>
                <w:szCs w:val="20"/>
                <w:lang w:val="en-US" w:eastAsia="zh-CN"/>
              </w:rPr>
              <w:t>侧卧位</w:t>
            </w:r>
          </w:p>
        </w:tc>
        <w:tc>
          <w:tcPr>
            <w:tcW w:w="1125" w:type="dxa"/>
            <w:vMerge w:val="continue"/>
            <w:vAlign w:val="center"/>
          </w:tcPr>
          <w:p w14:paraId="34FF0791">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p>
        </w:tc>
        <w:tc>
          <w:tcPr>
            <w:tcW w:w="1313" w:type="dxa"/>
            <w:vMerge w:val="restart"/>
            <w:vAlign w:val="center"/>
          </w:tcPr>
          <w:p w14:paraId="24130683">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r>
              <w:rPr>
                <w:kern w:val="0"/>
                <w:szCs w:val="20"/>
                <w:lang w:val="en-US" w:eastAsia="zh-CN"/>
              </w:rPr>
              <w:t>腰椎</w:t>
            </w:r>
          </w:p>
        </w:tc>
        <w:tc>
          <w:tcPr>
            <w:tcW w:w="2710" w:type="dxa"/>
            <w:vAlign w:val="center"/>
          </w:tcPr>
          <w:p w14:paraId="6666B1A6">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r>
              <w:rPr>
                <w:kern w:val="0"/>
                <w:szCs w:val="20"/>
                <w:lang w:val="en-US" w:eastAsia="zh-CN"/>
              </w:rPr>
              <w:t>腰椎斜扳手法</w:t>
            </w:r>
          </w:p>
        </w:tc>
      </w:tr>
      <w:tr w14:paraId="7DE64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303" w:type="dxa"/>
            <w:vMerge w:val="continue"/>
            <w:vAlign w:val="center"/>
          </w:tcPr>
          <w:p w14:paraId="7502775C">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p>
        </w:tc>
        <w:tc>
          <w:tcPr>
            <w:tcW w:w="1312" w:type="dxa"/>
            <w:vMerge w:val="continue"/>
            <w:vAlign w:val="center"/>
          </w:tcPr>
          <w:p w14:paraId="6876E7CB">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p>
        </w:tc>
        <w:tc>
          <w:tcPr>
            <w:tcW w:w="1125" w:type="dxa"/>
            <w:vMerge w:val="continue"/>
            <w:vAlign w:val="center"/>
          </w:tcPr>
          <w:p w14:paraId="1604778B">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p>
        </w:tc>
        <w:tc>
          <w:tcPr>
            <w:tcW w:w="1313" w:type="dxa"/>
            <w:vMerge w:val="continue"/>
            <w:vAlign w:val="center"/>
          </w:tcPr>
          <w:p w14:paraId="1476511E">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p>
        </w:tc>
        <w:tc>
          <w:tcPr>
            <w:tcW w:w="2710" w:type="dxa"/>
            <w:vAlign w:val="center"/>
          </w:tcPr>
          <w:p w14:paraId="4135165E">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r>
              <w:rPr>
                <w:kern w:val="0"/>
                <w:szCs w:val="20"/>
                <w:lang w:val="en-US" w:eastAsia="zh-CN"/>
              </w:rPr>
              <w:t>推腰扳腿手法</w:t>
            </w:r>
          </w:p>
        </w:tc>
      </w:tr>
      <w:tr w14:paraId="780ED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303" w:type="dxa"/>
            <w:vMerge w:val="continue"/>
            <w:vAlign w:val="center"/>
          </w:tcPr>
          <w:p w14:paraId="3948D412">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p>
        </w:tc>
        <w:tc>
          <w:tcPr>
            <w:tcW w:w="1312" w:type="dxa"/>
            <w:vMerge w:val="continue"/>
            <w:vAlign w:val="center"/>
          </w:tcPr>
          <w:p w14:paraId="521435EA">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p>
        </w:tc>
        <w:tc>
          <w:tcPr>
            <w:tcW w:w="1125" w:type="dxa"/>
            <w:vMerge w:val="continue"/>
            <w:vAlign w:val="center"/>
          </w:tcPr>
          <w:p w14:paraId="451C3F11">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p>
        </w:tc>
        <w:tc>
          <w:tcPr>
            <w:tcW w:w="1313" w:type="dxa"/>
            <w:vMerge w:val="continue"/>
            <w:vAlign w:val="center"/>
          </w:tcPr>
          <w:p w14:paraId="626DE1B6">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p>
        </w:tc>
        <w:tc>
          <w:tcPr>
            <w:tcW w:w="2710" w:type="dxa"/>
            <w:vAlign w:val="center"/>
          </w:tcPr>
          <w:p w14:paraId="695116EF">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r>
              <w:rPr>
                <w:kern w:val="0"/>
                <w:szCs w:val="20"/>
                <w:lang w:val="en-US" w:eastAsia="zh-CN"/>
              </w:rPr>
              <w:t>腰椎调横正骨手法</w:t>
            </w:r>
          </w:p>
        </w:tc>
      </w:tr>
      <w:tr w14:paraId="1598E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303" w:type="dxa"/>
            <w:vMerge w:val="continue"/>
            <w:vAlign w:val="center"/>
          </w:tcPr>
          <w:p w14:paraId="7B6FD0CC">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p>
        </w:tc>
        <w:tc>
          <w:tcPr>
            <w:tcW w:w="1312" w:type="dxa"/>
            <w:vMerge w:val="restart"/>
            <w:vAlign w:val="center"/>
          </w:tcPr>
          <w:p w14:paraId="79A6578E">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r>
              <w:rPr>
                <w:kern w:val="0"/>
                <w:szCs w:val="20"/>
                <w:lang w:val="en-US" w:eastAsia="zh-CN"/>
              </w:rPr>
              <w:t>仰卧位</w:t>
            </w:r>
          </w:p>
        </w:tc>
        <w:tc>
          <w:tcPr>
            <w:tcW w:w="1125" w:type="dxa"/>
            <w:vMerge w:val="restart"/>
            <w:vAlign w:val="center"/>
          </w:tcPr>
          <w:p w14:paraId="72576F97">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r>
              <w:rPr>
                <w:kern w:val="0"/>
                <w:szCs w:val="20"/>
                <w:lang w:val="en-US" w:eastAsia="zh-CN"/>
              </w:rPr>
              <w:t>骨盆区</w:t>
            </w:r>
          </w:p>
        </w:tc>
        <w:tc>
          <w:tcPr>
            <w:tcW w:w="1313" w:type="dxa"/>
            <w:vMerge w:val="restart"/>
            <w:vAlign w:val="center"/>
          </w:tcPr>
          <w:p w14:paraId="6C51D3C7">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r>
              <w:rPr>
                <w:kern w:val="0"/>
                <w:szCs w:val="20"/>
                <w:lang w:val="en-US" w:eastAsia="zh-CN"/>
              </w:rPr>
              <w:t>骨盆、骶髂关节</w:t>
            </w:r>
          </w:p>
        </w:tc>
        <w:tc>
          <w:tcPr>
            <w:tcW w:w="2710" w:type="dxa"/>
            <w:vAlign w:val="center"/>
          </w:tcPr>
          <w:p w14:paraId="7A05FBD8">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r>
              <w:rPr>
                <w:kern w:val="0"/>
                <w:szCs w:val="20"/>
                <w:lang w:val="en-US" w:eastAsia="zh-CN"/>
              </w:rPr>
              <w:t>屈髋屈膝冲压手法</w:t>
            </w:r>
          </w:p>
        </w:tc>
      </w:tr>
      <w:tr w14:paraId="436B9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303" w:type="dxa"/>
            <w:vMerge w:val="continue"/>
            <w:vAlign w:val="center"/>
          </w:tcPr>
          <w:p w14:paraId="7846E231">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p>
        </w:tc>
        <w:tc>
          <w:tcPr>
            <w:tcW w:w="1312" w:type="dxa"/>
            <w:vMerge w:val="continue"/>
            <w:vAlign w:val="center"/>
          </w:tcPr>
          <w:p w14:paraId="67AF1573">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p>
        </w:tc>
        <w:tc>
          <w:tcPr>
            <w:tcW w:w="1125" w:type="dxa"/>
            <w:vMerge w:val="continue"/>
            <w:vAlign w:val="center"/>
          </w:tcPr>
          <w:p w14:paraId="6E87B4BD">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p>
        </w:tc>
        <w:tc>
          <w:tcPr>
            <w:tcW w:w="1313" w:type="dxa"/>
            <w:vMerge w:val="continue"/>
            <w:vAlign w:val="center"/>
          </w:tcPr>
          <w:p w14:paraId="538FA9CE">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p>
        </w:tc>
        <w:tc>
          <w:tcPr>
            <w:tcW w:w="2710" w:type="dxa"/>
            <w:vAlign w:val="center"/>
          </w:tcPr>
          <w:p w14:paraId="48F39D2C">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r>
              <w:rPr>
                <w:kern w:val="0"/>
                <w:szCs w:val="20"/>
                <w:lang w:val="en-US" w:eastAsia="zh-CN"/>
              </w:rPr>
              <w:t>屈髋屈膝施压外旋外展伸腿手法</w:t>
            </w:r>
          </w:p>
        </w:tc>
      </w:tr>
      <w:tr w14:paraId="0E8A7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303" w:type="dxa"/>
            <w:vMerge w:val="continue"/>
            <w:vAlign w:val="center"/>
          </w:tcPr>
          <w:p w14:paraId="6402C14B">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p>
        </w:tc>
        <w:tc>
          <w:tcPr>
            <w:tcW w:w="1312" w:type="dxa"/>
            <w:vMerge w:val="continue"/>
            <w:vAlign w:val="center"/>
          </w:tcPr>
          <w:p w14:paraId="25CAF851">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p>
        </w:tc>
        <w:tc>
          <w:tcPr>
            <w:tcW w:w="1125" w:type="dxa"/>
            <w:vMerge w:val="restart"/>
            <w:vAlign w:val="center"/>
          </w:tcPr>
          <w:p w14:paraId="187340E9">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r>
              <w:rPr>
                <w:kern w:val="0"/>
                <w:szCs w:val="20"/>
                <w:lang w:val="en-US" w:eastAsia="zh-CN"/>
              </w:rPr>
              <w:t>下肢区</w:t>
            </w:r>
          </w:p>
        </w:tc>
        <w:tc>
          <w:tcPr>
            <w:tcW w:w="1313" w:type="dxa"/>
            <w:vMerge w:val="restart"/>
            <w:vAlign w:val="center"/>
          </w:tcPr>
          <w:p w14:paraId="410E4CEC">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r>
              <w:rPr>
                <w:kern w:val="0"/>
                <w:szCs w:val="20"/>
                <w:lang w:val="en-US" w:eastAsia="zh-CN"/>
              </w:rPr>
              <w:t>双下肢</w:t>
            </w:r>
          </w:p>
        </w:tc>
        <w:tc>
          <w:tcPr>
            <w:tcW w:w="2710" w:type="dxa"/>
            <w:vAlign w:val="center"/>
          </w:tcPr>
          <w:p w14:paraId="4AF7B4B3">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r>
              <w:rPr>
                <w:kern w:val="0"/>
                <w:szCs w:val="20"/>
                <w:lang w:val="en-US" w:eastAsia="zh-CN"/>
              </w:rPr>
              <w:t>屈髋屈膝蹬足手法</w:t>
            </w:r>
          </w:p>
        </w:tc>
      </w:tr>
      <w:tr w14:paraId="3762D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303" w:type="dxa"/>
            <w:vMerge w:val="continue"/>
            <w:vAlign w:val="center"/>
          </w:tcPr>
          <w:p w14:paraId="6C0A9E98">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p>
        </w:tc>
        <w:tc>
          <w:tcPr>
            <w:tcW w:w="1312" w:type="dxa"/>
            <w:vMerge w:val="continue"/>
            <w:vAlign w:val="center"/>
          </w:tcPr>
          <w:p w14:paraId="0C372B13">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p>
        </w:tc>
        <w:tc>
          <w:tcPr>
            <w:tcW w:w="1125" w:type="dxa"/>
            <w:vMerge w:val="continue"/>
            <w:vAlign w:val="center"/>
          </w:tcPr>
          <w:p w14:paraId="04EB7FF6">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p>
        </w:tc>
        <w:tc>
          <w:tcPr>
            <w:tcW w:w="1313" w:type="dxa"/>
            <w:vMerge w:val="continue"/>
            <w:vAlign w:val="center"/>
          </w:tcPr>
          <w:p w14:paraId="2D8C1D8A">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p>
        </w:tc>
        <w:tc>
          <w:tcPr>
            <w:tcW w:w="2710" w:type="dxa"/>
            <w:vAlign w:val="center"/>
          </w:tcPr>
          <w:p w14:paraId="467277DA">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r>
              <w:rPr>
                <w:kern w:val="0"/>
                <w:szCs w:val="20"/>
                <w:lang w:val="en-US" w:eastAsia="zh-CN"/>
              </w:rPr>
              <w:t>对抗牵引牵抖手法</w:t>
            </w:r>
          </w:p>
        </w:tc>
      </w:tr>
      <w:tr w14:paraId="71EAA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trPr>
        <w:tc>
          <w:tcPr>
            <w:tcW w:w="1303" w:type="dxa"/>
            <w:vAlign w:val="center"/>
          </w:tcPr>
          <w:p w14:paraId="3442560A">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r>
              <w:rPr>
                <w:kern w:val="0"/>
                <w:szCs w:val="20"/>
                <w:lang w:val="en-US" w:eastAsia="zh-CN"/>
              </w:rPr>
              <w:t>结束部分</w:t>
            </w:r>
          </w:p>
        </w:tc>
        <w:tc>
          <w:tcPr>
            <w:tcW w:w="1312" w:type="dxa"/>
            <w:vAlign w:val="center"/>
          </w:tcPr>
          <w:p w14:paraId="0730169C">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p>
        </w:tc>
        <w:tc>
          <w:tcPr>
            <w:tcW w:w="1125" w:type="dxa"/>
            <w:vAlign w:val="center"/>
          </w:tcPr>
          <w:p w14:paraId="4EAD889A">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p>
        </w:tc>
        <w:tc>
          <w:tcPr>
            <w:tcW w:w="1313" w:type="dxa"/>
            <w:vAlign w:val="center"/>
          </w:tcPr>
          <w:p w14:paraId="52ECC9EF">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p>
        </w:tc>
        <w:tc>
          <w:tcPr>
            <w:tcW w:w="2710" w:type="dxa"/>
            <w:vAlign w:val="center"/>
          </w:tcPr>
          <w:p w14:paraId="29F855BA">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right="0" w:firstLine="0" w:firstLineChars="0"/>
              <w:jc w:val="center"/>
              <w:textAlignment w:val="auto"/>
              <w:rPr>
                <w:lang w:val="en-US" w:eastAsia="zh-CN"/>
              </w:rPr>
            </w:pPr>
            <w:r>
              <w:rPr>
                <w:kern w:val="0"/>
                <w:szCs w:val="20"/>
                <w:lang w:val="en-US" w:eastAsia="zh-CN"/>
              </w:rPr>
              <w:t>揉法、推法、捋法、拍法</w:t>
            </w:r>
          </w:p>
        </w:tc>
      </w:tr>
    </w:tbl>
    <w:p w14:paraId="35FD7157">
      <w:pPr>
        <w:pStyle w:val="36"/>
        <w:keepNext w:val="0"/>
        <w:keepLines w:val="0"/>
        <w:pageBreakBefore w:val="0"/>
        <w:numPr>
          <w:ilvl w:val="0"/>
          <w:numId w:val="0"/>
        </w:numPr>
        <w:kinsoku/>
        <w:wordWrap/>
        <w:overflowPunct/>
        <w:topLinePunct w:val="0"/>
        <w:bidi w:val="0"/>
        <w:spacing w:before="0" w:after="0" w:afterAutospacing="0" w:line="360" w:lineRule="auto"/>
        <w:ind w:left="425" w:firstLine="420" w:firstLineChars="200"/>
        <w:rPr>
          <w:lang w:val="en-US" w:eastAsia="zh-CN"/>
        </w:rPr>
      </w:pPr>
    </w:p>
    <w:p w14:paraId="09961BFF">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firstLine="560" w:firstLineChars="200"/>
        <w:textAlignment w:val="auto"/>
        <w:rPr>
          <w:sz w:val="28"/>
          <w:szCs w:val="28"/>
          <w:lang w:val="en-US" w:eastAsia="zh-CN"/>
        </w:rPr>
      </w:pPr>
      <w:r>
        <w:rPr>
          <w:sz w:val="28"/>
          <w:szCs w:val="28"/>
          <w:lang w:val="en-US" w:eastAsia="zh-CN"/>
        </w:rPr>
        <w:t>具体手法介绍如下:</w:t>
      </w:r>
    </w:p>
    <w:p w14:paraId="282B97D7">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textAlignment w:val="auto"/>
        <w:rPr>
          <w:sz w:val="28"/>
          <w:szCs w:val="28"/>
          <w:lang w:val="en-US" w:eastAsia="zh-CN"/>
        </w:rPr>
      </w:pPr>
      <w:r>
        <w:rPr>
          <w:sz w:val="28"/>
          <w:szCs w:val="28"/>
          <w:lang w:val="en-US" w:eastAsia="zh-CN"/>
        </w:rPr>
        <w:t>6.1.1放松手法(准备部分、结束部分)</w:t>
      </w:r>
    </w:p>
    <w:p w14:paraId="42FA9C3D">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firstLine="560" w:firstLineChars="200"/>
        <w:textAlignment w:val="auto"/>
        <w:rPr>
          <w:sz w:val="28"/>
          <w:szCs w:val="28"/>
          <w:lang w:val="en-US" w:eastAsia="zh-CN"/>
        </w:rPr>
      </w:pPr>
      <w:r>
        <w:rPr>
          <w:sz w:val="28"/>
          <w:szCs w:val="28"/>
          <w:lang w:val="en-US" w:eastAsia="zh-CN"/>
        </w:rPr>
        <w:t>(1)揉法:俯卧位，充分暴露脊柱，治疗者以单手或双手于施治部位做轻而和缓的旋转揉动，自上而下按揉2~3次。</w:t>
      </w:r>
    </w:p>
    <w:p w14:paraId="6DD560C4">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firstLine="560" w:firstLineChars="200"/>
        <w:textAlignment w:val="auto"/>
        <w:rPr>
          <w:sz w:val="28"/>
          <w:szCs w:val="28"/>
          <w:lang w:val="en-US" w:eastAsia="zh-CN"/>
        </w:rPr>
      </w:pPr>
      <w:r>
        <w:rPr>
          <w:sz w:val="28"/>
          <w:szCs w:val="28"/>
          <w:lang w:val="en-US" w:eastAsia="zh-CN"/>
        </w:rPr>
        <w:t>(2)推法:取俯卧位，充分暴露脊柱，治疗者双手拇指或掌根部分别置于脊柱棘突两侧2cm处，自上而下直推2~3次。</w:t>
      </w:r>
    </w:p>
    <w:p w14:paraId="77312852">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firstLine="560" w:firstLineChars="200"/>
        <w:textAlignment w:val="auto"/>
        <w:rPr>
          <w:sz w:val="28"/>
          <w:szCs w:val="28"/>
          <w:lang w:val="en-US" w:eastAsia="zh-CN"/>
        </w:rPr>
      </w:pPr>
      <w:r>
        <w:rPr>
          <w:sz w:val="28"/>
          <w:szCs w:val="28"/>
          <w:lang w:val="en-US" w:eastAsia="zh-CN"/>
        </w:rPr>
        <w:t>(3)捋法:患者俯卧位，充分暴露脊柱，治疗者用手掌紧贴皮肤于肢体近端向远端推移，自上而下顺捋2~3次。</w:t>
      </w:r>
    </w:p>
    <w:p w14:paraId="3B03C235">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firstLine="560" w:firstLineChars="200"/>
        <w:textAlignment w:val="auto"/>
        <w:rPr>
          <w:sz w:val="28"/>
          <w:szCs w:val="28"/>
          <w:lang w:val="en-US" w:eastAsia="zh-CN"/>
        </w:rPr>
      </w:pPr>
      <w:r>
        <w:rPr>
          <w:sz w:val="28"/>
          <w:szCs w:val="28"/>
          <w:lang w:val="en-US" w:eastAsia="zh-CN"/>
        </w:rPr>
        <w:t>(4)拍法:患者俯卧位，充分暴露脊柱，治疗者用拇指腹和手掌掌侧着力，五指自然并拢，掌指关节微屈，使掌心空虚，然后以虚掌做节律的拍击肩背部、腰骶部、臀部及下肢，自上而下有节律拍击2~3次。</w:t>
      </w:r>
    </w:p>
    <w:p w14:paraId="6EBEE2A2">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textAlignment w:val="auto"/>
        <w:rPr>
          <w:sz w:val="28"/>
          <w:szCs w:val="28"/>
          <w:lang w:val="en-US" w:eastAsia="zh-CN"/>
        </w:rPr>
      </w:pPr>
      <w:r>
        <w:rPr>
          <w:sz w:val="28"/>
          <w:szCs w:val="28"/>
          <w:lang w:val="en-US" w:eastAsia="zh-CN"/>
        </w:rPr>
        <w:t>6.1.2治疗手法</w:t>
      </w:r>
    </w:p>
    <w:p w14:paraId="1B4B5709">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firstLine="560" w:firstLineChars="200"/>
        <w:textAlignment w:val="auto"/>
        <w:rPr>
          <w:sz w:val="28"/>
          <w:szCs w:val="28"/>
          <w:lang w:val="en-US" w:eastAsia="zh-CN"/>
        </w:rPr>
      </w:pPr>
      <w:r>
        <w:rPr>
          <w:sz w:val="28"/>
          <w:szCs w:val="28"/>
          <w:lang w:val="en-US" w:eastAsia="zh-CN"/>
        </w:rPr>
        <w:t>(1)颈椎松肌理筋手法:患者俯卧位，治疗者沿着横突连线、棘突旁线、棘突正中线，采用拇指按揉及顺肌纤维自上而下推压等方法，手法自上而下，以轻、重、轻相结合进行理筋推压。</w:t>
      </w:r>
    </w:p>
    <w:p w14:paraId="0370A930">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firstLine="560" w:firstLineChars="200"/>
        <w:textAlignment w:val="auto"/>
        <w:rPr>
          <w:sz w:val="28"/>
          <w:szCs w:val="28"/>
          <w:lang w:val="en-US" w:eastAsia="zh-CN"/>
        </w:rPr>
      </w:pPr>
      <w:r>
        <w:rPr>
          <w:sz w:val="28"/>
          <w:szCs w:val="28"/>
          <w:lang w:val="en-US" w:eastAsia="zh-CN"/>
        </w:rPr>
        <w:t>(2)胸椎俯卧冲压手法:患者俯卧位，双手自然分开放于床两侧，治疗者立于患者一侧，前臂交叉，右手掌根部按于胸椎棘突左方，左手掌根部按于胸椎棘突右方，令患者做深呼吸，当其呼气时，双手同时用一冲击压力下按，操作过程中可根据患者棘突左右偏移、旋转不同，治疗者调整手部作用力的方向进行操作。若患者无棘突一侧偏移旋转，治疗者手部作用力不做调整。</w:t>
      </w:r>
    </w:p>
    <w:p w14:paraId="18909718">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firstLine="560" w:firstLineChars="200"/>
        <w:textAlignment w:val="auto"/>
        <w:rPr>
          <w:sz w:val="28"/>
          <w:szCs w:val="28"/>
          <w:lang w:val="en-US" w:eastAsia="zh-CN"/>
        </w:rPr>
      </w:pPr>
      <w:r>
        <w:rPr>
          <w:sz w:val="28"/>
          <w:szCs w:val="28"/>
          <w:lang w:val="en-US" w:eastAsia="zh-CN"/>
        </w:rPr>
        <w:t>(3)胸椎按背扳肩整复手法:患者俯卧，治疗者站于胸椎棘突偏凸侧，以一手掌根部抵住偏凸棘突对侧，另一手抓住对侧肩部向后扳，使胸椎后伸扭转至极限位，然后两手协调用力，做一突发有控制地扳动，扩大扭转幅度3°~5，并向患者前上方推压辣突。</w:t>
      </w:r>
    </w:p>
    <w:p w14:paraId="4A6B1F90">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firstLine="560" w:firstLineChars="200"/>
        <w:textAlignment w:val="auto"/>
        <w:rPr>
          <w:sz w:val="28"/>
          <w:szCs w:val="28"/>
          <w:lang w:val="en-US" w:eastAsia="zh-CN"/>
        </w:rPr>
      </w:pPr>
      <w:r>
        <w:rPr>
          <w:sz w:val="28"/>
          <w:szCs w:val="28"/>
          <w:lang w:val="en-US" w:eastAsia="zh-CN"/>
        </w:rPr>
        <w:t>(4)胸椎调横正骨手法:以左侧为例，左手从患者肩上穿腋下，置于左胸背部，右手从后背腋下穿过，紧握患者右手腕部，患者双手在其颈部交叉握住，医者之胸紧贴患者之背部，待患者充分放松，向左侧外展上提患者双肩，使患者挺胸，医者有固定感时突然发力向左侧上方外展上提，此时可听到胸椎部的弹响声，右侧则相反。</w:t>
      </w:r>
    </w:p>
    <w:p w14:paraId="7498924D">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firstLine="560" w:firstLineChars="200"/>
        <w:textAlignment w:val="auto"/>
        <w:rPr>
          <w:sz w:val="28"/>
          <w:szCs w:val="28"/>
          <w:lang w:val="en-US" w:eastAsia="zh-CN"/>
        </w:rPr>
      </w:pPr>
      <w:r>
        <w:rPr>
          <w:sz w:val="28"/>
          <w:szCs w:val="28"/>
          <w:lang w:val="en-US" w:eastAsia="zh-CN"/>
        </w:rPr>
        <w:t>(5)腰部斜扳手法:患者取侧卧位，卧侧下肢自然伸直，上侧下肢屈髋屈膝自然放于卧侧小腿上。治疗者站立其面前，以一手或肘抵住其肩前部，另一手或肘抵于臀部。两手或两肘同时协调做反向用力，先做5~8次腰部小幅度的扭转活动，使腰部形成连续的小幅度扭转而放松。待腰部完全放松后，再使腰部扭转至有明显阻力位时，略停片刻，然后施以“巧力寸劲”，做一个突发的、增大幅度的快速扳动，常可闻及“喀喀”的弹响声。</w:t>
      </w:r>
    </w:p>
    <w:p w14:paraId="557731F1">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firstLine="560" w:firstLineChars="200"/>
        <w:textAlignment w:val="auto"/>
        <w:rPr>
          <w:sz w:val="28"/>
          <w:szCs w:val="28"/>
          <w:lang w:val="en-US" w:eastAsia="zh-CN"/>
        </w:rPr>
      </w:pPr>
      <w:r>
        <w:rPr>
          <w:sz w:val="28"/>
          <w:szCs w:val="28"/>
          <w:lang w:val="en-US" w:eastAsia="zh-CN"/>
        </w:rPr>
        <w:t>(6)推腰扳腿手法:患者取健侧卧位，术者立于患者身后，以一手掌顶推患部腰椎向前，另一手臂从膝部托起患肢，先转动髋关节3~5圈，双手在协调下做反方向用力，顺势将髋关节在外展约30°位置下做后伸活动3~5次。</w:t>
      </w:r>
    </w:p>
    <w:p w14:paraId="299425AF">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firstLine="560" w:firstLineChars="200"/>
        <w:textAlignment w:val="auto"/>
        <w:rPr>
          <w:sz w:val="28"/>
          <w:szCs w:val="28"/>
          <w:lang w:val="en-US" w:eastAsia="zh-CN"/>
        </w:rPr>
      </w:pPr>
      <w:r>
        <w:rPr>
          <w:sz w:val="28"/>
          <w:szCs w:val="28"/>
          <w:lang w:val="en-US" w:eastAsia="zh-CN"/>
        </w:rPr>
        <w:t>（7)腰椎调横正骨手法:以右侧为例，患者双手上举置于脑后，助手面对患者，固定患者双腿，右手从腋下绕颈部顺势右旋，左手拇指顶于患者的右侧棘突向对侧施力，常伴随轻微弹响声;若是左侧则方向相反。</w:t>
      </w:r>
    </w:p>
    <w:p w14:paraId="0414E507">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firstLine="560" w:firstLineChars="200"/>
        <w:textAlignment w:val="auto"/>
        <w:rPr>
          <w:sz w:val="28"/>
          <w:szCs w:val="28"/>
          <w:lang w:val="en-US" w:eastAsia="zh-CN"/>
        </w:rPr>
      </w:pPr>
      <w:r>
        <w:rPr>
          <w:sz w:val="28"/>
          <w:szCs w:val="28"/>
          <w:lang w:val="en-US" w:eastAsia="zh-CN"/>
        </w:rPr>
        <w:t>（8)屈髋屈膝冲压手法:患者仰卧位，双下肢伸直，医师站于患侧，一手抓住患侧踝部，另一手抓扶膝部，将患肢做屈髋屈膝动作。在屈髋至最大角度时，医师将扶膝之手改用前臂屈肘按压其小腿(向腹部对侧按下)，再向上、向外各按压1~2次，每按压一次，医师双手紧握踝部向下用力牵拉抖动一下。</w:t>
      </w:r>
    </w:p>
    <w:p w14:paraId="7655FC5D">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firstLine="560" w:firstLineChars="200"/>
        <w:textAlignment w:val="auto"/>
        <w:rPr>
          <w:sz w:val="28"/>
          <w:szCs w:val="28"/>
          <w:lang w:val="en-US" w:eastAsia="zh-CN"/>
        </w:rPr>
      </w:pPr>
      <w:r>
        <w:rPr>
          <w:sz w:val="28"/>
          <w:szCs w:val="28"/>
          <w:lang w:val="en-US" w:eastAsia="zh-CN"/>
        </w:rPr>
        <w:t>(9)屈膝屈髋按压外旋外展伸膝手法:患者取仰卧位，健侧下肢伸直，助手立于健侧，双手分别紧按健侧髋、膝关节部以固定，术者站于患侧，双手分别紧握患肢踝关节及膝关节，做屈膝屈髋到最大限度时，用肘部按压患侧小腿胫前3~4次后，按压力度视患者体质及病情而定。再外旋外展髋关节后伸直患肢，上述动作连续重复2~3次。</w:t>
      </w:r>
    </w:p>
    <w:p w14:paraId="20B7467D">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firstLine="560" w:firstLineChars="200"/>
        <w:textAlignment w:val="auto"/>
        <w:rPr>
          <w:sz w:val="28"/>
          <w:szCs w:val="28"/>
          <w:lang w:val="en-US" w:eastAsia="zh-CN"/>
        </w:rPr>
      </w:pPr>
      <w:r>
        <w:rPr>
          <w:sz w:val="28"/>
          <w:szCs w:val="28"/>
          <w:lang w:val="en-US" w:eastAsia="zh-CN"/>
        </w:rPr>
        <w:t>(10)屈髋屈膝蹬足手法:患者取仰卧位。术者一手紧握患侧下肢踝关节后方，一手扶住膝关节上方，使其在屈髋屈膝最大限度时，用力快速向下拔伸。重复3次。</w:t>
      </w:r>
    </w:p>
    <w:p w14:paraId="59685FFD">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firstLine="560" w:firstLineChars="200"/>
        <w:textAlignment w:val="auto"/>
        <w:rPr>
          <w:sz w:val="28"/>
          <w:szCs w:val="28"/>
          <w:lang w:val="en-US" w:eastAsia="zh-CN"/>
        </w:rPr>
      </w:pPr>
      <w:r>
        <w:rPr>
          <w:sz w:val="28"/>
          <w:szCs w:val="28"/>
          <w:lang w:val="en-US" w:eastAsia="zh-CN"/>
        </w:rPr>
        <w:t>柔筋衡脊功法操，表3。</w:t>
      </w:r>
    </w:p>
    <w:p w14:paraId="31938743">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firstLine="560" w:firstLineChars="200"/>
        <w:textAlignment w:val="auto"/>
        <w:rPr>
          <w:sz w:val="28"/>
          <w:szCs w:val="28"/>
          <w:lang w:val="en-US" w:eastAsia="zh-CN"/>
        </w:rPr>
      </w:pPr>
      <w:r>
        <w:rPr>
          <w:sz w:val="28"/>
          <w:szCs w:val="28"/>
          <w:lang w:val="en-US" w:eastAsia="zh-CN"/>
        </w:rPr>
        <w:t>通过特定的功能锻炼，针对不同侧凸类型结合姿势调整、呼吸技术、肌肉激活等多种手段恢复椎体、肋骨、双肩及骨盆的正常解剖位置，改善AIS患者在冠状面、矢状面和轴面的畸形改变。</w:t>
      </w:r>
    </w:p>
    <w:p w14:paraId="674D2B4C">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firstLine="560" w:firstLineChars="200"/>
        <w:textAlignment w:val="auto"/>
        <w:rPr>
          <w:lang w:val="en-US" w:eastAsia="zh-CN"/>
        </w:rPr>
      </w:pPr>
      <w:r>
        <w:rPr>
          <w:sz w:val="28"/>
          <w:szCs w:val="28"/>
          <w:lang w:val="en-US" w:eastAsia="zh-CN"/>
        </w:rPr>
        <w:t>由准备部分、治疗部分、结束部分组成：准备部分包括调息训练放松患者脊柱两侧肌肉，尤其松解由于脊柱侧弯顶椎区挛缩的肌肉；治疗部分包强脊训练（强脊式、通调式、理筋式）、脊正训练（束肩推脊训练、推脊降臀训练、推脊提臀训练、束脊降臀训练），功能锻炼符合中医“整体-局部-整体”的观治疗理念。</w:t>
      </w:r>
    </w:p>
    <w:p w14:paraId="6CF7E569">
      <w:pPr>
        <w:pStyle w:val="37"/>
        <w:keepNext w:val="0"/>
        <w:keepLines w:val="0"/>
        <w:pageBreakBefore w:val="0"/>
        <w:widowControl/>
        <w:numPr>
          <w:ilvl w:val="0"/>
          <w:numId w:val="4"/>
        </w:numPr>
        <w:kinsoku/>
        <w:wordWrap/>
        <w:overflowPunct/>
        <w:topLinePunct w:val="0"/>
        <w:bidi w:val="0"/>
        <w:adjustRightInd/>
        <w:snapToGrid/>
        <w:spacing w:before="0" w:after="0" w:afterAutospacing="0" w:line="360" w:lineRule="auto"/>
        <w:ind w:left="0" w:firstLine="420" w:firstLineChars="200"/>
        <w:jc w:val="center"/>
        <w:textAlignment w:val="auto"/>
        <w:rPr>
          <w:lang w:val="en-US" w:eastAsia="zh-CN"/>
        </w:rPr>
      </w:pPr>
      <w:r>
        <w:rPr>
          <w:lang w:val="en-US" w:eastAsia="zh-CN"/>
        </w:rPr>
        <w:t>柔筋衡脊功法概况</w:t>
      </w:r>
    </w:p>
    <w:tbl>
      <w:tblPr>
        <w:tblStyle w:val="7"/>
        <w:tblW w:w="7825" w:type="dxa"/>
        <w:jc w:val="center"/>
        <w:tblLayout w:type="fixed"/>
        <w:tblCellMar>
          <w:top w:w="0" w:type="dxa"/>
          <w:left w:w="108" w:type="dxa"/>
          <w:bottom w:w="0" w:type="dxa"/>
          <w:right w:w="108" w:type="dxa"/>
        </w:tblCellMar>
      </w:tblPr>
      <w:tblGrid>
        <w:gridCol w:w="1460"/>
        <w:gridCol w:w="1570"/>
        <w:gridCol w:w="2395"/>
        <w:gridCol w:w="2400"/>
      </w:tblGrid>
      <w:tr w14:paraId="1FB17E11">
        <w:tblPrEx>
          <w:tblCellMar>
            <w:top w:w="0" w:type="dxa"/>
            <w:left w:w="108" w:type="dxa"/>
            <w:bottom w:w="0" w:type="dxa"/>
            <w:right w:w="108" w:type="dxa"/>
          </w:tblCellMar>
        </w:tblPrEx>
        <w:trPr>
          <w:trHeight w:val="467" w:hRule="atLeast"/>
          <w:jc w:val="center"/>
        </w:trPr>
        <w:tc>
          <w:tcPr>
            <w:tcW w:w="1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F36BA">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firstLine="0" w:firstLineChars="0"/>
              <w:jc w:val="center"/>
              <w:textAlignment w:val="auto"/>
              <w:rPr>
                <w:kern w:val="0"/>
                <w:szCs w:val="20"/>
                <w:lang w:val="en-US" w:eastAsia="zh-CN"/>
              </w:rPr>
            </w:pPr>
            <w:r>
              <w:rPr>
                <w:kern w:val="0"/>
                <w:szCs w:val="20"/>
                <w:lang w:val="en-US" w:eastAsia="zh-CN"/>
              </w:rPr>
              <w:t>部分（三部）</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F4E7D">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firstLine="0" w:firstLineChars="0"/>
              <w:jc w:val="center"/>
              <w:textAlignment w:val="auto"/>
              <w:rPr>
                <w:kern w:val="0"/>
                <w:szCs w:val="20"/>
                <w:lang w:val="en-US" w:eastAsia="zh-CN"/>
              </w:rPr>
            </w:pPr>
            <w:r>
              <w:rPr>
                <w:kern w:val="0"/>
                <w:szCs w:val="20"/>
                <w:lang w:val="en-US" w:eastAsia="zh-CN"/>
              </w:rPr>
              <w:t>三势</w:t>
            </w:r>
          </w:p>
        </w:tc>
        <w:tc>
          <w:tcPr>
            <w:tcW w:w="2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79D96">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firstLine="0" w:firstLineChars="0"/>
              <w:jc w:val="center"/>
              <w:textAlignment w:val="auto"/>
              <w:rPr>
                <w:kern w:val="0"/>
                <w:szCs w:val="20"/>
                <w:lang w:val="en-US" w:eastAsia="zh-CN"/>
              </w:rPr>
            </w:pPr>
            <w:r>
              <w:rPr>
                <w:kern w:val="0"/>
                <w:szCs w:val="20"/>
                <w:lang w:val="en-US" w:eastAsia="zh-CN"/>
              </w:rPr>
              <w:t>区域（三区）</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5623B">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firstLine="0" w:firstLineChars="0"/>
              <w:jc w:val="center"/>
              <w:textAlignment w:val="auto"/>
              <w:rPr>
                <w:kern w:val="0"/>
                <w:szCs w:val="20"/>
                <w:lang w:val="en-US" w:eastAsia="zh-CN"/>
              </w:rPr>
            </w:pPr>
            <w:r>
              <w:rPr>
                <w:kern w:val="0"/>
                <w:szCs w:val="20"/>
                <w:lang w:val="en-US" w:eastAsia="zh-CN"/>
              </w:rPr>
              <w:t>练功部分</w:t>
            </w:r>
          </w:p>
        </w:tc>
      </w:tr>
      <w:tr w14:paraId="11F94D18">
        <w:tblPrEx>
          <w:tblCellMar>
            <w:top w:w="0" w:type="dxa"/>
            <w:left w:w="108" w:type="dxa"/>
            <w:bottom w:w="0" w:type="dxa"/>
            <w:right w:w="108" w:type="dxa"/>
          </w:tblCellMar>
        </w:tblPrEx>
        <w:trPr>
          <w:trHeight w:val="467" w:hRule="atLeast"/>
          <w:jc w:val="center"/>
        </w:trPr>
        <w:tc>
          <w:tcPr>
            <w:tcW w:w="1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FB2A4">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firstLine="0" w:firstLineChars="0"/>
              <w:jc w:val="center"/>
              <w:textAlignment w:val="auto"/>
              <w:rPr>
                <w:kern w:val="0"/>
                <w:szCs w:val="20"/>
                <w:lang w:val="en-US" w:eastAsia="zh-CN"/>
              </w:rPr>
            </w:pPr>
            <w:r>
              <w:rPr>
                <w:kern w:val="0"/>
                <w:szCs w:val="20"/>
                <w:lang w:val="en-US" w:eastAsia="zh-CN"/>
              </w:rPr>
              <w:t>准备部分</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B1F3D">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firstLine="0" w:firstLineChars="0"/>
              <w:jc w:val="center"/>
              <w:textAlignment w:val="auto"/>
              <w:rPr>
                <w:kern w:val="0"/>
                <w:szCs w:val="20"/>
                <w:lang w:val="en-US" w:eastAsia="zh-CN"/>
              </w:rPr>
            </w:pPr>
            <w:r>
              <w:rPr>
                <w:kern w:val="0"/>
                <w:szCs w:val="20"/>
                <w:lang w:val="en-US" w:eastAsia="zh-CN"/>
              </w:rPr>
              <w:t>调息训练</w:t>
            </w:r>
          </w:p>
        </w:tc>
        <w:tc>
          <w:tcPr>
            <w:tcW w:w="2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4D6AB">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firstLine="0" w:firstLineChars="0"/>
              <w:jc w:val="center"/>
              <w:textAlignment w:val="auto"/>
              <w:rPr>
                <w:kern w:val="0"/>
                <w:szCs w:val="20"/>
                <w:lang w:val="en-US" w:eastAsia="zh-CN"/>
              </w:rPr>
            </w:pP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83FE6">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firstLine="0" w:firstLineChars="0"/>
              <w:jc w:val="center"/>
              <w:textAlignment w:val="auto"/>
              <w:rPr>
                <w:kern w:val="0"/>
                <w:szCs w:val="20"/>
                <w:lang w:val="en-US" w:eastAsia="zh-CN"/>
              </w:rPr>
            </w:pPr>
            <w:r>
              <w:rPr>
                <w:kern w:val="0"/>
                <w:szCs w:val="20"/>
                <w:lang w:val="en-US" w:eastAsia="zh-CN"/>
              </w:rPr>
              <w:t>调息训练</w:t>
            </w:r>
          </w:p>
        </w:tc>
      </w:tr>
      <w:tr w14:paraId="6C1BF039">
        <w:tblPrEx>
          <w:tblCellMar>
            <w:top w:w="0" w:type="dxa"/>
            <w:left w:w="108" w:type="dxa"/>
            <w:bottom w:w="0" w:type="dxa"/>
            <w:right w:w="108" w:type="dxa"/>
          </w:tblCellMar>
        </w:tblPrEx>
        <w:trPr>
          <w:trHeight w:val="467" w:hRule="atLeast"/>
          <w:jc w:val="center"/>
        </w:trPr>
        <w:tc>
          <w:tcPr>
            <w:tcW w:w="14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58B5B5">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firstLine="0" w:firstLineChars="0"/>
              <w:jc w:val="center"/>
              <w:textAlignment w:val="auto"/>
              <w:rPr>
                <w:kern w:val="0"/>
                <w:szCs w:val="20"/>
                <w:lang w:val="en-US" w:eastAsia="zh-CN"/>
              </w:rPr>
            </w:pPr>
          </w:p>
          <w:p w14:paraId="6DD2E455">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firstLine="0" w:firstLineChars="0"/>
              <w:jc w:val="center"/>
              <w:textAlignment w:val="auto"/>
              <w:rPr>
                <w:kern w:val="0"/>
                <w:szCs w:val="20"/>
                <w:lang w:val="en-US" w:eastAsia="zh-CN"/>
              </w:rPr>
            </w:pPr>
          </w:p>
          <w:p w14:paraId="51B11F83">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firstLine="0" w:firstLineChars="0"/>
              <w:jc w:val="center"/>
              <w:textAlignment w:val="auto"/>
              <w:rPr>
                <w:kern w:val="0"/>
                <w:szCs w:val="20"/>
                <w:lang w:val="en-US" w:eastAsia="zh-CN"/>
              </w:rPr>
            </w:pPr>
            <w:r>
              <w:rPr>
                <w:kern w:val="0"/>
                <w:szCs w:val="20"/>
                <w:lang w:val="en-US" w:eastAsia="zh-CN"/>
              </w:rPr>
              <w:t>治疗部份</w:t>
            </w:r>
          </w:p>
        </w:tc>
        <w:tc>
          <w:tcPr>
            <w:tcW w:w="15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DFCFB0">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firstLine="0" w:firstLineChars="0"/>
              <w:jc w:val="center"/>
              <w:textAlignment w:val="auto"/>
              <w:rPr>
                <w:kern w:val="0"/>
                <w:szCs w:val="20"/>
                <w:lang w:val="en-US" w:eastAsia="zh-CN"/>
              </w:rPr>
            </w:pPr>
          </w:p>
          <w:p w14:paraId="4BAFA851">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firstLine="0" w:firstLineChars="0"/>
              <w:jc w:val="center"/>
              <w:textAlignment w:val="auto"/>
              <w:rPr>
                <w:kern w:val="0"/>
                <w:szCs w:val="20"/>
                <w:lang w:val="en-US" w:eastAsia="zh-CN"/>
              </w:rPr>
            </w:pPr>
            <w:r>
              <w:rPr>
                <w:kern w:val="0"/>
                <w:szCs w:val="20"/>
                <w:lang w:val="en-US" w:eastAsia="zh-CN"/>
              </w:rPr>
              <w:t>强脊训练</w:t>
            </w:r>
          </w:p>
        </w:tc>
        <w:tc>
          <w:tcPr>
            <w:tcW w:w="23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EF2426">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firstLine="0" w:firstLineChars="0"/>
              <w:jc w:val="center"/>
              <w:textAlignment w:val="auto"/>
              <w:rPr>
                <w:kern w:val="0"/>
                <w:szCs w:val="20"/>
                <w:lang w:val="en-US" w:eastAsia="zh-CN"/>
              </w:rPr>
            </w:pPr>
          </w:p>
          <w:p w14:paraId="1189C393">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firstLine="0" w:firstLineChars="0"/>
              <w:jc w:val="center"/>
              <w:textAlignment w:val="auto"/>
              <w:rPr>
                <w:kern w:val="0"/>
                <w:szCs w:val="20"/>
                <w:lang w:val="en-US" w:eastAsia="zh-CN"/>
              </w:rPr>
            </w:pPr>
            <w:r>
              <w:rPr>
                <w:kern w:val="0"/>
                <w:szCs w:val="20"/>
                <w:lang w:val="en-US" w:eastAsia="zh-CN"/>
              </w:rPr>
              <w:t>全脊柱</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CC4D1">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firstLine="0" w:firstLineChars="0"/>
              <w:jc w:val="center"/>
              <w:textAlignment w:val="auto"/>
              <w:rPr>
                <w:kern w:val="0"/>
                <w:szCs w:val="20"/>
                <w:lang w:val="en-US" w:eastAsia="zh-CN"/>
              </w:rPr>
            </w:pPr>
            <w:r>
              <w:rPr>
                <w:kern w:val="0"/>
                <w:szCs w:val="20"/>
                <w:lang w:val="en-US" w:eastAsia="zh-CN"/>
              </w:rPr>
              <w:t>强脊式</w:t>
            </w:r>
          </w:p>
        </w:tc>
      </w:tr>
      <w:tr w14:paraId="09C967F2">
        <w:tblPrEx>
          <w:tblCellMar>
            <w:top w:w="0" w:type="dxa"/>
            <w:left w:w="108" w:type="dxa"/>
            <w:bottom w:w="0" w:type="dxa"/>
            <w:right w:w="108" w:type="dxa"/>
          </w:tblCellMar>
        </w:tblPrEx>
        <w:trPr>
          <w:trHeight w:val="467" w:hRule="atLeast"/>
          <w:jc w:val="center"/>
        </w:trPr>
        <w:tc>
          <w:tcPr>
            <w:tcW w:w="1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6C4FD">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firstLine="0" w:firstLineChars="0"/>
              <w:jc w:val="center"/>
              <w:textAlignment w:val="auto"/>
              <w:rPr>
                <w:kern w:val="0"/>
                <w:szCs w:val="20"/>
                <w:lang w:val="en-US" w:eastAsia="zh-CN"/>
              </w:rPr>
            </w:pPr>
          </w:p>
        </w:tc>
        <w:tc>
          <w:tcPr>
            <w:tcW w:w="1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04F3BF">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firstLine="0" w:firstLineChars="0"/>
              <w:jc w:val="center"/>
              <w:textAlignment w:val="auto"/>
              <w:rPr>
                <w:kern w:val="0"/>
                <w:szCs w:val="20"/>
                <w:lang w:val="en-US" w:eastAsia="zh-CN"/>
              </w:rPr>
            </w:pPr>
          </w:p>
        </w:tc>
        <w:tc>
          <w:tcPr>
            <w:tcW w:w="2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7DBE4F">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firstLine="0" w:firstLineChars="0"/>
              <w:jc w:val="center"/>
              <w:textAlignment w:val="auto"/>
              <w:rPr>
                <w:kern w:val="0"/>
                <w:szCs w:val="20"/>
                <w:lang w:val="en-US" w:eastAsia="zh-CN"/>
              </w:rPr>
            </w:pP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DE097">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firstLine="0" w:firstLineChars="0"/>
              <w:jc w:val="center"/>
              <w:textAlignment w:val="auto"/>
              <w:rPr>
                <w:kern w:val="0"/>
                <w:szCs w:val="20"/>
                <w:lang w:val="en-US" w:eastAsia="zh-CN"/>
              </w:rPr>
            </w:pPr>
            <w:r>
              <w:rPr>
                <w:kern w:val="0"/>
                <w:szCs w:val="20"/>
                <w:lang w:val="en-US" w:eastAsia="zh-CN"/>
              </w:rPr>
              <w:t>通调式</w:t>
            </w:r>
          </w:p>
        </w:tc>
      </w:tr>
      <w:tr w14:paraId="4605A2B9">
        <w:tblPrEx>
          <w:tblCellMar>
            <w:top w:w="0" w:type="dxa"/>
            <w:left w:w="108" w:type="dxa"/>
            <w:bottom w:w="0" w:type="dxa"/>
            <w:right w:w="108" w:type="dxa"/>
          </w:tblCellMar>
        </w:tblPrEx>
        <w:trPr>
          <w:trHeight w:val="483" w:hRule="atLeast"/>
          <w:jc w:val="center"/>
        </w:trPr>
        <w:tc>
          <w:tcPr>
            <w:tcW w:w="1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C2D22">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firstLine="0" w:firstLineChars="0"/>
              <w:jc w:val="center"/>
              <w:textAlignment w:val="auto"/>
              <w:rPr>
                <w:kern w:val="0"/>
                <w:szCs w:val="20"/>
                <w:lang w:val="en-US" w:eastAsia="zh-CN"/>
              </w:rPr>
            </w:pPr>
          </w:p>
        </w:tc>
        <w:tc>
          <w:tcPr>
            <w:tcW w:w="1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E0276E">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firstLine="0" w:firstLineChars="0"/>
              <w:jc w:val="center"/>
              <w:textAlignment w:val="auto"/>
              <w:rPr>
                <w:kern w:val="0"/>
                <w:szCs w:val="20"/>
                <w:lang w:val="en-US" w:eastAsia="zh-CN"/>
              </w:rPr>
            </w:pPr>
          </w:p>
        </w:tc>
        <w:tc>
          <w:tcPr>
            <w:tcW w:w="2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9DF3B0">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firstLine="0" w:firstLineChars="0"/>
              <w:jc w:val="center"/>
              <w:textAlignment w:val="auto"/>
              <w:rPr>
                <w:kern w:val="0"/>
                <w:szCs w:val="20"/>
                <w:lang w:val="en-US" w:eastAsia="zh-CN"/>
              </w:rPr>
            </w:pP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A3581">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firstLine="0" w:firstLineChars="0"/>
              <w:jc w:val="center"/>
              <w:textAlignment w:val="auto"/>
              <w:rPr>
                <w:kern w:val="0"/>
                <w:szCs w:val="20"/>
                <w:lang w:val="en-US" w:eastAsia="zh-CN"/>
              </w:rPr>
            </w:pPr>
            <w:r>
              <w:rPr>
                <w:kern w:val="0"/>
                <w:szCs w:val="20"/>
                <w:lang w:val="en-US" w:eastAsia="zh-CN"/>
              </w:rPr>
              <w:t>理筋式</w:t>
            </w:r>
          </w:p>
        </w:tc>
      </w:tr>
      <w:tr w14:paraId="3A4E7C8B">
        <w:tblPrEx>
          <w:tblCellMar>
            <w:top w:w="0" w:type="dxa"/>
            <w:left w:w="108" w:type="dxa"/>
            <w:bottom w:w="0" w:type="dxa"/>
            <w:right w:w="108" w:type="dxa"/>
          </w:tblCellMar>
        </w:tblPrEx>
        <w:trPr>
          <w:trHeight w:val="483" w:hRule="atLeast"/>
          <w:jc w:val="center"/>
        </w:trPr>
        <w:tc>
          <w:tcPr>
            <w:tcW w:w="1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B3603">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firstLine="0" w:firstLineChars="0"/>
              <w:jc w:val="center"/>
              <w:textAlignment w:val="auto"/>
              <w:rPr>
                <w:kern w:val="0"/>
                <w:szCs w:val="20"/>
                <w:lang w:val="en-US" w:eastAsia="zh-CN"/>
              </w:rPr>
            </w:pPr>
          </w:p>
        </w:tc>
        <w:tc>
          <w:tcPr>
            <w:tcW w:w="15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F146EE">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firstLine="0" w:firstLineChars="0"/>
              <w:jc w:val="center"/>
              <w:textAlignment w:val="auto"/>
              <w:rPr>
                <w:kern w:val="0"/>
                <w:szCs w:val="20"/>
                <w:lang w:val="en-US" w:eastAsia="zh-CN"/>
              </w:rPr>
            </w:pPr>
            <w:r>
              <w:rPr>
                <w:kern w:val="0"/>
                <w:szCs w:val="20"/>
                <w:lang w:val="en-US" w:eastAsia="zh-CN"/>
              </w:rPr>
              <w:t>脊正训练</w:t>
            </w:r>
          </w:p>
        </w:tc>
        <w:tc>
          <w:tcPr>
            <w:tcW w:w="2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CE1E5">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firstLine="0" w:firstLineChars="0"/>
              <w:jc w:val="center"/>
              <w:textAlignment w:val="auto"/>
              <w:rPr>
                <w:kern w:val="0"/>
                <w:szCs w:val="20"/>
                <w:lang w:val="en-US" w:eastAsia="zh-CN"/>
              </w:rPr>
            </w:pPr>
            <w:r>
              <w:rPr>
                <w:kern w:val="0"/>
                <w:szCs w:val="20"/>
                <w:lang w:val="en-US" w:eastAsia="zh-CN"/>
              </w:rPr>
              <w:t>胸弯</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64B16">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firstLine="0" w:firstLineChars="0"/>
              <w:jc w:val="center"/>
              <w:textAlignment w:val="auto"/>
              <w:rPr>
                <w:kern w:val="0"/>
                <w:szCs w:val="20"/>
                <w:lang w:val="en-US" w:eastAsia="zh-CN"/>
              </w:rPr>
            </w:pPr>
            <w:r>
              <w:rPr>
                <w:kern w:val="0"/>
                <w:szCs w:val="20"/>
                <w:lang w:val="en-US" w:eastAsia="zh-CN"/>
              </w:rPr>
              <w:t>束肩推脊训练</w:t>
            </w:r>
          </w:p>
        </w:tc>
      </w:tr>
      <w:tr w14:paraId="0C273583">
        <w:tblPrEx>
          <w:tblCellMar>
            <w:top w:w="0" w:type="dxa"/>
            <w:left w:w="108" w:type="dxa"/>
            <w:bottom w:w="0" w:type="dxa"/>
            <w:right w:w="108" w:type="dxa"/>
          </w:tblCellMar>
        </w:tblPrEx>
        <w:trPr>
          <w:trHeight w:val="483" w:hRule="atLeast"/>
          <w:jc w:val="center"/>
        </w:trPr>
        <w:tc>
          <w:tcPr>
            <w:tcW w:w="1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345E46">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firstLine="0" w:firstLineChars="0"/>
              <w:jc w:val="center"/>
              <w:textAlignment w:val="auto"/>
              <w:rPr>
                <w:kern w:val="0"/>
                <w:szCs w:val="20"/>
                <w:lang w:val="en-US" w:eastAsia="zh-CN"/>
              </w:rPr>
            </w:pPr>
          </w:p>
        </w:tc>
        <w:tc>
          <w:tcPr>
            <w:tcW w:w="1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969EE">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firstLine="0" w:firstLineChars="0"/>
              <w:jc w:val="center"/>
              <w:textAlignment w:val="auto"/>
              <w:rPr>
                <w:kern w:val="0"/>
                <w:szCs w:val="20"/>
                <w:lang w:val="en-US" w:eastAsia="zh-CN"/>
              </w:rPr>
            </w:pPr>
          </w:p>
        </w:tc>
        <w:tc>
          <w:tcPr>
            <w:tcW w:w="23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194DA0">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firstLine="0" w:firstLineChars="0"/>
              <w:jc w:val="center"/>
              <w:textAlignment w:val="auto"/>
              <w:rPr>
                <w:kern w:val="0"/>
                <w:szCs w:val="20"/>
                <w:lang w:val="en-US" w:eastAsia="zh-CN"/>
              </w:rPr>
            </w:pPr>
            <w:r>
              <w:rPr>
                <w:kern w:val="0"/>
                <w:szCs w:val="20"/>
                <w:lang w:val="en-US" w:eastAsia="zh-CN"/>
              </w:rPr>
              <w:t>胸腰弯（长胸腰弯）</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70FEA">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firstLine="0" w:firstLineChars="0"/>
              <w:jc w:val="center"/>
              <w:textAlignment w:val="auto"/>
              <w:rPr>
                <w:kern w:val="0"/>
                <w:szCs w:val="20"/>
                <w:lang w:val="en-US" w:eastAsia="zh-CN"/>
              </w:rPr>
            </w:pPr>
            <w:r>
              <w:rPr>
                <w:kern w:val="0"/>
                <w:szCs w:val="20"/>
                <w:lang w:val="en-US" w:eastAsia="zh-CN"/>
              </w:rPr>
              <w:t>推脊降臀训练</w:t>
            </w:r>
          </w:p>
        </w:tc>
      </w:tr>
      <w:tr w14:paraId="5A075F96">
        <w:tblPrEx>
          <w:tblCellMar>
            <w:top w:w="0" w:type="dxa"/>
            <w:left w:w="108" w:type="dxa"/>
            <w:bottom w:w="0" w:type="dxa"/>
            <w:right w:w="108" w:type="dxa"/>
          </w:tblCellMar>
        </w:tblPrEx>
        <w:trPr>
          <w:trHeight w:val="483" w:hRule="atLeast"/>
          <w:jc w:val="center"/>
        </w:trPr>
        <w:tc>
          <w:tcPr>
            <w:tcW w:w="1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704D7">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firstLine="0" w:firstLineChars="0"/>
              <w:jc w:val="center"/>
              <w:textAlignment w:val="auto"/>
              <w:rPr>
                <w:kern w:val="0"/>
                <w:szCs w:val="20"/>
                <w:lang w:val="en-US" w:eastAsia="zh-CN"/>
              </w:rPr>
            </w:pPr>
          </w:p>
        </w:tc>
        <w:tc>
          <w:tcPr>
            <w:tcW w:w="1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E9E4B9">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firstLine="0" w:firstLineChars="0"/>
              <w:jc w:val="center"/>
              <w:textAlignment w:val="auto"/>
              <w:rPr>
                <w:kern w:val="0"/>
                <w:szCs w:val="20"/>
                <w:lang w:val="en-US" w:eastAsia="zh-CN"/>
              </w:rPr>
            </w:pPr>
          </w:p>
        </w:tc>
        <w:tc>
          <w:tcPr>
            <w:tcW w:w="2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53448">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firstLine="0" w:firstLineChars="0"/>
              <w:jc w:val="center"/>
              <w:textAlignment w:val="auto"/>
              <w:rPr>
                <w:kern w:val="0"/>
                <w:szCs w:val="20"/>
                <w:lang w:val="en-US" w:eastAsia="zh-CN"/>
              </w:rPr>
            </w:pP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26F7A">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firstLine="0" w:firstLineChars="0"/>
              <w:jc w:val="center"/>
              <w:textAlignment w:val="auto"/>
              <w:rPr>
                <w:kern w:val="0"/>
                <w:szCs w:val="20"/>
                <w:lang w:val="en-US" w:eastAsia="zh-CN"/>
              </w:rPr>
            </w:pPr>
            <w:r>
              <w:rPr>
                <w:kern w:val="0"/>
                <w:szCs w:val="20"/>
                <w:lang w:val="en-US" w:eastAsia="zh-CN"/>
              </w:rPr>
              <w:t>推脊提臀训练</w:t>
            </w:r>
          </w:p>
        </w:tc>
      </w:tr>
      <w:tr w14:paraId="4EAD8FE5">
        <w:tblPrEx>
          <w:tblCellMar>
            <w:top w:w="0" w:type="dxa"/>
            <w:left w:w="108" w:type="dxa"/>
            <w:bottom w:w="0" w:type="dxa"/>
            <w:right w:w="108" w:type="dxa"/>
          </w:tblCellMar>
        </w:tblPrEx>
        <w:trPr>
          <w:trHeight w:val="483" w:hRule="atLeast"/>
          <w:jc w:val="center"/>
        </w:trPr>
        <w:tc>
          <w:tcPr>
            <w:tcW w:w="1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2AE08">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firstLine="0" w:firstLineChars="0"/>
              <w:jc w:val="center"/>
              <w:textAlignment w:val="auto"/>
              <w:rPr>
                <w:kern w:val="0"/>
                <w:szCs w:val="20"/>
                <w:lang w:val="en-US" w:eastAsia="zh-CN"/>
              </w:rPr>
            </w:pPr>
          </w:p>
        </w:tc>
        <w:tc>
          <w:tcPr>
            <w:tcW w:w="1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9B1C64">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firstLine="0" w:firstLineChars="0"/>
              <w:jc w:val="center"/>
              <w:textAlignment w:val="auto"/>
              <w:rPr>
                <w:kern w:val="0"/>
                <w:szCs w:val="20"/>
                <w:lang w:val="en-US" w:eastAsia="zh-CN"/>
              </w:rPr>
            </w:pPr>
          </w:p>
        </w:tc>
        <w:tc>
          <w:tcPr>
            <w:tcW w:w="2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02ED9">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firstLine="0" w:firstLineChars="0"/>
              <w:jc w:val="center"/>
              <w:textAlignment w:val="auto"/>
              <w:rPr>
                <w:kern w:val="0"/>
                <w:szCs w:val="20"/>
                <w:lang w:val="en-US" w:eastAsia="zh-CN"/>
              </w:rPr>
            </w:pPr>
            <w:r>
              <w:rPr>
                <w:kern w:val="0"/>
                <w:szCs w:val="20"/>
                <w:lang w:val="en-US" w:eastAsia="zh-CN"/>
              </w:rPr>
              <w:t>腰弯</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A3EBF">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firstLine="0" w:firstLineChars="0"/>
              <w:jc w:val="center"/>
              <w:textAlignment w:val="auto"/>
              <w:rPr>
                <w:kern w:val="0"/>
                <w:szCs w:val="20"/>
                <w:lang w:val="en-US" w:eastAsia="zh-CN"/>
              </w:rPr>
            </w:pPr>
            <w:r>
              <w:rPr>
                <w:kern w:val="0"/>
                <w:szCs w:val="20"/>
                <w:lang w:val="en-US" w:eastAsia="zh-CN"/>
              </w:rPr>
              <w:t>束脊降臀训练</w:t>
            </w:r>
          </w:p>
        </w:tc>
      </w:tr>
      <w:tr w14:paraId="27452293">
        <w:tblPrEx>
          <w:tblCellMar>
            <w:top w:w="0" w:type="dxa"/>
            <w:left w:w="108" w:type="dxa"/>
            <w:bottom w:w="0" w:type="dxa"/>
            <w:right w:w="108" w:type="dxa"/>
          </w:tblCellMar>
        </w:tblPrEx>
        <w:trPr>
          <w:trHeight w:val="452" w:hRule="atLeast"/>
          <w:jc w:val="center"/>
        </w:trPr>
        <w:tc>
          <w:tcPr>
            <w:tcW w:w="1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A5593">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firstLine="0" w:firstLineChars="0"/>
              <w:jc w:val="center"/>
              <w:textAlignment w:val="auto"/>
              <w:rPr>
                <w:kern w:val="0"/>
                <w:szCs w:val="20"/>
                <w:lang w:val="en-US" w:eastAsia="zh-CN"/>
              </w:rPr>
            </w:pPr>
            <w:r>
              <w:rPr>
                <w:kern w:val="0"/>
                <w:szCs w:val="20"/>
                <w:lang w:val="en-US" w:eastAsia="zh-CN"/>
              </w:rPr>
              <w:t>结束部分</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9AACD">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firstLine="0" w:firstLineChars="0"/>
              <w:jc w:val="center"/>
              <w:textAlignment w:val="auto"/>
              <w:rPr>
                <w:kern w:val="0"/>
                <w:szCs w:val="20"/>
                <w:lang w:val="en-US" w:eastAsia="zh-CN"/>
              </w:rPr>
            </w:pPr>
            <w:r>
              <w:rPr>
                <w:kern w:val="0"/>
                <w:szCs w:val="20"/>
                <w:lang w:val="en-US" w:eastAsia="zh-CN"/>
              </w:rPr>
              <w:t>调息训练</w:t>
            </w:r>
          </w:p>
        </w:tc>
        <w:tc>
          <w:tcPr>
            <w:tcW w:w="2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D22F9">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firstLine="0" w:firstLineChars="0"/>
              <w:jc w:val="center"/>
              <w:textAlignment w:val="auto"/>
              <w:rPr>
                <w:kern w:val="0"/>
                <w:szCs w:val="20"/>
                <w:lang w:val="en-US" w:eastAsia="zh-CN"/>
              </w:rPr>
            </w:pP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4D75B">
            <w:pPr>
              <w:pStyle w:val="36"/>
              <w:keepNext w:val="0"/>
              <w:keepLines w:val="0"/>
              <w:pageBreakBefore w:val="0"/>
              <w:widowControl/>
              <w:numPr>
                <w:ilvl w:val="0"/>
                <w:numId w:val="0"/>
              </w:numPr>
              <w:kinsoku/>
              <w:wordWrap/>
              <w:overflowPunct/>
              <w:topLinePunct w:val="0"/>
              <w:autoSpaceDE/>
              <w:autoSpaceDN/>
              <w:bidi w:val="0"/>
              <w:adjustRightInd/>
              <w:snapToGrid/>
              <w:spacing w:before="0" w:after="0" w:afterAutospacing="0" w:line="360" w:lineRule="auto"/>
              <w:ind w:left="0" w:firstLine="0" w:firstLineChars="0"/>
              <w:jc w:val="center"/>
              <w:textAlignment w:val="auto"/>
              <w:rPr>
                <w:kern w:val="0"/>
                <w:szCs w:val="20"/>
                <w:lang w:val="en-US" w:eastAsia="zh-CN"/>
              </w:rPr>
            </w:pPr>
            <w:r>
              <w:rPr>
                <w:kern w:val="0"/>
                <w:szCs w:val="20"/>
                <w:lang w:val="en-US" w:eastAsia="zh-CN"/>
              </w:rPr>
              <w:t>调息训练</w:t>
            </w:r>
          </w:p>
        </w:tc>
      </w:tr>
    </w:tbl>
    <w:p w14:paraId="2A2FF8BA">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firstLine="420" w:firstLineChars="200"/>
        <w:textAlignment w:val="auto"/>
        <w:rPr>
          <w:lang w:val="en-US" w:eastAsia="zh-CN"/>
        </w:rPr>
      </w:pPr>
    </w:p>
    <w:p w14:paraId="77655218">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1.放松训练（准备与结束部分）</w:t>
      </w:r>
    </w:p>
    <w:p w14:paraId="1AE262DA">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调息训练：取仰卧位，采用腹式呼吸，吸气时鼓起腹部，呼气时腹部回缩，手放患者肚子上感受并提醒，12个呼吸为1组，做3组。</w:t>
      </w:r>
    </w:p>
    <w:p w14:paraId="6A1D1610">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2.治疗训练（强脊训练、脊正训练）</w:t>
      </w:r>
    </w:p>
    <w:p w14:paraId="012BB4D4">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强脊训练（强脊式、通调式、理筋式）</w:t>
      </w:r>
    </w:p>
    <w:p w14:paraId="38BA0663">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①强脊式：俯卧位，脸部朝下，双臂以肩关节为支撑点，轻轻抬起， 手臂向上的同时轻轻抬头，双肩向后向上收起。与此同时，双脚轻轻抬起，腰底部肌肉收缩，尽量让肋骨和腹部支撑身体，10秒为一个动作，然后放松肌肉，四肢和头部回归原位休息3-5秒。12次/组，做3～5组。</w:t>
      </w:r>
    </w:p>
    <w:p w14:paraId="5FF19AB4">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②通调式：取跪姿，四肢着地，双手放于肩膀正下方，双膝放于臀部正下方，保持背部平直。同时伸展一侧的手臂和对侧的腿，尽量保持两者在一条直线上，保持躯干稳定。伸展持续8-10秒，然后慢慢回到起始姿势。然后换另一侧进行相同动作。12次/组，做3～5组。</w:t>
      </w:r>
    </w:p>
    <w:p w14:paraId="795D4EB1">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③理筋式：俯卧位，腰部发力，手臂往前伸，同侧手臂与侧脸夹角呈45°，上半身微微抬起。伴随呼吸手臂回收，双侧前臂与侧脸平行，上臂与驱赶夹角呈45°，上背发力，肩胛骨收紧，将肩膀往下往后拉。随后手臂略微放松到V字型，手臂全程不触碰地面。12次/组，做3～5组。</w:t>
      </w:r>
    </w:p>
    <w:p w14:paraId="260DDA45">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脊正训练（束肩推脊训练、推脊降臀训练、束脊降臀训练，训练过程需要配合室内训练架或肋目架、凳子等辅助道具。）</w:t>
      </w:r>
    </w:p>
    <w:p w14:paraId="15860953">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①束肩推脊训练：（以胸弯右凸为例），患者双膝打开，稳坐在肋木前的凳子上，双前臂向上抓紧上方的肋木，保持双肩水平，躯干和头部保持轴向一致，移动躯干向左侧运动至最大位置保持10～15秒，放松躯干回至原位休息3～5秒，重复以上动作，10次/组每次练习3～5组。</w:t>
      </w:r>
    </w:p>
    <w:p w14:paraId="2206F199">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②推脊降臀训练：（以胸腰弯左凸为例），患者双膝打开，稳坐在肋木前的凳子上，双前臂向上抓紧上方的肋木，臀部向左调正位置使左侧臀部完全悬空，后伸左下肢使左侧大腿面与躯干呈一条轴线，同时移动躯干向左侧运动至最大位置保持10～15秒，放松躯干回至原位休息3～5秒，重复以上动作，10次/组每次练习3～5组。</w:t>
      </w:r>
    </w:p>
    <w:p w14:paraId="6AB30046">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③推脊提臀训练：（以腰弯左凸为例）患者翘起左侧腿并搭于另一侧腿上，稳坐在肋木前的凳子上，双手抓紧前方的肋木；随后，将左臀部向右调整位置，使左侧臀部完全悬空，同时患者主动移动腰段至其最大位置（固定上半身），并在该位置保持静态姿势10至15秒；之后，患者放松躯干，缓慢回至起始位置休息3至5秒；此动作需重复10次为1组，每次练习进行3至5组。</w:t>
      </w:r>
    </w:p>
    <w:p w14:paraId="276159A5">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④束脊降臀训练：（以腰弯左凸为例），患者双膝打开，稳坐在肋木前的凳子上，双前臂向上抓紧上方的肋木，保持双肩水平，躯干和头部保持轴向一致，臀部向左调正位置使左侧臀部完全悬空，后伸右下肢使左侧大腿面与躯干呈一条轴线，保持10～15秒，放松躯干回至原位休息3～5秒，重复以上动作，10次/组每次练习3～5组。</w:t>
      </w:r>
    </w:p>
    <w:p w14:paraId="68BD43A8">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持续时间约45min，结束后嘱患者静卧调息30min。每天1次，以上手法持续进行6个月，分别在治疗3个月、6个月后情况进行评估。</w:t>
      </w:r>
    </w:p>
    <w:p w14:paraId="586E8202">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中医适宜技术：</w:t>
      </w:r>
    </w:p>
    <w:p w14:paraId="1952740C">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每次治疗结束后，我们会对患者进行中医特色治疗，温灸刮痧是以经脉腧穴理论为基础，同时将针刺、艾灸、刮痧、推拿等方法有机地结合在一起的疗法。 在体表一定 部位反复刮动，使局部出现痧斑，再通过艾的温热和药力作用刺激经络、穴位或病痛部位，达到温经散寒、驱邪外出，疏通经络，扶阳固脱，活血化瘀，和谐脏腑，使治疗效果显著。</w:t>
      </w:r>
    </w:p>
    <w:p w14:paraId="72EF9B3F">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100% 准确定位夹脊穴、大椎、命门、脾俞、肾俞等核心治疗穴位，误差≤ 0.3</w:t>
      </w:r>
      <w:r>
        <w:rPr>
          <w:rFonts w:hint="eastAsia" w:asciiTheme="minorEastAsia" w:hAnsiTheme="minorEastAsia" w:eastAsiaTheme="minorEastAsia" w:cstheme="minorEastAsia"/>
          <w:sz w:val="28"/>
          <w:szCs w:val="28"/>
          <w:lang w:val="en-US" w:eastAsia="zh-CN"/>
        </w:rPr>
        <w:t>cm</w:t>
      </w:r>
      <w:r>
        <w:rPr>
          <w:rFonts w:hint="eastAsia" w:asciiTheme="minorEastAsia" w:hAnsiTheme="minorEastAsia" w:eastAsiaTheme="minorEastAsia" w:cstheme="minorEastAsia"/>
          <w:sz w:val="28"/>
          <w:szCs w:val="28"/>
        </w:rPr>
        <w:t xml:space="preserve">。掌握针对凸侧肌群松解、凹侧肌群激活的差异化针刺手法，熟练掌握高原高寒环境下透皮吸收药膏的摩化与温阳敷贴技术。 </w:t>
      </w:r>
    </w:p>
    <w:p w14:paraId="305961EB">
      <w:pPr>
        <w:pStyle w:val="23"/>
        <w:keepNext w:val="0"/>
        <w:keepLines w:val="0"/>
        <w:pageBreakBefore w:val="0"/>
        <w:widowControl/>
        <w:kinsoku/>
        <w:wordWrap/>
        <w:overflowPunct/>
        <w:topLinePunct w:val="0"/>
        <w:bidi w:val="0"/>
        <w:adjustRightInd/>
        <w:snapToGrid/>
        <w:spacing w:afterAutospacing="0" w:line="360" w:lineRule="auto"/>
        <w:ind w:left="0"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6.2中度侧弯（25°～40°）</w:t>
      </w:r>
    </w:p>
    <w:p w14:paraId="78636B05">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支具治疗+柔筋衡脊疗法+中医适宜技术</w:t>
      </w:r>
    </w:p>
    <w:p w14:paraId="5F0B4F9D">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支具治疗的方法脊柱侧弯支具治疗是轻中度（Cobb角25°～40°）且骨骼尚未闭合（生长潜能大）的青少年患者最核心的保守治疗方法，其主要目的是限制侧弯进展、引导脊柱向正常生理曲度恢复，降低未来手术的概率。</w:t>
      </w:r>
    </w:p>
    <w:p w14:paraId="2914697A">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支具治疗的系统方法：</w:t>
      </w:r>
    </w:p>
    <w:p w14:paraId="21A87FA0">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适用人群评估适用人群：Cobb角在25°～40°之间、骨骼未闭合（Risser征&lt;3级）且侧弯有进展风险的青少年（尤其是10～18岁）效果最佳。轻度侧弯（&lt;25°）但进展快或外观明显不对称者也可使用。不适用人群：Cobb角&gt;50°、骨骼已闭合（Risser征4～5级）或合并严重胸廓畸形、心肺功能受限者，支具仅能改善外观，无法逆转侧弯，需考虑手术治疗。</w:t>
      </w:r>
    </w:p>
    <w:p w14:paraId="4E03890E">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支具类型选择（需由专业医生与矫形师评估定制）硬性支具（如Boston支具、Chêneau支具）：由高分子材料定制，贴合躯干，通过三点力学原理施加精准的矫形力，适用于中重度侧弯，需全天（16～23小时）佩戴，矫正力大。软性支具（如SpineCor支具）：由弹性面料制成，通过柔和的推压力引导身体主动保持正确姿态，适用于轻度侧弯（&lt;10°）或作为中重度侧弯的辅助矫正，需每天佩戴较长时间（18～20小时），舒适度较高。夜间支具（如Charleston支具、Providence支具）：仅需在夜间（8～10小时）佩戴，利用夜间生长激素分泌高峰进行矫形，适用于单弯或依从性较差的患者。三、佩戴规范与时长佩戴时长：每日需保证有效佩戴时间（通常要求16～23小时，具体视支具类型、侧弯程度及医嘱而定）。仅在洗澡、剧烈运动或特殊场合可短暂摘除，不可私自缩短佩戴时间，否则会大幅降低矫正效果。</w:t>
      </w:r>
    </w:p>
    <w:p w14:paraId="17CDD242">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（3）佩戴方式：需穿纯棉、透气的专用支具内衣，避免支具直接接触皮肤；支具需紧密贴合躯干，松紧度以“能伸入1～2指”为宜，过松无矫正力，过紧会压迫内脏、影响呼吸。</w:t>
      </w:r>
    </w:p>
    <w:p w14:paraId="09C80D3E">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（4）适应期：初期佩戴需循序渐进，前半个月为适应期，逐步增加佩戴时间，并注意观察骨突部位（如腋下、肋骨）的皮肤，防止压红或压疮。</w:t>
      </w:r>
    </w:p>
    <w:p w14:paraId="26628BAF">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同时，配合柔筋衡脊疗法和中医适宜技术以增强疗效。</w:t>
      </w:r>
    </w:p>
    <w:p w14:paraId="4DE1F85D">
      <w:pPr>
        <w:pStyle w:val="35"/>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6.3重度侧弯（＞40°）</w:t>
      </w:r>
    </w:p>
    <w:p w14:paraId="78E223EF">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转诊脊柱专科评估手术适应证。</w:t>
      </w:r>
    </w:p>
    <w:p w14:paraId="6FEA65B7">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7</w:t>
      </w:r>
      <w:r>
        <w:rPr>
          <w:rFonts w:hint="eastAsia" w:asciiTheme="minorEastAsia" w:hAnsiTheme="minorEastAsia" w:eastAsiaTheme="minorEastAsia" w:cstheme="minorEastAsia"/>
          <w:sz w:val="28"/>
          <w:szCs w:val="28"/>
        </w:rPr>
        <w:t>准备工作</w:t>
      </w:r>
    </w:p>
    <w:p w14:paraId="124AED46">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7.1干预前准备</w:t>
      </w:r>
    </w:p>
    <w:p w14:paraId="1DD0759C">
      <w:pPr>
        <w:pStyle w:val="36"/>
        <w:keepNext w:val="0"/>
        <w:keepLines w:val="0"/>
        <w:pageBreakBefore w:val="0"/>
        <w:widowControl/>
        <w:numPr>
          <w:ilvl w:val="0"/>
          <w:numId w:val="0"/>
        </w:numPr>
        <w:kinsoku/>
        <w:wordWrap/>
        <w:overflowPunct/>
        <w:topLinePunct w:val="0"/>
        <w:bidi w:val="0"/>
        <w:adjustRightInd/>
        <w:snapToGrid/>
        <w:spacing w:before="0" w:after="0" w:afterAutospacing="0" w:line="360" w:lineRule="auto"/>
        <w:ind w:left="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7.1.1资料与设备准备</w:t>
      </w:r>
    </w:p>
    <w:p w14:paraId="40167CFF">
      <w:pPr>
        <w:pStyle w:val="35"/>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7.1.2筛查资料准备：核对受检者基本信息，包括姓名、性别、年龄、民族、学校、年级、居住海拔高度及联系方式等，建立《高原地区青少年脊柱健康档案》。</w:t>
      </w:r>
    </w:p>
    <w:p w14:paraId="73737893">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sz w:val="28"/>
          <w:szCs w:val="28"/>
        </w:rPr>
        <w:t>7.1.3评估设备准备：</w:t>
      </w:r>
    </w:p>
    <w:p w14:paraId="2D6B2CEB">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根据筛查和干预需要准备相应设备，包括：</w:t>
      </w:r>
    </w:p>
    <w:p w14:paraId="4F042169">
      <w:pPr>
        <w:pStyle w:val="41"/>
        <w:keepNext w:val="0"/>
        <w:keepLines w:val="0"/>
        <w:pageBreakBefore w:val="0"/>
        <w:numPr>
          <w:ilvl w:val="0"/>
          <w:numId w:val="11"/>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身高体重测量仪；</w:t>
      </w:r>
    </w:p>
    <w:p w14:paraId="4BD1259B">
      <w:pPr>
        <w:pStyle w:val="41"/>
        <w:keepNext w:val="0"/>
        <w:keepLines w:val="0"/>
        <w:pageBreakBefore w:val="0"/>
        <w:numPr>
          <w:ilvl w:val="0"/>
          <w:numId w:val="11"/>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脊柱侧弯测量仪（Scoliometer）；</w:t>
      </w:r>
    </w:p>
    <w:p w14:paraId="7158AA5E">
      <w:pPr>
        <w:pStyle w:val="41"/>
        <w:keepNext w:val="0"/>
        <w:keepLines w:val="0"/>
        <w:pageBreakBefore w:val="0"/>
        <w:numPr>
          <w:ilvl w:val="0"/>
          <w:numId w:val="11"/>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体态评估系统；</w:t>
      </w:r>
    </w:p>
    <w:p w14:paraId="3A2BB82E">
      <w:pPr>
        <w:pStyle w:val="41"/>
        <w:keepNext w:val="0"/>
        <w:keepLines w:val="0"/>
        <w:pageBreakBefore w:val="0"/>
        <w:numPr>
          <w:ilvl w:val="0"/>
          <w:numId w:val="11"/>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肺功能检测仪；</w:t>
      </w:r>
    </w:p>
    <w:p w14:paraId="752380B3">
      <w:pPr>
        <w:pStyle w:val="41"/>
        <w:keepNext w:val="0"/>
        <w:keepLines w:val="0"/>
        <w:pageBreakBefore w:val="0"/>
        <w:numPr>
          <w:ilvl w:val="0"/>
          <w:numId w:val="11"/>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血氧饱和度监测仪；</w:t>
      </w:r>
    </w:p>
    <w:p w14:paraId="1A10C970">
      <w:pPr>
        <w:pStyle w:val="41"/>
        <w:keepNext w:val="0"/>
        <w:keepLines w:val="0"/>
        <w:pageBreakBefore w:val="0"/>
        <w:numPr>
          <w:ilvl w:val="0"/>
          <w:numId w:val="11"/>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运动训练器材（弹力带、平衡垫、训练球等）。</w:t>
      </w:r>
    </w:p>
    <w:p w14:paraId="66D1416B">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7.1.4康复训练器材准备：</w:t>
      </w:r>
    </w:p>
    <w:p w14:paraId="5A9E28CE">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根据患者侧弯类型及严重程度准备训练器械，包括：</w:t>
      </w:r>
    </w:p>
    <w:p w14:paraId="660740F3">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a）Schroth训练辅助装置；</w:t>
      </w:r>
    </w:p>
    <w:p w14:paraId="44F42667">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b）核心稳定训练垫；</w:t>
      </w:r>
    </w:p>
    <w:p w14:paraId="38DA0DA4">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c）呼吸训练器；</w:t>
      </w:r>
    </w:p>
    <w:p w14:paraId="2B232CBC">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d）姿势矫正镜；</w:t>
      </w:r>
    </w:p>
    <w:p w14:paraId="58D92BC5">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e）支具适配评估工具。</w:t>
      </w:r>
    </w:p>
    <w:p w14:paraId="6F8B13CC">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7.2患者准备</w:t>
      </w:r>
    </w:p>
    <w:p w14:paraId="5A09FE7F">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7.2.1基本评估</w:t>
      </w:r>
    </w:p>
    <w:p w14:paraId="2ECB91E6">
      <w:pPr>
        <w:pStyle w:val="41"/>
        <w:keepNext w:val="0"/>
        <w:keepLines w:val="0"/>
        <w:pageBreakBefore w:val="0"/>
        <w:numPr>
          <w:ilvl w:val="0"/>
          <w:numId w:val="0"/>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收集病史资料，包括：</w:t>
      </w:r>
    </w:p>
    <w:p w14:paraId="50BF7621">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a）家族史；</w:t>
      </w:r>
    </w:p>
    <w:p w14:paraId="516F19C4">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b）既往疾病史；</w:t>
      </w:r>
    </w:p>
    <w:p w14:paraId="554A1EC7">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c）脊柱侧弯诊疗史；</w:t>
      </w:r>
    </w:p>
    <w:p w14:paraId="507D8464">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d）运动习惯；</w:t>
      </w:r>
    </w:p>
    <w:p w14:paraId="34D8CA05">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e）高原居住时间。</w:t>
      </w:r>
    </w:p>
    <w:p w14:paraId="335AA98E">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7.2.2心理评估</w:t>
      </w:r>
    </w:p>
    <w:p w14:paraId="04FBD860">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采用儿童青少年心理健康量表评估患者焦虑、自卑及社会适应状况。</w:t>
      </w:r>
    </w:p>
    <w:p w14:paraId="67C265F5">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对于因体态异常产生明显心理压力者，应给予必要的心理疏导。</w:t>
      </w:r>
    </w:p>
    <w:p w14:paraId="27CCAB6E">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7.3着装要求</w:t>
      </w:r>
    </w:p>
    <w:p w14:paraId="715F0D40">
      <w:pPr>
        <w:pStyle w:val="41"/>
        <w:keepNext w:val="0"/>
        <w:keepLines w:val="0"/>
        <w:pageBreakBefore w:val="0"/>
        <w:numPr>
          <w:ilvl w:val="0"/>
          <w:numId w:val="0"/>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受检者穿着轻便运动服装，暴露肩部、背部及腰部体表标志点，便于观察脊柱排列及体态特</w:t>
      </w:r>
    </w:p>
    <w:p w14:paraId="231533E1">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7.4干预人员准备</w:t>
      </w:r>
    </w:p>
    <w:p w14:paraId="767236D6">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7.4.1人员资质要求</w:t>
      </w:r>
    </w:p>
    <w:p w14:paraId="4C1F3D83">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实施人员应具备以下条件：</w:t>
      </w:r>
    </w:p>
    <w:p w14:paraId="4F46D310">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a）康复治疗师；</w:t>
      </w:r>
    </w:p>
    <w:p w14:paraId="0823C319">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b）针灸推拿医师；</w:t>
      </w:r>
    </w:p>
    <w:p w14:paraId="63589944">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c）骨科医师；</w:t>
      </w:r>
    </w:p>
    <w:p w14:paraId="4442634F">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d）运动医学专业人员；</w:t>
      </w:r>
    </w:p>
    <w:p w14:paraId="17AC20DC">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e）经过脊柱侧弯专项培训人员。</w:t>
      </w:r>
    </w:p>
    <w:p w14:paraId="78BDFB1A">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7.4.2技术能力要求</w:t>
      </w:r>
    </w:p>
    <w:p w14:paraId="7989DEA4">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应熟练掌握：</w:t>
      </w:r>
    </w:p>
    <w:p w14:paraId="468FCB54">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a）Adam前屈试验；</w:t>
      </w:r>
    </w:p>
    <w:p w14:paraId="3F636B41">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b）ATR测量；</w:t>
      </w:r>
    </w:p>
    <w:p w14:paraId="209BCAD0">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c）Cobb角判读；</w:t>
      </w:r>
    </w:p>
    <w:p w14:paraId="08726D2E">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d）Schroth训练技术；</w:t>
      </w:r>
    </w:p>
    <w:p w14:paraId="0550CBFA">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e）高原适应性呼吸训练技术；</w:t>
      </w:r>
    </w:p>
    <w:p w14:paraId="603BF226">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f）中医体质辨识技术。</w:t>
      </w:r>
    </w:p>
    <w:p w14:paraId="6E5A4987">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7.5环境检查</w:t>
      </w:r>
    </w:p>
    <w:p w14:paraId="38B984CC">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训练环境应满足：</w:t>
      </w:r>
    </w:p>
    <w:p w14:paraId="08DD77B4">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温度18℃～26℃；</w:t>
      </w:r>
    </w:p>
    <w:p w14:paraId="1132A1F8">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湿度40%～60%；</w:t>
      </w:r>
    </w:p>
    <w:p w14:paraId="5CCB7E2C">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氧饱和度监测设备运行正常；</w:t>
      </w:r>
    </w:p>
    <w:p w14:paraId="33EA07CB">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训练区域通风良好；</w:t>
      </w:r>
    </w:p>
    <w:p w14:paraId="2BBD5639">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地面防滑且安全。</w:t>
      </w:r>
    </w:p>
    <w:p w14:paraId="34D22EBB">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7.6</w:t>
      </w:r>
      <w:r>
        <w:rPr>
          <w:rFonts w:hint="eastAsia" w:asciiTheme="minorEastAsia" w:hAnsiTheme="minorEastAsia" w:eastAsiaTheme="minorEastAsia" w:cstheme="minorEastAsia"/>
          <w:sz w:val="28"/>
          <w:szCs w:val="28"/>
        </w:rPr>
        <w:t>筛查与评估流程</w:t>
      </w:r>
    </w:p>
    <w:p w14:paraId="35D9639D">
      <w:pPr>
        <w:pStyle w:val="40"/>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7.6.1体态筛查</w:t>
      </w:r>
    </w:p>
    <w:p w14:paraId="214D8603">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受检者取自然站立位。</w:t>
      </w:r>
    </w:p>
    <w:p w14:paraId="0C3284EA">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观察内容包括：</w:t>
      </w:r>
    </w:p>
    <w:p w14:paraId="74EC32EC">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a）头颈位置；</w:t>
      </w:r>
    </w:p>
    <w:p w14:paraId="582CD6B0">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b）双肩高度；</w:t>
      </w:r>
    </w:p>
    <w:p w14:paraId="416FA8A5">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c）肩胛骨对称性；</w:t>
      </w:r>
    </w:p>
    <w:p w14:paraId="46297026">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d）腰三角；</w:t>
      </w:r>
    </w:p>
    <w:p w14:paraId="7DCEAC0A">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e）骨盆平衡状态；</w:t>
      </w:r>
    </w:p>
    <w:p w14:paraId="0665D780">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f）下肢长度差异。</w:t>
      </w:r>
    </w:p>
    <w:p w14:paraId="157BCB71">
      <w:pPr>
        <w:pStyle w:val="40"/>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7.6.2Adam前屈试验</w:t>
      </w:r>
    </w:p>
    <w:p w14:paraId="0F964D23">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受检者双脚并拢。</w:t>
      </w:r>
    </w:p>
    <w:p w14:paraId="0F9EBEB5">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双上肢自然下垂。</w:t>
      </w:r>
    </w:p>
    <w:p w14:paraId="2391AE8D">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缓慢向前弯腰90°。</w:t>
      </w:r>
    </w:p>
    <w:p w14:paraId="22CCD049">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观察：</w:t>
      </w:r>
    </w:p>
    <w:p w14:paraId="7598AB04">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a）胸廓隆起；</w:t>
      </w:r>
    </w:p>
    <w:p w14:paraId="034E3AD5">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b）腰部隆起；</w:t>
      </w:r>
    </w:p>
    <w:p w14:paraId="5F786465">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c）脊柱偏移情况。</w:t>
      </w:r>
    </w:p>
    <w:p w14:paraId="3A74142D">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发现明显驼峰者判定为筛查阳性。</w:t>
      </w:r>
    </w:p>
    <w:p w14:paraId="04E607D7">
      <w:pPr>
        <w:pStyle w:val="40"/>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7.6.3ATR测量</w:t>
      </w:r>
    </w:p>
    <w:p w14:paraId="40068206">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采用脊柱侧弯测量仪进行检测。</w:t>
      </w:r>
    </w:p>
    <w:p w14:paraId="49948B57">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测量胸段、胸腰段及腰段旋转角度。</w:t>
      </w:r>
    </w:p>
    <w:p w14:paraId="37D6F56E">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判定标准：</w:t>
      </w:r>
    </w:p>
    <w:p w14:paraId="7AA322B1">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ATR＜5°：正常；</w:t>
      </w:r>
    </w:p>
    <w:p w14:paraId="4D6044EC">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ATR 5°～7°：重点观察；</w:t>
      </w:r>
    </w:p>
    <w:p w14:paraId="281CE4C6">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ATR≥7°：建议影像学检查。</w:t>
      </w:r>
    </w:p>
    <w:p w14:paraId="32DF0B00">
      <w:pPr>
        <w:pStyle w:val="40"/>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7.6.4影像学评估</w:t>
      </w:r>
    </w:p>
    <w:p w14:paraId="5A281667">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采用站立位全脊柱X线检查。</w:t>
      </w:r>
    </w:p>
    <w:p w14:paraId="15E56316">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测量内容：</w:t>
      </w:r>
    </w:p>
    <w:p w14:paraId="22E962F4">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a）Cobb角；</w:t>
      </w:r>
    </w:p>
    <w:p w14:paraId="51CDD00D">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b）冠状面平衡；</w:t>
      </w:r>
    </w:p>
    <w:p w14:paraId="4CC6A011">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c）矢状面平衡；</w:t>
      </w:r>
    </w:p>
    <w:p w14:paraId="2E345267">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d）Risser分级；</w:t>
      </w:r>
    </w:p>
    <w:p w14:paraId="7653E023">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e）骨龄发育水平。</w:t>
      </w:r>
    </w:p>
    <w:p w14:paraId="7E70D6FE">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7.6.5</w:t>
      </w:r>
      <w:r>
        <w:rPr>
          <w:rFonts w:hint="eastAsia" w:asciiTheme="minorEastAsia" w:hAnsiTheme="minorEastAsia" w:eastAsiaTheme="minorEastAsia" w:cstheme="minorEastAsia"/>
          <w:sz w:val="28"/>
          <w:szCs w:val="28"/>
          <w:lang w:val="en-US" w:eastAsia="zh-CN"/>
        </w:rPr>
        <w:t>高原适应性评估</w:t>
      </w:r>
    </w:p>
    <w:p w14:paraId="74411A16">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检测：</w:t>
      </w:r>
    </w:p>
    <w:p w14:paraId="2B1AC59F">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a）静息血氧饱和度；</w:t>
      </w:r>
    </w:p>
    <w:p w14:paraId="3AA4518B">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b）肺活量；</w:t>
      </w:r>
    </w:p>
    <w:p w14:paraId="543ADA79">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c）胸廓扩张度；</w:t>
      </w:r>
    </w:p>
    <w:p w14:paraId="2CEF8F6B">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d）运动耐量；</w:t>
      </w:r>
    </w:p>
    <w:p w14:paraId="4A7113E5">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e）高原反应病史。</w:t>
      </w:r>
    </w:p>
    <w:p w14:paraId="0E038529">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建立高原脊柱侧弯风险等级。</w:t>
      </w:r>
    </w:p>
    <w:p w14:paraId="00ABCF6A">
      <w:pPr>
        <w:pStyle w:val="35"/>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7.</w:t>
      </w:r>
      <w:r>
        <w:rPr>
          <w:rFonts w:hint="eastAsia" w:asciiTheme="minorEastAsia" w:hAnsiTheme="minorEastAsia" w:eastAsiaTheme="minorEastAsia" w:cstheme="minorEastAsia"/>
          <w:sz w:val="28"/>
          <w:szCs w:val="28"/>
          <w:lang w:val="en-US" w:eastAsia="zh-CN"/>
        </w:rPr>
        <w:t>7</w:t>
      </w:r>
      <w:r>
        <w:rPr>
          <w:rFonts w:hint="eastAsia" w:asciiTheme="minorEastAsia" w:hAnsiTheme="minorEastAsia" w:eastAsiaTheme="minorEastAsia" w:cstheme="minorEastAsia"/>
          <w:sz w:val="28"/>
          <w:szCs w:val="28"/>
        </w:rPr>
        <w:t>康复训练实施流程</w:t>
      </w:r>
    </w:p>
    <w:p w14:paraId="348D3525">
      <w:pPr>
        <w:pStyle w:val="35"/>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7.</w:t>
      </w:r>
      <w:r>
        <w:rPr>
          <w:rFonts w:hint="eastAsia" w:asciiTheme="minorEastAsia" w:hAnsiTheme="minorEastAsia" w:eastAsiaTheme="minorEastAsia" w:cstheme="minorEastAsia"/>
          <w:sz w:val="28"/>
          <w:szCs w:val="28"/>
          <w:lang w:val="en-US" w:eastAsia="zh-CN"/>
        </w:rPr>
        <w:t>7</w:t>
      </w:r>
      <w:r>
        <w:rPr>
          <w:rFonts w:hint="eastAsia" w:asciiTheme="minorEastAsia" w:hAnsiTheme="minorEastAsia" w:eastAsiaTheme="minorEastAsia" w:cstheme="minorEastAsia"/>
          <w:sz w:val="28"/>
          <w:szCs w:val="28"/>
        </w:rPr>
        <w:t>.1训练方案制定</w:t>
      </w:r>
    </w:p>
    <w:p w14:paraId="4B420C04">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根据：</w:t>
      </w:r>
    </w:p>
    <w:p w14:paraId="5214E480">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a）Cobb角；</w:t>
      </w:r>
    </w:p>
    <w:p w14:paraId="43C60A15">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b）年龄；</w:t>
      </w:r>
    </w:p>
    <w:p w14:paraId="56A9E672">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c）骨龄；</w:t>
      </w:r>
    </w:p>
    <w:p w14:paraId="35994218">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d）Risser分级；</w:t>
      </w:r>
    </w:p>
    <w:p w14:paraId="647771A8">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e）中医证型；</w:t>
      </w:r>
    </w:p>
    <w:p w14:paraId="11210AFD">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f）高原适应情况。</w:t>
      </w:r>
    </w:p>
    <w:p w14:paraId="3E847CF9">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制定个体化康复方案。</w:t>
      </w:r>
    </w:p>
    <w:p w14:paraId="4A2DA7DC">
      <w:pPr>
        <w:pStyle w:val="40"/>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7.</w:t>
      </w:r>
      <w:r>
        <w:rPr>
          <w:rFonts w:hint="eastAsia" w:asciiTheme="minorEastAsia" w:hAnsiTheme="minorEastAsia" w:eastAsiaTheme="minorEastAsia" w:cstheme="minorEastAsia"/>
          <w:sz w:val="28"/>
          <w:szCs w:val="28"/>
          <w:lang w:val="en-US" w:eastAsia="zh-CN"/>
        </w:rPr>
        <w:t>7</w:t>
      </w:r>
      <w:r>
        <w:rPr>
          <w:rFonts w:hint="eastAsia" w:asciiTheme="minorEastAsia" w:hAnsiTheme="minorEastAsia" w:eastAsiaTheme="minorEastAsia" w:cstheme="minorEastAsia"/>
          <w:sz w:val="28"/>
          <w:szCs w:val="28"/>
        </w:rPr>
        <w:t>.2呼吸训练</w:t>
      </w:r>
    </w:p>
    <w:p w14:paraId="7F31C373">
      <w:pPr>
        <w:pStyle w:val="40"/>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7.7.2.1腹式呼吸训练</w:t>
      </w:r>
    </w:p>
    <w:p w14:paraId="18C16C30">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患者取坐位或仰卧位。</w:t>
      </w:r>
    </w:p>
    <w:p w14:paraId="33B5F59C">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缓慢吸气4秒。</w:t>
      </w:r>
    </w:p>
    <w:p w14:paraId="481E4B57">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屏气2秒。</w:t>
      </w:r>
    </w:p>
    <w:p w14:paraId="29B43883">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呼气6秒。</w:t>
      </w:r>
    </w:p>
    <w:p w14:paraId="36945ED0">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每日训练15～20分钟。</w:t>
      </w:r>
    </w:p>
    <w:p w14:paraId="37F6C219">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7.7.2.2胸廓扩张训练</w:t>
      </w:r>
    </w:p>
    <w:p w14:paraId="18F7A36B">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重点扩张凹侧胸廓。</w:t>
      </w:r>
    </w:p>
    <w:p w14:paraId="5805F06F">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每组10次。</w:t>
      </w:r>
    </w:p>
    <w:p w14:paraId="20FBABA8">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每日训练2～3组。</w:t>
      </w:r>
    </w:p>
    <w:p w14:paraId="6C7B2057">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7.7.2.3Schroth训练</w:t>
      </w:r>
    </w:p>
    <w:p w14:paraId="5138FCD4">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根据脊柱侧弯分型制定三维矫正训练方案。</w:t>
      </w:r>
    </w:p>
    <w:p w14:paraId="05FD1F09">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训练内容包括：</w:t>
      </w:r>
    </w:p>
    <w:p w14:paraId="5AA2D87E">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a）轴向延伸；</w:t>
      </w:r>
    </w:p>
    <w:p w14:paraId="2FD968A6">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b）旋转角呼吸；</w:t>
      </w:r>
    </w:p>
    <w:p w14:paraId="7479D25F">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c）姿势重建；</w:t>
      </w:r>
    </w:p>
    <w:p w14:paraId="3646E30D">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d）肌肉平衡训练。</w:t>
      </w:r>
    </w:p>
    <w:p w14:paraId="6544ACE8">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每次训练30～45分钟。</w:t>
      </w:r>
    </w:p>
    <w:p w14:paraId="16856B93">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kern w:val="0"/>
          <w:sz w:val="28"/>
          <w:szCs w:val="28"/>
          <w:lang w:val="en-US" w:eastAsia="zh-CN" w:bidi="ar-SA"/>
        </w:rPr>
      </w:pPr>
      <w:r>
        <w:rPr>
          <w:rFonts w:hint="eastAsia" w:asciiTheme="minorEastAsia" w:hAnsiTheme="minorEastAsia" w:eastAsiaTheme="minorEastAsia" w:cstheme="minorEastAsia"/>
          <w:kern w:val="0"/>
          <w:sz w:val="28"/>
          <w:szCs w:val="28"/>
          <w:lang w:val="en-US" w:eastAsia="zh-CN" w:bidi="ar-SA"/>
        </w:rPr>
        <w:t>每周3～5次。</w:t>
      </w:r>
    </w:p>
    <w:p w14:paraId="2A41300D">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7.7.2.4核心稳定训练</w:t>
      </w:r>
    </w:p>
    <w:p w14:paraId="48732E84">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包括：</w:t>
      </w:r>
    </w:p>
    <w:p w14:paraId="2754E1EF">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a）平板支撑；</w:t>
      </w:r>
    </w:p>
    <w:p w14:paraId="26AAD1A9">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b）侧桥训练；</w:t>
      </w:r>
    </w:p>
    <w:p w14:paraId="076E23E2">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c）Bird-dog训练；</w:t>
      </w:r>
    </w:p>
    <w:p w14:paraId="19EB59CB">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d）桥式训练。</w:t>
      </w:r>
    </w:p>
    <w:p w14:paraId="6CC62F49">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训练强度应根据年龄及耐受程度逐步增加。</w:t>
      </w:r>
    </w:p>
    <w:p w14:paraId="2F051ECF">
      <w:pPr>
        <w:pStyle w:val="35"/>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8.</w:t>
      </w:r>
      <w:r>
        <w:rPr>
          <w:rFonts w:hint="eastAsia" w:asciiTheme="minorEastAsia" w:hAnsiTheme="minorEastAsia" w:eastAsiaTheme="minorEastAsia" w:cstheme="minorEastAsia"/>
          <w:sz w:val="28"/>
          <w:szCs w:val="28"/>
          <w:lang w:val="en-US" w:eastAsia="zh-CN"/>
        </w:rPr>
        <w:t>中</w:t>
      </w:r>
      <w:r>
        <w:rPr>
          <w:rFonts w:hint="eastAsia" w:asciiTheme="minorEastAsia" w:hAnsiTheme="minorEastAsia" w:eastAsiaTheme="minorEastAsia" w:cstheme="minorEastAsia"/>
          <w:sz w:val="28"/>
          <w:szCs w:val="28"/>
        </w:rPr>
        <w:t>医适宜技术干预</w:t>
      </w:r>
    </w:p>
    <w:p w14:paraId="2DF9D5BA">
      <w:pPr>
        <w:pStyle w:val="40"/>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8.1针灸治疗</w:t>
      </w:r>
    </w:p>
    <w:p w14:paraId="492111DE">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治疗前完成中医辨证。</w:t>
      </w:r>
    </w:p>
    <w:p w14:paraId="22BC3A33">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主穴可选：</w:t>
      </w:r>
    </w:p>
    <w:p w14:paraId="356E0609">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大椎、夹脊穴、肾俞、命门、足三里。</w:t>
      </w:r>
    </w:p>
    <w:p w14:paraId="0928CA43">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根据证型配穴。</w:t>
      </w:r>
    </w:p>
    <w:p w14:paraId="6FE7757F">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留针20～30分钟。</w:t>
      </w:r>
    </w:p>
    <w:p w14:paraId="3AA3F546">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每周2～3次。</w:t>
      </w:r>
    </w:p>
    <w:p w14:paraId="68EC2B48">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8.2推拿整脊</w:t>
      </w:r>
    </w:p>
    <w:p w14:paraId="40F13E21">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采用松解、牵伸及脊柱平衡调整技术。</w:t>
      </w:r>
    </w:p>
    <w:p w14:paraId="3F1EDE63">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避免暴力整复。</w:t>
      </w:r>
    </w:p>
    <w:p w14:paraId="2E6CFE3F">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每周1～2次。</w:t>
      </w:r>
    </w:p>
    <w:p w14:paraId="2B7D6550">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疗程8～12周。</w:t>
      </w:r>
    </w:p>
    <w:p w14:paraId="04AE4CF9">
      <w:pPr>
        <w:pStyle w:val="40"/>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8.3导引训练</w:t>
      </w:r>
    </w:p>
    <w:p w14:paraId="7DCE8D39">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包括：</w:t>
      </w:r>
    </w:p>
    <w:p w14:paraId="7F2CB929">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改良八段锦；</w:t>
      </w:r>
    </w:p>
    <w:p w14:paraId="5EE02A54">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易筋经；</w:t>
      </w:r>
    </w:p>
    <w:p w14:paraId="30FB63C6">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脊柱平衡功法。</w:t>
      </w:r>
    </w:p>
    <w:p w14:paraId="3F4A83AE">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每日训练20～30分钟。</w:t>
      </w:r>
    </w:p>
    <w:p w14:paraId="3AFF7AD3">
      <w:pPr>
        <w:pStyle w:val="35"/>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8.4干预后处理</w:t>
      </w:r>
    </w:p>
    <w:p w14:paraId="1C040A50">
      <w:pPr>
        <w:pStyle w:val="35"/>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8.4.1患者指导</w:t>
      </w:r>
    </w:p>
    <w:p w14:paraId="07A9EDC9">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指导患者：</w:t>
      </w:r>
    </w:p>
    <w:p w14:paraId="0849E4D6">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a）保持正确坐姿；</w:t>
      </w:r>
    </w:p>
    <w:p w14:paraId="71F9BAE3">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b）避免单肩负重；</w:t>
      </w:r>
    </w:p>
    <w:p w14:paraId="15D119D8">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c）坚持家庭训练；</w:t>
      </w:r>
    </w:p>
    <w:p w14:paraId="54B1942B">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d）增加户外活动；</w:t>
      </w:r>
    </w:p>
    <w:p w14:paraId="175C4E09">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e）补充钙及维生素D。</w:t>
      </w:r>
    </w:p>
    <w:p w14:paraId="71191A2C">
      <w:pPr>
        <w:pStyle w:val="40"/>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8.4.2数据记录</w:t>
      </w:r>
    </w:p>
    <w:p w14:paraId="5E2F7C89">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记录：</w:t>
      </w:r>
    </w:p>
    <w:p w14:paraId="4E3F565D">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a）训练内容；</w:t>
      </w:r>
    </w:p>
    <w:p w14:paraId="1FFD827F">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b）训练时长；</w:t>
      </w:r>
    </w:p>
    <w:p w14:paraId="53A4F6B8">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c）依从性；</w:t>
      </w:r>
    </w:p>
    <w:p w14:paraId="36AFD7D4">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d）不良反应；</w:t>
      </w:r>
    </w:p>
    <w:p w14:paraId="37BB42DB">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e）疗效评价结果。</w:t>
      </w:r>
    </w:p>
    <w:p w14:paraId="5CE72BD3">
      <w:pPr>
        <w:pStyle w:val="40"/>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8.4.3随访管理</w:t>
      </w:r>
    </w:p>
    <w:p w14:paraId="2938E362">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轻度侧弯：</w:t>
      </w:r>
    </w:p>
    <w:p w14:paraId="7AAB200E">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6个月复查1次；</w:t>
      </w:r>
    </w:p>
    <w:p w14:paraId="36239B09">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中度侧弯：</w:t>
      </w:r>
    </w:p>
    <w:p w14:paraId="608401BD">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3个月复查1次；</w:t>
      </w:r>
    </w:p>
    <w:p w14:paraId="2963D0FD">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重度侧弯：</w:t>
      </w:r>
    </w:p>
    <w:p w14:paraId="06B6448C">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1～3个月复查1次。</w:t>
      </w:r>
    </w:p>
    <w:p w14:paraId="6374B77E">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建立区域脊柱侧弯随访数据库，实现长期动态管理。</w:t>
      </w:r>
    </w:p>
    <w:p w14:paraId="4B384821">
      <w:pPr>
        <w:pStyle w:val="32"/>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rPr>
      </w:pPr>
      <w:bookmarkStart w:id="7" w:name="_Copy_1"/>
      <w:bookmarkEnd w:id="7"/>
      <w:bookmarkStart w:id="8" w:name="_Toc208503238"/>
      <w:r>
        <w:rPr>
          <w:rFonts w:hint="eastAsia" w:asciiTheme="minorEastAsia" w:hAnsiTheme="minorEastAsia" w:eastAsiaTheme="minorEastAsia" w:cstheme="minorEastAsia"/>
          <w:sz w:val="28"/>
          <w:szCs w:val="28"/>
          <w:lang w:val="en-US" w:eastAsia="zh-CN"/>
        </w:rPr>
        <w:t>9.</w:t>
      </w:r>
      <w:r>
        <w:rPr>
          <w:rFonts w:hint="eastAsia" w:asciiTheme="minorEastAsia" w:hAnsiTheme="minorEastAsia" w:eastAsiaTheme="minorEastAsia" w:cstheme="minorEastAsia"/>
          <w:sz w:val="28"/>
          <w:szCs w:val="28"/>
        </w:rPr>
        <w:t>疗程与注意事项</w:t>
      </w:r>
      <w:bookmarkEnd w:id="8"/>
    </w:p>
    <w:p w14:paraId="055723F3">
      <w:pPr>
        <w:pStyle w:val="35"/>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9.1</w:t>
      </w:r>
      <w:bookmarkStart w:id="9" w:name="_Toc208503239"/>
      <w:r>
        <w:rPr>
          <w:rFonts w:hint="eastAsia" w:asciiTheme="minorEastAsia" w:hAnsiTheme="minorEastAsia" w:eastAsiaTheme="minorEastAsia" w:cstheme="minorEastAsia"/>
          <w:sz w:val="28"/>
          <w:szCs w:val="28"/>
        </w:rPr>
        <w:t>疗程设计</w:t>
      </w:r>
      <w:bookmarkEnd w:id="9"/>
    </w:p>
    <w:p w14:paraId="6352DB88">
      <w:pPr>
        <w:pStyle w:val="23"/>
        <w:keepNext w:val="0"/>
        <w:keepLines w:val="0"/>
        <w:pageBreakBefore w:val="0"/>
        <w:kinsoku/>
        <w:wordWrap/>
        <w:overflowPunct/>
        <w:topLinePunct w:val="0"/>
        <w:bidi w:val="0"/>
        <w:spacing w:afterAutospacing="0" w:line="360" w:lineRule="auto"/>
        <w:ind w:firstLine="560" w:firstLineChars="200"/>
      </w:pPr>
      <w:r>
        <w:rPr>
          <w:rFonts w:hint="eastAsia" w:asciiTheme="minorEastAsia" w:hAnsiTheme="minorEastAsia" w:eastAsiaTheme="minorEastAsia" w:cstheme="minorEastAsia"/>
          <w:sz w:val="28"/>
          <w:szCs w:val="28"/>
        </w:rPr>
        <w:t>根据</w:t>
      </w:r>
      <w:r>
        <w:rPr>
          <w:rFonts w:hint="eastAsia" w:asciiTheme="minorEastAsia" w:hAnsiTheme="minorEastAsia" w:eastAsiaTheme="minorEastAsia" w:cstheme="minorEastAsia"/>
          <w:sz w:val="28"/>
          <w:szCs w:val="28"/>
          <w:lang w:val="en-US" w:eastAsia="zh-CN"/>
        </w:rPr>
        <w:t>侧弯角度</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弯型</w:t>
      </w:r>
      <w:r>
        <w:rPr>
          <w:rFonts w:hint="eastAsia" w:asciiTheme="minorEastAsia" w:hAnsiTheme="minorEastAsia" w:eastAsiaTheme="minorEastAsia" w:cstheme="minorEastAsia"/>
          <w:sz w:val="28"/>
          <w:szCs w:val="28"/>
        </w:rPr>
        <w:t>，制定科学的疗程方案，确保疗效与安全性，具体要求见表</w:t>
      </w: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sz w:val="28"/>
          <w:szCs w:val="28"/>
        </w:rPr>
        <w:t>。</w:t>
      </w:r>
    </w:p>
    <w:tbl>
      <w:tblPr>
        <w:tblStyle w:val="8"/>
        <w:tblW w:w="84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944"/>
        <w:gridCol w:w="1381"/>
        <w:gridCol w:w="1012"/>
        <w:gridCol w:w="1200"/>
        <w:gridCol w:w="2055"/>
        <w:gridCol w:w="1895"/>
      </w:tblGrid>
      <w:tr w14:paraId="617CA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59" w:hRule="atLeast"/>
          <w:tblHeader/>
          <w:jc w:val="center"/>
        </w:trPr>
        <w:tc>
          <w:tcPr>
            <w:tcW w:w="944" w:type="dxa"/>
            <w:tcBorders>
              <w:top w:val="single" w:color="000000" w:sz="8" w:space="0"/>
              <w:left w:val="single" w:color="000000" w:sz="8" w:space="0"/>
              <w:bottom w:val="single" w:color="000000" w:sz="8" w:space="0"/>
              <w:right w:val="single" w:color="000000" w:sz="8" w:space="0"/>
            </w:tcBorders>
            <w:vAlign w:val="center"/>
          </w:tcPr>
          <w:p w14:paraId="25392067">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left="0" w:leftChars="0" w:firstLine="0" w:firstLineChars="0"/>
              <w:jc w:val="center"/>
              <w:textAlignment w:val="auto"/>
              <w:rPr>
                <w:kern w:val="0"/>
                <w:sz w:val="21"/>
                <w:szCs w:val="21"/>
              </w:rPr>
            </w:pPr>
            <w:r>
              <w:rPr>
                <w:kern w:val="0"/>
                <w:sz w:val="21"/>
                <w:szCs w:val="21"/>
              </w:rPr>
              <w:t>疗程阶段</w:t>
            </w:r>
          </w:p>
        </w:tc>
        <w:tc>
          <w:tcPr>
            <w:tcW w:w="1381" w:type="dxa"/>
            <w:tcBorders>
              <w:top w:val="single" w:color="000000" w:sz="8" w:space="0"/>
              <w:left w:val="single" w:color="000000" w:sz="8" w:space="0"/>
              <w:bottom w:val="single" w:color="000000" w:sz="8" w:space="0"/>
              <w:right w:val="single" w:color="000000" w:sz="8" w:space="0"/>
            </w:tcBorders>
            <w:vAlign w:val="center"/>
          </w:tcPr>
          <w:p w14:paraId="255DB8F7">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jc w:val="center"/>
              <w:textAlignment w:val="auto"/>
              <w:rPr>
                <w:kern w:val="0"/>
                <w:sz w:val="21"/>
                <w:szCs w:val="21"/>
              </w:rPr>
            </w:pPr>
            <w:r>
              <w:rPr>
                <w:kern w:val="0"/>
                <w:sz w:val="21"/>
                <w:szCs w:val="21"/>
              </w:rPr>
              <w:t>治疗间隔</w:t>
            </w:r>
          </w:p>
        </w:tc>
        <w:tc>
          <w:tcPr>
            <w:tcW w:w="1012" w:type="dxa"/>
            <w:tcBorders>
              <w:top w:val="single" w:color="000000" w:sz="8" w:space="0"/>
              <w:left w:val="single" w:color="000000" w:sz="8" w:space="0"/>
              <w:bottom w:val="single" w:color="000000" w:sz="8" w:space="0"/>
              <w:right w:val="single" w:color="000000" w:sz="8" w:space="0"/>
            </w:tcBorders>
            <w:vAlign w:val="center"/>
          </w:tcPr>
          <w:p w14:paraId="325A0E11">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jc w:val="center"/>
              <w:textAlignment w:val="auto"/>
              <w:rPr>
                <w:kern w:val="0"/>
                <w:sz w:val="21"/>
                <w:szCs w:val="21"/>
              </w:rPr>
            </w:pPr>
            <w:r>
              <w:rPr>
                <w:kern w:val="0"/>
                <w:sz w:val="21"/>
                <w:szCs w:val="21"/>
              </w:rPr>
              <w:t>治疗次数</w:t>
            </w:r>
          </w:p>
        </w:tc>
        <w:tc>
          <w:tcPr>
            <w:tcW w:w="1200" w:type="dxa"/>
            <w:tcBorders>
              <w:top w:val="single" w:color="000000" w:sz="8" w:space="0"/>
              <w:left w:val="single" w:color="000000" w:sz="8" w:space="0"/>
              <w:bottom w:val="single" w:color="000000" w:sz="8" w:space="0"/>
              <w:right w:val="single" w:color="000000" w:sz="8" w:space="0"/>
            </w:tcBorders>
            <w:vAlign w:val="center"/>
          </w:tcPr>
          <w:p w14:paraId="5559B690">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left="0" w:leftChars="0" w:firstLine="0" w:firstLineChars="0"/>
              <w:jc w:val="center"/>
              <w:textAlignment w:val="auto"/>
              <w:rPr>
                <w:kern w:val="0"/>
                <w:sz w:val="21"/>
                <w:szCs w:val="21"/>
              </w:rPr>
            </w:pPr>
            <w:r>
              <w:rPr>
                <w:kern w:val="0"/>
                <w:sz w:val="21"/>
                <w:szCs w:val="21"/>
              </w:rPr>
              <w:t>总疗程时长</w:t>
            </w:r>
          </w:p>
        </w:tc>
        <w:tc>
          <w:tcPr>
            <w:tcW w:w="2055" w:type="dxa"/>
            <w:tcBorders>
              <w:top w:val="single" w:color="000000" w:sz="8" w:space="0"/>
              <w:left w:val="single" w:color="000000" w:sz="8" w:space="0"/>
              <w:bottom w:val="single" w:color="000000" w:sz="8" w:space="0"/>
              <w:right w:val="single" w:color="000000" w:sz="8" w:space="0"/>
            </w:tcBorders>
            <w:vAlign w:val="center"/>
          </w:tcPr>
          <w:p w14:paraId="33E34FE5">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jc w:val="center"/>
              <w:textAlignment w:val="auto"/>
              <w:rPr>
                <w:kern w:val="0"/>
                <w:sz w:val="21"/>
                <w:szCs w:val="21"/>
              </w:rPr>
            </w:pPr>
            <w:r>
              <w:rPr>
                <w:kern w:val="0"/>
                <w:sz w:val="21"/>
                <w:szCs w:val="21"/>
              </w:rPr>
              <w:t>适用人群</w:t>
            </w:r>
          </w:p>
        </w:tc>
        <w:tc>
          <w:tcPr>
            <w:tcW w:w="1895" w:type="dxa"/>
            <w:tcBorders>
              <w:top w:val="single" w:color="000000" w:sz="8" w:space="0"/>
              <w:left w:val="single" w:color="000000" w:sz="8" w:space="0"/>
              <w:bottom w:val="single" w:color="000000" w:sz="8" w:space="0"/>
              <w:right w:val="single" w:color="000000" w:sz="8" w:space="0"/>
            </w:tcBorders>
            <w:vAlign w:val="center"/>
          </w:tcPr>
          <w:p w14:paraId="61AA46AB">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jc w:val="center"/>
              <w:textAlignment w:val="auto"/>
              <w:rPr>
                <w:kern w:val="0"/>
                <w:sz w:val="21"/>
                <w:szCs w:val="21"/>
              </w:rPr>
            </w:pPr>
            <w:r>
              <w:rPr>
                <w:kern w:val="0"/>
                <w:sz w:val="21"/>
                <w:szCs w:val="21"/>
              </w:rPr>
              <w:t>注意事项</w:t>
            </w:r>
          </w:p>
        </w:tc>
      </w:tr>
      <w:tr w14:paraId="556B4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129" w:hRule="atLeast"/>
          <w:jc w:val="center"/>
        </w:trPr>
        <w:tc>
          <w:tcPr>
            <w:tcW w:w="944" w:type="dxa"/>
            <w:tcBorders>
              <w:top w:val="single" w:color="000000" w:sz="8" w:space="0"/>
              <w:left w:val="single" w:color="000000" w:sz="8" w:space="0"/>
              <w:bottom w:val="single" w:color="000000" w:sz="8" w:space="0"/>
              <w:right w:val="single" w:color="000000" w:sz="8" w:space="0"/>
            </w:tcBorders>
            <w:vAlign w:val="center"/>
          </w:tcPr>
          <w:p w14:paraId="6CB4A2AD">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jc w:val="center"/>
              <w:textAlignment w:val="auto"/>
              <w:rPr>
                <w:kern w:val="0"/>
                <w:sz w:val="21"/>
                <w:szCs w:val="21"/>
              </w:rPr>
            </w:pPr>
            <w:r>
              <w:rPr>
                <w:kern w:val="0"/>
                <w:sz w:val="21"/>
                <w:szCs w:val="21"/>
              </w:rPr>
              <w:t>治疗期</w:t>
            </w:r>
          </w:p>
        </w:tc>
        <w:tc>
          <w:tcPr>
            <w:tcW w:w="1381" w:type="dxa"/>
            <w:tcBorders>
              <w:top w:val="single" w:color="000000" w:sz="8" w:space="0"/>
              <w:left w:val="single" w:color="000000" w:sz="8" w:space="0"/>
              <w:bottom w:val="single" w:color="000000" w:sz="8" w:space="0"/>
              <w:right w:val="single" w:color="000000" w:sz="8" w:space="0"/>
            </w:tcBorders>
            <w:vAlign w:val="center"/>
          </w:tcPr>
          <w:p w14:paraId="69CC98CE">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jc w:val="center"/>
              <w:textAlignment w:val="auto"/>
              <w:rPr>
                <w:kern w:val="0"/>
                <w:sz w:val="21"/>
                <w:szCs w:val="21"/>
              </w:rPr>
            </w:pPr>
            <w:r>
              <w:rPr>
                <w:kern w:val="0"/>
                <w:sz w:val="21"/>
                <w:szCs w:val="21"/>
              </w:rPr>
              <w:t>1周/次</w:t>
            </w:r>
          </w:p>
        </w:tc>
        <w:tc>
          <w:tcPr>
            <w:tcW w:w="1012" w:type="dxa"/>
            <w:tcBorders>
              <w:top w:val="single" w:color="000000" w:sz="8" w:space="0"/>
              <w:left w:val="single" w:color="000000" w:sz="8" w:space="0"/>
              <w:bottom w:val="single" w:color="000000" w:sz="8" w:space="0"/>
              <w:right w:val="single" w:color="000000" w:sz="8" w:space="0"/>
            </w:tcBorders>
            <w:vAlign w:val="center"/>
          </w:tcPr>
          <w:p w14:paraId="6F3BFD60">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jc w:val="center"/>
              <w:textAlignment w:val="auto"/>
              <w:rPr>
                <w:kern w:val="0"/>
                <w:sz w:val="21"/>
                <w:szCs w:val="21"/>
              </w:rPr>
            </w:pPr>
            <w:r>
              <w:rPr>
                <w:kern w:val="0"/>
                <w:sz w:val="21"/>
                <w:szCs w:val="21"/>
                <w:lang w:val="en-US" w:eastAsia="zh-CN"/>
              </w:rPr>
              <w:t>6-7</w:t>
            </w:r>
            <w:r>
              <w:rPr>
                <w:kern w:val="0"/>
                <w:sz w:val="21"/>
                <w:szCs w:val="21"/>
              </w:rPr>
              <w:t>次</w:t>
            </w:r>
          </w:p>
        </w:tc>
        <w:tc>
          <w:tcPr>
            <w:tcW w:w="1200" w:type="dxa"/>
            <w:tcBorders>
              <w:top w:val="single" w:color="000000" w:sz="8" w:space="0"/>
              <w:left w:val="single" w:color="000000" w:sz="8" w:space="0"/>
              <w:bottom w:val="single" w:color="000000" w:sz="8" w:space="0"/>
              <w:right w:val="single" w:color="000000" w:sz="8" w:space="0"/>
            </w:tcBorders>
            <w:vAlign w:val="center"/>
          </w:tcPr>
          <w:p w14:paraId="3CFC0F38">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jc w:val="center"/>
              <w:textAlignment w:val="auto"/>
              <w:rPr>
                <w:kern w:val="0"/>
                <w:sz w:val="21"/>
                <w:szCs w:val="21"/>
              </w:rPr>
            </w:pPr>
            <w:r>
              <w:rPr>
                <w:kern w:val="0"/>
                <w:sz w:val="21"/>
                <w:szCs w:val="21"/>
                <w:lang w:val="en-US" w:eastAsia="zh-CN"/>
              </w:rPr>
              <w:t>12</w:t>
            </w:r>
            <w:r>
              <w:rPr>
                <w:kern w:val="0"/>
                <w:sz w:val="21"/>
                <w:szCs w:val="21"/>
              </w:rPr>
              <w:t>周</w:t>
            </w:r>
          </w:p>
        </w:tc>
        <w:tc>
          <w:tcPr>
            <w:tcW w:w="2055" w:type="dxa"/>
            <w:tcBorders>
              <w:top w:val="single" w:color="000000" w:sz="8" w:space="0"/>
              <w:left w:val="single" w:color="000000" w:sz="8" w:space="0"/>
              <w:bottom w:val="single" w:color="000000" w:sz="8" w:space="0"/>
              <w:right w:val="single" w:color="000000" w:sz="8" w:space="0"/>
            </w:tcBorders>
            <w:vAlign w:val="center"/>
          </w:tcPr>
          <w:p w14:paraId="2F675603">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left="0" w:leftChars="0" w:firstLine="0" w:firstLineChars="0"/>
              <w:jc w:val="center"/>
              <w:textAlignment w:val="auto"/>
              <w:rPr>
                <w:kern w:val="0"/>
                <w:sz w:val="21"/>
                <w:szCs w:val="21"/>
              </w:rPr>
            </w:pPr>
            <w:r>
              <w:rPr>
                <w:kern w:val="0"/>
                <w:sz w:val="21"/>
                <w:szCs w:val="21"/>
              </w:rPr>
              <w:t>所有</w:t>
            </w:r>
            <w:r>
              <w:rPr>
                <w:kern w:val="0"/>
                <w:sz w:val="21"/>
                <w:szCs w:val="21"/>
                <w:lang w:val="en-US" w:eastAsia="zh-CN"/>
              </w:rPr>
              <w:t>所有脊柱侧弯患</w:t>
            </w:r>
            <w:r>
              <w:rPr>
                <w:kern w:val="0"/>
                <w:sz w:val="21"/>
                <w:szCs w:val="21"/>
              </w:rPr>
              <w:t>者（</w:t>
            </w:r>
            <w:r>
              <w:rPr>
                <w:kern w:val="0"/>
                <w:sz w:val="21"/>
                <w:szCs w:val="21"/>
                <w:lang w:val="en-US" w:eastAsia="zh-CN"/>
              </w:rPr>
              <w:t>Cobb角&gt;10°</w:t>
            </w:r>
            <w:r>
              <w:rPr>
                <w:kern w:val="0"/>
                <w:sz w:val="21"/>
                <w:szCs w:val="21"/>
              </w:rPr>
              <w:t>）</w:t>
            </w:r>
          </w:p>
        </w:tc>
        <w:tc>
          <w:tcPr>
            <w:tcW w:w="1895" w:type="dxa"/>
            <w:tcBorders>
              <w:top w:val="single" w:color="000000" w:sz="8" w:space="0"/>
              <w:left w:val="single" w:color="000000" w:sz="8" w:space="0"/>
              <w:bottom w:val="single" w:color="000000" w:sz="8" w:space="0"/>
              <w:right w:val="single" w:color="000000" w:sz="8" w:space="0"/>
            </w:tcBorders>
            <w:vAlign w:val="center"/>
          </w:tcPr>
          <w:p w14:paraId="0ECBF862">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left="0" w:leftChars="0" w:firstLine="0" w:firstLineChars="0"/>
              <w:jc w:val="center"/>
              <w:textAlignment w:val="auto"/>
              <w:rPr>
                <w:sz w:val="21"/>
                <w:szCs w:val="21"/>
                <w:lang w:val="en-US"/>
              </w:rPr>
            </w:pPr>
            <w:r>
              <w:rPr>
                <w:kern w:val="0"/>
                <w:sz w:val="21"/>
                <w:szCs w:val="21"/>
              </w:rPr>
              <w:t>每次治疗前评估患者</w:t>
            </w:r>
            <w:r>
              <w:rPr>
                <w:kern w:val="0"/>
                <w:sz w:val="21"/>
                <w:szCs w:val="21"/>
                <w:lang w:val="en-US" w:eastAsia="zh-CN"/>
              </w:rPr>
              <w:t>Cobb角</w:t>
            </w:r>
            <w:r>
              <w:rPr>
                <w:kern w:val="0"/>
                <w:sz w:val="21"/>
                <w:szCs w:val="21"/>
              </w:rPr>
              <w:t>、</w:t>
            </w:r>
            <w:r>
              <w:rPr>
                <w:kern w:val="0"/>
                <w:sz w:val="21"/>
                <w:szCs w:val="21"/>
                <w:lang w:val="en-US" w:eastAsia="zh-CN"/>
              </w:rPr>
              <w:t>ATR。</w:t>
            </w:r>
          </w:p>
        </w:tc>
      </w:tr>
      <w:tr w14:paraId="7A83B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59" w:hRule="atLeast"/>
          <w:jc w:val="center"/>
        </w:trPr>
        <w:tc>
          <w:tcPr>
            <w:tcW w:w="944" w:type="dxa"/>
            <w:tcBorders>
              <w:top w:val="single" w:color="000000" w:sz="8" w:space="0"/>
              <w:left w:val="single" w:color="000000" w:sz="8" w:space="0"/>
              <w:bottom w:val="single" w:color="000000" w:sz="8" w:space="0"/>
              <w:right w:val="single" w:color="000000" w:sz="8" w:space="0"/>
            </w:tcBorders>
            <w:vAlign w:val="center"/>
          </w:tcPr>
          <w:p w14:paraId="0C3FFF10">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jc w:val="center"/>
              <w:textAlignment w:val="auto"/>
              <w:rPr>
                <w:kern w:val="0"/>
                <w:sz w:val="21"/>
                <w:szCs w:val="21"/>
              </w:rPr>
            </w:pPr>
            <w:r>
              <w:rPr>
                <w:kern w:val="0"/>
                <w:sz w:val="21"/>
                <w:szCs w:val="21"/>
              </w:rPr>
              <w:t>巩固期</w:t>
            </w:r>
          </w:p>
        </w:tc>
        <w:tc>
          <w:tcPr>
            <w:tcW w:w="1381" w:type="dxa"/>
            <w:tcBorders>
              <w:top w:val="single" w:color="000000" w:sz="8" w:space="0"/>
              <w:left w:val="single" w:color="000000" w:sz="8" w:space="0"/>
              <w:bottom w:val="single" w:color="000000" w:sz="8" w:space="0"/>
              <w:right w:val="single" w:color="000000" w:sz="8" w:space="0"/>
            </w:tcBorders>
            <w:vAlign w:val="center"/>
          </w:tcPr>
          <w:p w14:paraId="2EF0817C">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jc w:val="center"/>
              <w:textAlignment w:val="auto"/>
              <w:rPr>
                <w:kern w:val="0"/>
                <w:sz w:val="21"/>
                <w:szCs w:val="21"/>
              </w:rPr>
            </w:pPr>
            <w:r>
              <w:rPr>
                <w:kern w:val="0"/>
                <w:sz w:val="21"/>
                <w:szCs w:val="21"/>
                <w:lang w:val="en-US" w:eastAsia="zh-CN"/>
              </w:rPr>
              <w:t>1</w:t>
            </w:r>
            <w:r>
              <w:rPr>
                <w:kern w:val="0"/>
                <w:sz w:val="21"/>
                <w:szCs w:val="21"/>
              </w:rPr>
              <w:t>周/次</w:t>
            </w:r>
          </w:p>
        </w:tc>
        <w:tc>
          <w:tcPr>
            <w:tcW w:w="1012" w:type="dxa"/>
            <w:tcBorders>
              <w:top w:val="single" w:color="000000" w:sz="8" w:space="0"/>
              <w:left w:val="single" w:color="000000" w:sz="8" w:space="0"/>
              <w:bottom w:val="single" w:color="000000" w:sz="8" w:space="0"/>
              <w:right w:val="single" w:color="000000" w:sz="8" w:space="0"/>
            </w:tcBorders>
            <w:vAlign w:val="center"/>
          </w:tcPr>
          <w:p w14:paraId="2B73268B">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jc w:val="center"/>
              <w:textAlignment w:val="auto"/>
              <w:rPr>
                <w:kern w:val="0"/>
                <w:sz w:val="21"/>
                <w:szCs w:val="21"/>
              </w:rPr>
            </w:pPr>
            <w:r>
              <w:rPr>
                <w:kern w:val="0"/>
                <w:sz w:val="21"/>
                <w:szCs w:val="21"/>
                <w:lang w:val="en-US" w:eastAsia="zh-CN"/>
              </w:rPr>
              <w:t>5</w:t>
            </w:r>
            <w:r>
              <w:rPr>
                <w:kern w:val="0"/>
                <w:sz w:val="21"/>
                <w:szCs w:val="21"/>
              </w:rPr>
              <w:t>次</w:t>
            </w:r>
          </w:p>
        </w:tc>
        <w:tc>
          <w:tcPr>
            <w:tcW w:w="1200" w:type="dxa"/>
            <w:tcBorders>
              <w:top w:val="single" w:color="000000" w:sz="8" w:space="0"/>
              <w:left w:val="single" w:color="000000" w:sz="8" w:space="0"/>
              <w:bottom w:val="single" w:color="000000" w:sz="8" w:space="0"/>
              <w:right w:val="single" w:color="000000" w:sz="8" w:space="0"/>
            </w:tcBorders>
            <w:vAlign w:val="center"/>
          </w:tcPr>
          <w:p w14:paraId="45DE574F">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jc w:val="center"/>
              <w:textAlignment w:val="auto"/>
              <w:rPr>
                <w:kern w:val="0"/>
                <w:sz w:val="21"/>
                <w:szCs w:val="21"/>
              </w:rPr>
            </w:pPr>
            <w:r>
              <w:rPr>
                <w:kern w:val="0"/>
                <w:sz w:val="21"/>
                <w:szCs w:val="21"/>
                <w:lang w:val="en-US" w:eastAsia="zh-CN"/>
              </w:rPr>
              <w:t>12</w:t>
            </w:r>
            <w:r>
              <w:rPr>
                <w:kern w:val="0"/>
                <w:sz w:val="21"/>
                <w:szCs w:val="21"/>
              </w:rPr>
              <w:t>周</w:t>
            </w:r>
          </w:p>
        </w:tc>
        <w:tc>
          <w:tcPr>
            <w:tcW w:w="2055" w:type="dxa"/>
            <w:tcBorders>
              <w:top w:val="single" w:color="000000" w:sz="8" w:space="0"/>
              <w:left w:val="single" w:color="000000" w:sz="8" w:space="0"/>
              <w:bottom w:val="single" w:color="000000" w:sz="8" w:space="0"/>
              <w:right w:val="single" w:color="000000" w:sz="8" w:space="0"/>
            </w:tcBorders>
            <w:vAlign w:val="center"/>
          </w:tcPr>
          <w:p w14:paraId="1BC855D6">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left="0" w:leftChars="0" w:firstLine="0" w:firstLineChars="0"/>
              <w:jc w:val="center"/>
              <w:textAlignment w:val="auto"/>
              <w:rPr>
                <w:kern w:val="0"/>
                <w:sz w:val="21"/>
                <w:szCs w:val="21"/>
              </w:rPr>
            </w:pPr>
            <w:r>
              <w:rPr>
                <w:kern w:val="0"/>
                <w:sz w:val="21"/>
                <w:szCs w:val="21"/>
              </w:rPr>
              <w:t>治疗期</w:t>
            </w:r>
            <w:r>
              <w:rPr>
                <w:kern w:val="0"/>
                <w:sz w:val="21"/>
                <w:szCs w:val="21"/>
                <w:lang w:val="en-US" w:eastAsia="zh-CN"/>
              </w:rPr>
              <w:t>Cobb角下降5°或稳定患</w:t>
            </w:r>
            <w:r>
              <w:rPr>
                <w:kern w:val="0"/>
                <w:sz w:val="21"/>
                <w:szCs w:val="21"/>
              </w:rPr>
              <w:t>者</w:t>
            </w:r>
          </w:p>
        </w:tc>
        <w:tc>
          <w:tcPr>
            <w:tcW w:w="1895" w:type="dxa"/>
            <w:tcBorders>
              <w:top w:val="single" w:color="000000" w:sz="8" w:space="0"/>
              <w:left w:val="single" w:color="000000" w:sz="8" w:space="0"/>
              <w:bottom w:val="single" w:color="000000" w:sz="8" w:space="0"/>
              <w:right w:val="single" w:color="000000" w:sz="8" w:space="0"/>
            </w:tcBorders>
            <w:vAlign w:val="center"/>
          </w:tcPr>
          <w:p w14:paraId="215FBE38">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left="0" w:leftChars="0" w:firstLine="0" w:firstLineChars="0"/>
              <w:jc w:val="center"/>
              <w:textAlignment w:val="auto"/>
              <w:rPr>
                <w:rFonts w:eastAsia="宋体"/>
                <w:sz w:val="21"/>
                <w:szCs w:val="21"/>
                <w:lang w:val="en-US" w:eastAsia="zh-CN"/>
              </w:rPr>
            </w:pPr>
            <w:r>
              <w:rPr>
                <w:kern w:val="0"/>
                <w:sz w:val="21"/>
                <w:szCs w:val="21"/>
              </w:rPr>
              <w:t>巩固期以</w:t>
            </w:r>
            <w:r>
              <w:rPr>
                <w:kern w:val="0"/>
                <w:sz w:val="21"/>
                <w:szCs w:val="21"/>
                <w:lang w:val="en-US" w:eastAsia="zh-CN"/>
              </w:rPr>
              <w:t>稳定侧弯角度为主</w:t>
            </w:r>
          </w:p>
        </w:tc>
      </w:tr>
      <w:tr w14:paraId="07B6C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148" w:hRule="atLeast"/>
          <w:jc w:val="center"/>
        </w:trPr>
        <w:tc>
          <w:tcPr>
            <w:tcW w:w="944" w:type="dxa"/>
            <w:tcBorders>
              <w:top w:val="single" w:color="000000" w:sz="8" w:space="0"/>
              <w:left w:val="single" w:color="000000" w:sz="8" w:space="0"/>
              <w:bottom w:val="single" w:color="000000" w:sz="8" w:space="0"/>
              <w:right w:val="single" w:color="000000" w:sz="8" w:space="0"/>
            </w:tcBorders>
            <w:vAlign w:val="center"/>
          </w:tcPr>
          <w:p w14:paraId="1BB17560">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jc w:val="center"/>
              <w:textAlignment w:val="auto"/>
              <w:rPr>
                <w:kern w:val="0"/>
                <w:sz w:val="21"/>
                <w:szCs w:val="21"/>
              </w:rPr>
            </w:pPr>
            <w:r>
              <w:rPr>
                <w:kern w:val="0"/>
                <w:sz w:val="21"/>
                <w:szCs w:val="21"/>
              </w:rPr>
              <w:t>随访期</w:t>
            </w:r>
          </w:p>
        </w:tc>
        <w:tc>
          <w:tcPr>
            <w:tcW w:w="1381" w:type="dxa"/>
            <w:tcBorders>
              <w:top w:val="single" w:color="000000" w:sz="8" w:space="0"/>
              <w:left w:val="single" w:color="000000" w:sz="8" w:space="0"/>
              <w:bottom w:val="single" w:color="000000" w:sz="8" w:space="0"/>
              <w:right w:val="single" w:color="000000" w:sz="8" w:space="0"/>
            </w:tcBorders>
            <w:vAlign w:val="center"/>
          </w:tcPr>
          <w:p w14:paraId="65A1385A">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jc w:val="center"/>
              <w:textAlignment w:val="auto"/>
              <w:rPr>
                <w:kern w:val="0"/>
                <w:sz w:val="21"/>
                <w:szCs w:val="21"/>
              </w:rPr>
            </w:pPr>
            <w:r>
              <w:rPr>
                <w:kern w:val="0"/>
                <w:sz w:val="21"/>
                <w:szCs w:val="21"/>
                <w:lang w:val="en-US" w:eastAsia="zh-CN"/>
              </w:rPr>
              <w:t>3</w:t>
            </w:r>
            <w:r>
              <w:rPr>
                <w:kern w:val="0"/>
                <w:sz w:val="21"/>
                <w:szCs w:val="21"/>
              </w:rPr>
              <w:t>个月/次（随访）</w:t>
            </w:r>
          </w:p>
        </w:tc>
        <w:tc>
          <w:tcPr>
            <w:tcW w:w="1012" w:type="dxa"/>
            <w:tcBorders>
              <w:top w:val="single" w:color="000000" w:sz="8" w:space="0"/>
              <w:left w:val="single" w:color="000000" w:sz="8" w:space="0"/>
              <w:bottom w:val="single" w:color="000000" w:sz="8" w:space="0"/>
              <w:right w:val="single" w:color="000000" w:sz="8" w:space="0"/>
            </w:tcBorders>
            <w:vAlign w:val="center"/>
          </w:tcPr>
          <w:p w14:paraId="5AD15919">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jc w:val="center"/>
              <w:textAlignment w:val="auto"/>
              <w:rPr>
                <w:kern w:val="0"/>
                <w:sz w:val="21"/>
                <w:szCs w:val="21"/>
              </w:rPr>
            </w:pPr>
            <w:r>
              <w:rPr>
                <w:kern w:val="0"/>
                <w:sz w:val="21"/>
                <w:szCs w:val="21"/>
              </w:rPr>
              <w:t>-</w:t>
            </w:r>
          </w:p>
        </w:tc>
        <w:tc>
          <w:tcPr>
            <w:tcW w:w="1200" w:type="dxa"/>
            <w:tcBorders>
              <w:top w:val="single" w:color="000000" w:sz="8" w:space="0"/>
              <w:left w:val="single" w:color="000000" w:sz="8" w:space="0"/>
              <w:bottom w:val="single" w:color="000000" w:sz="8" w:space="0"/>
              <w:right w:val="single" w:color="000000" w:sz="8" w:space="0"/>
            </w:tcBorders>
            <w:vAlign w:val="center"/>
          </w:tcPr>
          <w:p w14:paraId="7092F0AA">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jc w:val="center"/>
              <w:textAlignment w:val="auto"/>
              <w:rPr>
                <w:kern w:val="0"/>
                <w:sz w:val="21"/>
                <w:szCs w:val="21"/>
              </w:rPr>
            </w:pPr>
            <w:r>
              <w:rPr>
                <w:kern w:val="0"/>
                <w:sz w:val="21"/>
                <w:szCs w:val="21"/>
                <w:lang w:val="en-US" w:eastAsia="zh-CN"/>
              </w:rPr>
              <w:t>6</w:t>
            </w:r>
            <w:r>
              <w:rPr>
                <w:kern w:val="0"/>
                <w:sz w:val="21"/>
                <w:szCs w:val="21"/>
              </w:rPr>
              <w:t>个月</w:t>
            </w:r>
          </w:p>
        </w:tc>
        <w:tc>
          <w:tcPr>
            <w:tcW w:w="2055" w:type="dxa"/>
            <w:tcBorders>
              <w:top w:val="single" w:color="000000" w:sz="8" w:space="0"/>
              <w:left w:val="single" w:color="000000" w:sz="8" w:space="0"/>
              <w:bottom w:val="single" w:color="000000" w:sz="8" w:space="0"/>
              <w:right w:val="single" w:color="000000" w:sz="8" w:space="0"/>
            </w:tcBorders>
            <w:vAlign w:val="center"/>
          </w:tcPr>
          <w:p w14:paraId="788FB8A8">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left="0" w:leftChars="0" w:firstLine="0" w:firstLineChars="0"/>
              <w:jc w:val="center"/>
              <w:textAlignment w:val="auto"/>
              <w:rPr>
                <w:kern w:val="0"/>
                <w:sz w:val="21"/>
                <w:szCs w:val="21"/>
              </w:rPr>
            </w:pPr>
            <w:r>
              <w:rPr>
                <w:kern w:val="0"/>
                <w:sz w:val="21"/>
                <w:szCs w:val="21"/>
              </w:rPr>
              <w:t>完成治疗期与巩固期的患者</w:t>
            </w:r>
          </w:p>
        </w:tc>
        <w:tc>
          <w:tcPr>
            <w:tcW w:w="1895" w:type="dxa"/>
            <w:tcBorders>
              <w:top w:val="single" w:color="000000" w:sz="8" w:space="0"/>
              <w:left w:val="single" w:color="000000" w:sz="8" w:space="0"/>
              <w:bottom w:val="single" w:color="000000" w:sz="8" w:space="0"/>
              <w:right w:val="single" w:color="000000" w:sz="8" w:space="0"/>
            </w:tcBorders>
            <w:vAlign w:val="center"/>
          </w:tcPr>
          <w:p w14:paraId="172F8EA9">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left="0" w:leftChars="0" w:firstLine="0" w:firstLineChars="0"/>
              <w:jc w:val="center"/>
              <w:textAlignment w:val="auto"/>
              <w:rPr>
                <w:rFonts w:eastAsia="宋体"/>
                <w:sz w:val="21"/>
                <w:szCs w:val="21"/>
                <w:lang w:val="en-US" w:eastAsia="zh-CN"/>
              </w:rPr>
            </w:pPr>
            <w:r>
              <w:rPr>
                <w:kern w:val="0"/>
                <w:sz w:val="21"/>
                <w:szCs w:val="21"/>
              </w:rPr>
              <w:t>随访时监测</w:t>
            </w:r>
            <w:r>
              <w:rPr>
                <w:kern w:val="0"/>
                <w:sz w:val="21"/>
                <w:szCs w:val="21"/>
                <w:lang w:val="en-US" w:eastAsia="zh-CN"/>
              </w:rPr>
              <w:t>Cobb角，避免辐射伤害</w:t>
            </w:r>
          </w:p>
        </w:tc>
      </w:tr>
    </w:tbl>
    <w:p w14:paraId="67E7ECC0">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9.2注</w:t>
      </w:r>
      <w:bookmarkStart w:id="10" w:name="_Toc208503240"/>
      <w:r>
        <w:rPr>
          <w:rFonts w:hint="eastAsia" w:asciiTheme="minorEastAsia" w:hAnsiTheme="minorEastAsia" w:eastAsiaTheme="minorEastAsia" w:cstheme="minorEastAsia"/>
          <w:sz w:val="28"/>
          <w:szCs w:val="28"/>
          <w:lang w:val="en-US" w:eastAsia="zh-CN"/>
        </w:rPr>
        <w:t>意事项</w:t>
      </w:r>
      <w:bookmarkEnd w:id="10"/>
    </w:p>
    <w:p w14:paraId="46369901">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9.2.1操作人员注意事项</w:t>
      </w:r>
    </w:p>
    <w:p w14:paraId="0FE06A5A">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9.2.1.1规范操作</w:t>
      </w:r>
    </w:p>
    <w:p w14:paraId="4D1C4FF1">
      <w:pPr>
        <w:pStyle w:val="41"/>
        <w:keepNext w:val="0"/>
        <w:keepLines w:val="0"/>
        <w:pageBreakBefore w:val="0"/>
        <w:numPr>
          <w:ilvl w:val="0"/>
          <w:numId w:val="0"/>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全程严格遵守规范，禁止在操作过程中虽已改变患者治疗方案，如必须根据患者影像学资料，制定治疗方案。</w:t>
      </w:r>
    </w:p>
    <w:p w14:paraId="311014E5">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9.2.1.2患者反应观察</w:t>
      </w:r>
    </w:p>
    <w:p w14:paraId="2FA248E0">
      <w:pPr>
        <w:pStyle w:val="41"/>
        <w:keepNext w:val="0"/>
        <w:keepLines w:val="0"/>
        <w:pageBreakBefore w:val="0"/>
        <w:numPr>
          <w:ilvl w:val="0"/>
          <w:numId w:val="0"/>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操作过程中密切观察患者面色、呼吸、意识，如出现面色苍白、头晕、恶心，需立即停止操作，让患者平卧休息，吸氧（流量2~3L/min），待症状缓解后再决定是否继续。</w:t>
      </w:r>
    </w:p>
    <w:p w14:paraId="61C5052D">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9.2.1.3穴位避开禁忌</w:t>
      </w:r>
    </w:p>
    <w:p w14:paraId="2192C356">
      <w:pPr>
        <w:pStyle w:val="41"/>
        <w:keepNext w:val="0"/>
        <w:keepLines w:val="0"/>
        <w:pageBreakBefore w:val="0"/>
        <w:numPr>
          <w:ilvl w:val="0"/>
          <w:numId w:val="0"/>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腹部穴位避开瘢痕、皮肤褶皱处；背部穴位避开脊柱、肩胛骨；四肢穴位避开血管、神经密集处。</w:t>
      </w:r>
    </w:p>
    <w:p w14:paraId="35426294">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9.2.1.4记录完整</w:t>
      </w:r>
    </w:p>
    <w:p w14:paraId="344CEBD1">
      <w:pPr>
        <w:pStyle w:val="41"/>
        <w:keepNext w:val="0"/>
        <w:keepLines w:val="0"/>
        <w:pageBreakBefore w:val="0"/>
        <w:numPr>
          <w:ilvl w:val="0"/>
          <w:numId w:val="0"/>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操作后1小时内完成《青少年脊柱侧弯预防与临床干预治疗记录单》，记录患者基本信息、辨证分型、中医体质、Cobb角、ATR值、治疗的方式，具体治疗过程、何种这样适宜技术等，避免漏填或涂改。</w:t>
      </w:r>
    </w:p>
    <w:p w14:paraId="6738DE55">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9.2.2患者注意事项</w:t>
      </w:r>
    </w:p>
    <w:p w14:paraId="05409EDE">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9.2.2.1操作前准备</w:t>
      </w:r>
    </w:p>
    <w:p w14:paraId="1DCB5B10">
      <w:pPr>
        <w:pStyle w:val="41"/>
        <w:keepNext w:val="0"/>
        <w:keepLines w:val="0"/>
        <w:pageBreakBefore w:val="0"/>
        <w:numPr>
          <w:ilvl w:val="0"/>
          <w:numId w:val="0"/>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操作前患者需进食，不易过饱（避免因饥饿引起低血糖，过饱导致腹胀，影响操作），穿着宽松，易于观察患者的形体，或便于暴露穴位。</w:t>
      </w:r>
    </w:p>
    <w:p w14:paraId="65903281">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操作后护理：应用中医适宜技术患者24小时内不洗澡、不游泳，避免操作部位出汗；出现腰背部酸痛患者，需使用中医适宜技术缓解肌肉酸痛；佩戴支具患者，防止皮肤破损感染。</w:t>
      </w:r>
    </w:p>
    <w:p w14:paraId="557DCAE8">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生活方式配合：疗程期间需配合健康饮食（每日热量摄入控制在1500~1800kcal，蛋白质占比20%~30%）、规律运动（每周≥150分钟中等强度运动，如快走、慢跑），否则影响疗效。</w:t>
      </w:r>
    </w:p>
    <w:p w14:paraId="784F86D4">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9.2.2.2特殊情况注意事项</w:t>
      </w:r>
    </w:p>
    <w:p w14:paraId="7BA0E4F0">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月经期：女性患者月经期可暂停治疗，防止影响月经周期。</w:t>
      </w:r>
    </w:p>
    <w:p w14:paraId="7EAC03A4">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感冒发热：治疗期间出现感冒发热（体温＞37.3℃），需暂停治疗，待症状缓解后1周再恢复治疗，避免加重身体负担。</w:t>
      </w:r>
    </w:p>
    <w:p w14:paraId="59926C75">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lang w:val="en-US" w:eastAsia="zh-CN"/>
        </w:rPr>
      </w:pPr>
      <w:bookmarkStart w:id="11" w:name="_Copy_2"/>
      <w:bookmarkEnd w:id="11"/>
      <w:r>
        <w:rPr>
          <w:rFonts w:hint="eastAsia" w:asciiTheme="minorEastAsia" w:hAnsiTheme="minorEastAsia" w:eastAsiaTheme="minorEastAsia" w:cstheme="minorEastAsia"/>
          <w:sz w:val="28"/>
          <w:szCs w:val="28"/>
          <w:lang w:val="en-US" w:eastAsia="zh-CN"/>
        </w:rPr>
        <w:t>10 疗效</w:t>
      </w:r>
      <w:bookmarkStart w:id="12" w:name="_Toc208503241"/>
      <w:r>
        <w:rPr>
          <w:rFonts w:hint="eastAsia" w:asciiTheme="minorEastAsia" w:hAnsiTheme="minorEastAsia" w:eastAsiaTheme="minorEastAsia" w:cstheme="minorEastAsia"/>
          <w:sz w:val="28"/>
          <w:szCs w:val="28"/>
          <w:lang w:val="en-US" w:eastAsia="zh-CN"/>
        </w:rPr>
        <w:t>评价</w:t>
      </w:r>
      <w:bookmarkEnd w:id="12"/>
    </w:p>
    <w:p w14:paraId="0259887A">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10.1疗效</w:t>
      </w:r>
      <w:bookmarkStart w:id="13" w:name="_Toc208503242"/>
      <w:r>
        <w:rPr>
          <w:rFonts w:hint="eastAsia" w:asciiTheme="minorEastAsia" w:hAnsiTheme="minorEastAsia" w:eastAsiaTheme="minorEastAsia" w:cstheme="minorEastAsia"/>
          <w:sz w:val="28"/>
          <w:szCs w:val="28"/>
          <w:lang w:val="en-US" w:eastAsia="zh-CN"/>
        </w:rPr>
        <w:t>指标</w:t>
      </w:r>
      <w:bookmarkEnd w:id="13"/>
    </w:p>
    <w:p w14:paraId="1A316665">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10.1.1核心客观指标</w:t>
      </w:r>
    </w:p>
    <w:p w14:paraId="69CD6B07">
      <w:pPr>
        <w:pStyle w:val="41"/>
        <w:keepNext w:val="0"/>
        <w:keepLines w:val="0"/>
        <w:pageBreakBefore w:val="0"/>
        <w:numPr>
          <w:ilvl w:val="0"/>
          <w:numId w:val="0"/>
        </w:numPr>
        <w:kinsoku/>
        <w:wordWrap/>
        <w:overflowPunct/>
        <w:topLinePunct w:val="0"/>
        <w:bidi w:val="0"/>
        <w:spacing w:before="0" w:after="0" w:afterAutospacing="0" w:line="360" w:lineRule="auto"/>
        <w:ind w:left="0"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核心客观指标用于量化Cobb角的变化，是疗效评价的主要依据，具体指标与测量方法见表5。</w:t>
      </w:r>
    </w:p>
    <w:p w14:paraId="1CCA093E">
      <w:pPr>
        <w:pStyle w:val="37"/>
        <w:keepNext w:val="0"/>
        <w:keepLines w:val="0"/>
        <w:pageBreakBefore w:val="0"/>
        <w:numPr>
          <w:ilvl w:val="0"/>
          <w:numId w:val="0"/>
        </w:numPr>
        <w:kinsoku/>
        <w:wordWrap/>
        <w:overflowPunct/>
        <w:topLinePunct w:val="0"/>
        <w:bidi w:val="0"/>
        <w:spacing w:before="0" w:after="0" w:afterAutospacing="0" w:line="360" w:lineRule="auto"/>
        <w:ind w:leftChars="0" w:firstLine="420" w:firstLineChars="200"/>
        <w:jc w:val="center"/>
      </w:pPr>
      <w:r>
        <w:rPr>
          <w:rFonts w:hint="eastAsia"/>
          <w:lang w:val="en-US" w:eastAsia="zh-CN"/>
        </w:rPr>
        <w:t xml:space="preserve">表5  </w:t>
      </w:r>
      <w:r>
        <w:t>核心客观指标及测量要求</w:t>
      </w:r>
    </w:p>
    <w:tbl>
      <w:tblPr>
        <w:tblStyle w:val="8"/>
        <w:tblW w:w="84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885"/>
        <w:gridCol w:w="3138"/>
        <w:gridCol w:w="2026"/>
        <w:gridCol w:w="2355"/>
      </w:tblGrid>
      <w:tr w14:paraId="1D7FF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jc w:val="center"/>
        </w:trPr>
        <w:tc>
          <w:tcPr>
            <w:tcW w:w="885" w:type="dxa"/>
            <w:tcBorders>
              <w:top w:val="single" w:color="000000" w:sz="8" w:space="0"/>
              <w:left w:val="single" w:color="000000" w:sz="8" w:space="0"/>
              <w:bottom w:val="single" w:color="000000" w:sz="8" w:space="0"/>
              <w:right w:val="single" w:color="000000" w:sz="8" w:space="0"/>
            </w:tcBorders>
            <w:vAlign w:val="center"/>
          </w:tcPr>
          <w:p w14:paraId="4A0ADAFB">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kern w:val="0"/>
                <w:sz w:val="21"/>
                <w:szCs w:val="21"/>
              </w:rPr>
            </w:pPr>
            <w:r>
              <w:rPr>
                <w:kern w:val="0"/>
                <w:sz w:val="21"/>
                <w:szCs w:val="21"/>
              </w:rPr>
              <w:t>指标名称</w:t>
            </w:r>
          </w:p>
        </w:tc>
        <w:tc>
          <w:tcPr>
            <w:tcW w:w="3138" w:type="dxa"/>
            <w:tcBorders>
              <w:top w:val="single" w:color="000000" w:sz="8" w:space="0"/>
              <w:left w:val="single" w:color="000000" w:sz="8" w:space="0"/>
              <w:bottom w:val="single" w:color="000000" w:sz="8" w:space="0"/>
              <w:right w:val="single" w:color="000000" w:sz="8" w:space="0"/>
            </w:tcBorders>
            <w:vAlign w:val="center"/>
          </w:tcPr>
          <w:p w14:paraId="41B4CEBB">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kern w:val="0"/>
                <w:sz w:val="21"/>
                <w:szCs w:val="21"/>
              </w:rPr>
            </w:pPr>
            <w:r>
              <w:rPr>
                <w:kern w:val="0"/>
                <w:sz w:val="21"/>
                <w:szCs w:val="21"/>
              </w:rPr>
              <w:t>测量方法</w:t>
            </w:r>
          </w:p>
        </w:tc>
        <w:tc>
          <w:tcPr>
            <w:tcW w:w="2026" w:type="dxa"/>
            <w:tcBorders>
              <w:top w:val="single" w:color="000000" w:sz="8" w:space="0"/>
              <w:left w:val="single" w:color="000000" w:sz="8" w:space="0"/>
              <w:bottom w:val="single" w:color="000000" w:sz="8" w:space="0"/>
              <w:right w:val="single" w:color="000000" w:sz="8" w:space="0"/>
            </w:tcBorders>
            <w:vAlign w:val="center"/>
          </w:tcPr>
          <w:p w14:paraId="3777413A">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kern w:val="0"/>
                <w:sz w:val="21"/>
                <w:szCs w:val="21"/>
              </w:rPr>
            </w:pPr>
            <w:r>
              <w:rPr>
                <w:kern w:val="0"/>
                <w:sz w:val="21"/>
                <w:szCs w:val="21"/>
              </w:rPr>
              <w:t>测量时间节点</w:t>
            </w:r>
          </w:p>
        </w:tc>
        <w:tc>
          <w:tcPr>
            <w:tcW w:w="2355" w:type="dxa"/>
            <w:tcBorders>
              <w:top w:val="single" w:color="000000" w:sz="8" w:space="0"/>
              <w:left w:val="single" w:color="000000" w:sz="8" w:space="0"/>
              <w:bottom w:val="single" w:color="000000" w:sz="8" w:space="0"/>
              <w:right w:val="single" w:color="000000" w:sz="8" w:space="0"/>
            </w:tcBorders>
            <w:vAlign w:val="center"/>
          </w:tcPr>
          <w:p w14:paraId="6F20DE91">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kern w:val="0"/>
                <w:sz w:val="21"/>
                <w:szCs w:val="21"/>
              </w:rPr>
            </w:pPr>
            <w:r>
              <w:rPr>
                <w:kern w:val="0"/>
                <w:sz w:val="21"/>
                <w:szCs w:val="21"/>
              </w:rPr>
              <w:t>评价标准</w:t>
            </w:r>
          </w:p>
        </w:tc>
      </w:tr>
      <w:tr w14:paraId="33EA8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85" w:type="dxa"/>
            <w:tcBorders>
              <w:top w:val="single" w:color="000000" w:sz="8" w:space="0"/>
              <w:left w:val="single" w:color="000000" w:sz="8" w:space="0"/>
              <w:bottom w:val="single" w:color="000000" w:sz="8" w:space="0"/>
              <w:right w:val="single" w:color="000000" w:sz="8" w:space="0"/>
            </w:tcBorders>
            <w:vAlign w:val="center"/>
          </w:tcPr>
          <w:p w14:paraId="015DBE4A">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rFonts w:eastAsia="宋体"/>
                <w:sz w:val="21"/>
                <w:szCs w:val="21"/>
                <w:lang w:val="en-US" w:eastAsia="zh-CN"/>
              </w:rPr>
            </w:pPr>
            <w:r>
              <w:rPr>
                <w:kern w:val="0"/>
                <w:sz w:val="21"/>
                <w:szCs w:val="21"/>
                <w:lang w:val="en-US" w:eastAsia="zh-CN"/>
              </w:rPr>
              <w:t>Cobb角</w:t>
            </w:r>
          </w:p>
        </w:tc>
        <w:tc>
          <w:tcPr>
            <w:tcW w:w="3138" w:type="dxa"/>
            <w:tcBorders>
              <w:top w:val="single" w:color="000000" w:sz="8" w:space="0"/>
              <w:left w:val="single" w:color="000000" w:sz="8" w:space="0"/>
              <w:bottom w:val="single" w:color="000000" w:sz="8" w:space="0"/>
              <w:right w:val="single" w:color="000000" w:sz="8" w:space="0"/>
            </w:tcBorders>
            <w:vAlign w:val="center"/>
          </w:tcPr>
          <w:p w14:paraId="0C92AA13">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left="0" w:leftChars="0" w:firstLine="0" w:firstLineChars="0"/>
              <w:jc w:val="both"/>
              <w:textAlignment w:val="auto"/>
              <w:rPr>
                <w:kern w:val="0"/>
                <w:sz w:val="21"/>
                <w:szCs w:val="21"/>
              </w:rPr>
            </w:pPr>
            <w:r>
              <w:rPr>
                <w:kern w:val="0"/>
                <w:sz w:val="21"/>
                <w:szCs w:val="21"/>
              </w:rPr>
              <w:t>沿上端椎的上终板（UEV）和下端椎的下终板（LEV）各画一条直线，分别做这两条直线的垂线，两垂直线的交角即为侧凸Cobb角。</w:t>
            </w:r>
          </w:p>
        </w:tc>
        <w:tc>
          <w:tcPr>
            <w:tcW w:w="2026" w:type="dxa"/>
            <w:tcBorders>
              <w:top w:val="single" w:color="000000" w:sz="8" w:space="0"/>
              <w:left w:val="single" w:color="000000" w:sz="8" w:space="0"/>
              <w:bottom w:val="single" w:color="000000" w:sz="8" w:space="0"/>
              <w:right w:val="single" w:color="000000" w:sz="8" w:space="0"/>
            </w:tcBorders>
            <w:vAlign w:val="center"/>
          </w:tcPr>
          <w:p w14:paraId="56E66C7C">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kern w:val="0"/>
                <w:sz w:val="21"/>
                <w:szCs w:val="21"/>
              </w:rPr>
            </w:pPr>
            <w:r>
              <w:rPr>
                <w:kern w:val="0"/>
                <w:sz w:val="21"/>
                <w:szCs w:val="21"/>
              </w:rPr>
              <w:t>治疗前、</w:t>
            </w:r>
            <w:r>
              <w:rPr>
                <w:kern w:val="0"/>
                <w:sz w:val="21"/>
                <w:szCs w:val="21"/>
                <w:lang w:val="en-US" w:eastAsia="zh-CN"/>
              </w:rPr>
              <w:t>每个治疗阶段后</w:t>
            </w:r>
            <w:r>
              <w:rPr>
                <w:kern w:val="0"/>
                <w:sz w:val="21"/>
                <w:szCs w:val="21"/>
              </w:rPr>
              <w:t>、随访期每月</w:t>
            </w:r>
          </w:p>
        </w:tc>
        <w:tc>
          <w:tcPr>
            <w:tcW w:w="2355" w:type="dxa"/>
            <w:tcBorders>
              <w:top w:val="single" w:color="000000" w:sz="8" w:space="0"/>
              <w:left w:val="single" w:color="000000" w:sz="8" w:space="0"/>
              <w:bottom w:val="single" w:color="000000" w:sz="8" w:space="0"/>
              <w:right w:val="single" w:color="000000" w:sz="8" w:space="0"/>
            </w:tcBorders>
            <w:vAlign w:val="center"/>
          </w:tcPr>
          <w:p w14:paraId="40A0E3DC">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kern w:val="0"/>
                <w:sz w:val="21"/>
                <w:szCs w:val="21"/>
              </w:rPr>
            </w:pPr>
            <w:r>
              <w:rPr>
                <w:kern w:val="0"/>
                <w:sz w:val="21"/>
                <w:szCs w:val="21"/>
                <w:lang w:val="en-US" w:eastAsia="zh-CN"/>
              </w:rPr>
              <w:t>Cobb角矫正</w:t>
            </w:r>
            <w:r>
              <w:rPr>
                <w:kern w:val="0"/>
                <w:sz w:val="21"/>
                <w:szCs w:val="21"/>
              </w:rPr>
              <w:t>率=（治疗前</w:t>
            </w:r>
            <w:r>
              <w:rPr>
                <w:kern w:val="0"/>
                <w:sz w:val="21"/>
                <w:szCs w:val="21"/>
                <w:lang w:val="en-US" w:eastAsia="zh-CN"/>
              </w:rPr>
              <w:t xml:space="preserve">Cobb角 </w:t>
            </w:r>
            <w:r>
              <w:rPr>
                <w:kern w:val="0"/>
                <w:sz w:val="21"/>
                <w:szCs w:val="21"/>
              </w:rPr>
              <w:t>-治疗</w:t>
            </w:r>
            <w:r>
              <w:rPr>
                <w:kern w:val="0"/>
                <w:sz w:val="21"/>
                <w:szCs w:val="21"/>
                <w:lang w:val="en-US" w:eastAsia="zh-CN"/>
              </w:rPr>
              <w:t>后Cobb角</w:t>
            </w:r>
            <w:r>
              <w:rPr>
                <w:kern w:val="0"/>
                <w:sz w:val="21"/>
                <w:szCs w:val="21"/>
              </w:rPr>
              <w:t>）/治疗前</w:t>
            </w:r>
            <w:r>
              <w:rPr>
                <w:kern w:val="0"/>
                <w:sz w:val="21"/>
                <w:szCs w:val="21"/>
                <w:lang w:val="en-US" w:eastAsia="zh-CN"/>
              </w:rPr>
              <w:t>Cobb角</w:t>
            </w:r>
            <w:r>
              <w:rPr>
                <w:kern w:val="0"/>
                <w:sz w:val="21"/>
                <w:szCs w:val="21"/>
              </w:rPr>
              <w:t>×100%</w:t>
            </w:r>
          </w:p>
        </w:tc>
      </w:tr>
      <w:tr w14:paraId="611CE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85" w:type="dxa"/>
            <w:tcBorders>
              <w:top w:val="single" w:color="000000" w:sz="8" w:space="0"/>
              <w:left w:val="single" w:color="000000" w:sz="8" w:space="0"/>
              <w:bottom w:val="single" w:color="000000" w:sz="8" w:space="0"/>
              <w:right w:val="single" w:color="000000" w:sz="8" w:space="0"/>
            </w:tcBorders>
            <w:vAlign w:val="center"/>
          </w:tcPr>
          <w:p w14:paraId="22CF257E">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sz w:val="21"/>
                <w:szCs w:val="21"/>
                <w:lang w:val="en-US" w:eastAsia="zh-CN"/>
              </w:rPr>
            </w:pPr>
            <w:r>
              <w:rPr>
                <w:kern w:val="0"/>
                <w:sz w:val="21"/>
                <w:szCs w:val="21"/>
                <w:lang w:val="en-US" w:eastAsia="zh-CN"/>
              </w:rPr>
              <w:t>ATR</w:t>
            </w:r>
          </w:p>
        </w:tc>
        <w:tc>
          <w:tcPr>
            <w:tcW w:w="3138" w:type="dxa"/>
            <w:tcBorders>
              <w:top w:val="single" w:color="000000" w:sz="8" w:space="0"/>
              <w:left w:val="single" w:color="000000" w:sz="8" w:space="0"/>
              <w:bottom w:val="single" w:color="000000" w:sz="8" w:space="0"/>
              <w:right w:val="single" w:color="000000" w:sz="8" w:space="0"/>
            </w:tcBorders>
            <w:vAlign w:val="center"/>
          </w:tcPr>
          <w:p w14:paraId="2AD5FB00">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left="0" w:leftChars="0" w:firstLine="0" w:firstLineChars="0"/>
              <w:jc w:val="both"/>
              <w:textAlignment w:val="auto"/>
              <w:rPr>
                <w:kern w:val="0"/>
                <w:sz w:val="21"/>
                <w:szCs w:val="21"/>
              </w:rPr>
            </w:pPr>
            <w:r>
              <w:rPr>
                <w:kern w:val="0"/>
                <w:sz w:val="21"/>
                <w:szCs w:val="21"/>
              </w:rPr>
              <w:t>被检查者光脚站立，双脚并拢，双手掌心相对，指尖对齐双脚间隙，双上肢前屈90°。观察者站在被检查者正后方，用</w:t>
            </w:r>
            <w:r>
              <w:rPr>
                <w:kern w:val="0"/>
                <w:sz w:val="21"/>
                <w:szCs w:val="21"/>
                <w:lang w:val="en-US" w:eastAsia="zh-CN"/>
              </w:rPr>
              <w:t>脊柱测量</w:t>
            </w:r>
            <w:r>
              <w:rPr>
                <w:kern w:val="0"/>
                <w:sz w:val="21"/>
                <w:szCs w:val="21"/>
              </w:rPr>
              <w:t>尺测量旋转度数，被检查者向前缓慢低头弯腰。将尺从头部向尾部移动，记录最高点度数，即为该弯的旋转度数。旋转度数会在移动过程中不断变化。</w:t>
            </w:r>
          </w:p>
        </w:tc>
        <w:tc>
          <w:tcPr>
            <w:tcW w:w="2026" w:type="dxa"/>
            <w:tcBorders>
              <w:top w:val="single" w:color="000000" w:sz="8" w:space="0"/>
              <w:left w:val="single" w:color="000000" w:sz="8" w:space="0"/>
              <w:bottom w:val="single" w:color="000000" w:sz="8" w:space="0"/>
              <w:right w:val="single" w:color="000000" w:sz="8" w:space="0"/>
            </w:tcBorders>
            <w:vAlign w:val="center"/>
          </w:tcPr>
          <w:p w14:paraId="32F7A1D3">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kern w:val="0"/>
                <w:sz w:val="21"/>
                <w:szCs w:val="21"/>
              </w:rPr>
            </w:pPr>
            <w:r>
              <w:rPr>
                <w:kern w:val="0"/>
                <w:sz w:val="21"/>
                <w:szCs w:val="21"/>
              </w:rPr>
              <w:t>治疗前、</w:t>
            </w:r>
            <w:r>
              <w:rPr>
                <w:kern w:val="0"/>
                <w:sz w:val="21"/>
                <w:szCs w:val="21"/>
                <w:lang w:val="en-US" w:eastAsia="zh-CN"/>
              </w:rPr>
              <w:t>每个治疗阶段后</w:t>
            </w:r>
            <w:r>
              <w:rPr>
                <w:kern w:val="0"/>
                <w:sz w:val="21"/>
                <w:szCs w:val="21"/>
              </w:rPr>
              <w:t>、随访期每月</w:t>
            </w:r>
          </w:p>
        </w:tc>
        <w:tc>
          <w:tcPr>
            <w:tcW w:w="2355" w:type="dxa"/>
            <w:tcBorders>
              <w:top w:val="single" w:color="000000" w:sz="8" w:space="0"/>
              <w:left w:val="single" w:color="000000" w:sz="8" w:space="0"/>
              <w:bottom w:val="single" w:color="000000" w:sz="8" w:space="0"/>
              <w:right w:val="single" w:color="000000" w:sz="8" w:space="0"/>
            </w:tcBorders>
            <w:vAlign w:val="center"/>
          </w:tcPr>
          <w:p w14:paraId="14054EE0">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sz w:val="21"/>
                <w:szCs w:val="21"/>
                <w:lang w:val="en-US" w:eastAsia="zh-CN"/>
              </w:rPr>
            </w:pPr>
            <w:r>
              <w:rPr>
                <w:kern w:val="0"/>
                <w:sz w:val="21"/>
                <w:szCs w:val="21"/>
                <w:lang w:val="en-US" w:eastAsia="zh-CN"/>
              </w:rPr>
              <w:t>ATR变化率</w:t>
            </w:r>
            <w:r>
              <w:rPr>
                <w:kern w:val="0"/>
                <w:sz w:val="21"/>
                <w:szCs w:val="21"/>
              </w:rPr>
              <w:t>=（治疗前</w:t>
            </w:r>
            <w:r>
              <w:rPr>
                <w:kern w:val="0"/>
                <w:sz w:val="21"/>
                <w:szCs w:val="21"/>
                <w:lang w:val="en-US" w:eastAsia="zh-CN"/>
              </w:rPr>
              <w:t xml:space="preserve">ATR </w:t>
            </w:r>
            <w:r>
              <w:rPr>
                <w:kern w:val="0"/>
                <w:sz w:val="21"/>
                <w:szCs w:val="21"/>
              </w:rPr>
              <w:t>-治疗</w:t>
            </w:r>
            <w:r>
              <w:rPr>
                <w:kern w:val="0"/>
                <w:sz w:val="21"/>
                <w:szCs w:val="21"/>
                <w:lang w:val="en-US" w:eastAsia="zh-CN"/>
              </w:rPr>
              <w:t>后ATR</w:t>
            </w:r>
            <w:r>
              <w:rPr>
                <w:kern w:val="0"/>
                <w:sz w:val="21"/>
                <w:szCs w:val="21"/>
              </w:rPr>
              <w:t>）/治疗前</w:t>
            </w:r>
            <w:r>
              <w:rPr>
                <w:kern w:val="0"/>
                <w:sz w:val="21"/>
                <w:szCs w:val="21"/>
                <w:lang w:val="en-US" w:eastAsia="zh-CN"/>
              </w:rPr>
              <w:t>ATR</w:t>
            </w:r>
            <w:r>
              <w:rPr>
                <w:kern w:val="0"/>
                <w:sz w:val="21"/>
                <w:szCs w:val="21"/>
              </w:rPr>
              <w:t>×100%</w:t>
            </w:r>
          </w:p>
        </w:tc>
      </w:tr>
    </w:tbl>
    <w:p w14:paraId="32BEFEEA">
      <w:pPr>
        <w:pStyle w:val="23"/>
        <w:keepNext w:val="0"/>
        <w:keepLines w:val="0"/>
        <w:pageBreakBefore w:val="0"/>
        <w:kinsoku/>
        <w:wordWrap/>
        <w:overflowPunct/>
        <w:topLinePunct w:val="0"/>
        <w:bidi w:val="0"/>
        <w:spacing w:afterAutospacing="0" w:line="360" w:lineRule="auto"/>
        <w:ind w:firstLine="420" w:firstLineChars="200"/>
      </w:pPr>
    </w:p>
    <w:p w14:paraId="0289C52B">
      <w:pPr>
        <w:pStyle w:val="40"/>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10.1.2中医证候积分指标</w:t>
      </w:r>
    </w:p>
    <w:p w14:paraId="4D86131C">
      <w:pPr>
        <w:pStyle w:val="23"/>
        <w:keepNext w:val="0"/>
        <w:keepLines w:val="0"/>
        <w:pageBreakBefore w:val="0"/>
        <w:kinsoku/>
        <w:wordWrap/>
        <w:overflowPunct/>
        <w:topLinePunct w:val="0"/>
        <w:bidi w:val="0"/>
        <w:spacing w:afterAutospacing="0" w:line="360" w:lineRule="auto"/>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中医证候积分用于评价患者症状改善情况，参照《中药新药临床研究指导原则（2002年版）》制定，具体评分标准见表6。</w:t>
      </w:r>
    </w:p>
    <w:p w14:paraId="7D6759C1">
      <w:pPr>
        <w:pStyle w:val="37"/>
        <w:keepNext w:val="0"/>
        <w:keepLines w:val="0"/>
        <w:pageBreakBefore w:val="0"/>
        <w:numPr>
          <w:ilvl w:val="0"/>
          <w:numId w:val="0"/>
        </w:numPr>
        <w:kinsoku/>
        <w:wordWrap/>
        <w:overflowPunct/>
        <w:topLinePunct w:val="0"/>
        <w:bidi w:val="0"/>
        <w:spacing w:before="0" w:after="0" w:afterAutospacing="0" w:line="360" w:lineRule="auto"/>
        <w:ind w:firstLine="420" w:firstLineChars="200"/>
        <w:jc w:val="center"/>
      </w:pPr>
      <w:r>
        <w:rPr>
          <w:rFonts w:hint="eastAsia"/>
          <w:lang w:val="en-US" w:eastAsia="zh-CN"/>
        </w:rPr>
        <w:t xml:space="preserve">表6  </w:t>
      </w:r>
      <w:r>
        <w:t>中医证候积分评分标准</w:t>
      </w:r>
    </w:p>
    <w:tbl>
      <w:tblPr>
        <w:tblStyle w:val="8"/>
        <w:tblW w:w="84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257"/>
        <w:gridCol w:w="975"/>
        <w:gridCol w:w="1298"/>
        <w:gridCol w:w="1425"/>
        <w:gridCol w:w="1556"/>
        <w:gridCol w:w="1930"/>
      </w:tblGrid>
      <w:tr w14:paraId="0CF8C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jc w:val="center"/>
        </w:trPr>
        <w:tc>
          <w:tcPr>
            <w:tcW w:w="1257" w:type="dxa"/>
            <w:tcBorders>
              <w:top w:val="single" w:color="000000" w:sz="8" w:space="0"/>
              <w:left w:val="single" w:color="000000" w:sz="8" w:space="0"/>
              <w:bottom w:val="single" w:color="000000" w:sz="8" w:space="0"/>
              <w:right w:val="single" w:color="000000" w:sz="8" w:space="0"/>
            </w:tcBorders>
            <w:vAlign w:val="center"/>
          </w:tcPr>
          <w:p w14:paraId="1D9C1F9E">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kern w:val="0"/>
                <w:szCs w:val="20"/>
              </w:rPr>
            </w:pPr>
            <w:r>
              <w:rPr>
                <w:kern w:val="0"/>
                <w:szCs w:val="20"/>
              </w:rPr>
              <w:t>症状名称</w:t>
            </w:r>
          </w:p>
        </w:tc>
        <w:tc>
          <w:tcPr>
            <w:tcW w:w="975" w:type="dxa"/>
            <w:tcBorders>
              <w:top w:val="single" w:color="000000" w:sz="8" w:space="0"/>
              <w:left w:val="single" w:color="000000" w:sz="8" w:space="0"/>
              <w:bottom w:val="single" w:color="000000" w:sz="8" w:space="0"/>
              <w:right w:val="single" w:color="000000" w:sz="8" w:space="0"/>
            </w:tcBorders>
            <w:vAlign w:val="center"/>
          </w:tcPr>
          <w:p w14:paraId="6180217B">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kern w:val="0"/>
                <w:szCs w:val="20"/>
              </w:rPr>
            </w:pPr>
            <w:r>
              <w:rPr>
                <w:kern w:val="0"/>
                <w:szCs w:val="20"/>
              </w:rPr>
              <w:t>0分（无）</w:t>
            </w:r>
          </w:p>
        </w:tc>
        <w:tc>
          <w:tcPr>
            <w:tcW w:w="1298" w:type="dxa"/>
            <w:tcBorders>
              <w:top w:val="single" w:color="000000" w:sz="8" w:space="0"/>
              <w:left w:val="single" w:color="000000" w:sz="8" w:space="0"/>
              <w:bottom w:val="single" w:color="000000" w:sz="8" w:space="0"/>
              <w:right w:val="single" w:color="000000" w:sz="8" w:space="0"/>
            </w:tcBorders>
            <w:vAlign w:val="center"/>
          </w:tcPr>
          <w:p w14:paraId="09FEFFC9">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kern w:val="0"/>
                <w:szCs w:val="20"/>
              </w:rPr>
            </w:pPr>
            <w:r>
              <w:rPr>
                <w:kern w:val="0"/>
                <w:szCs w:val="20"/>
              </w:rPr>
              <w:t>1分（轻）</w:t>
            </w:r>
          </w:p>
        </w:tc>
        <w:tc>
          <w:tcPr>
            <w:tcW w:w="1425" w:type="dxa"/>
            <w:tcBorders>
              <w:top w:val="single" w:color="000000" w:sz="8" w:space="0"/>
              <w:left w:val="single" w:color="000000" w:sz="8" w:space="0"/>
              <w:bottom w:val="single" w:color="000000" w:sz="8" w:space="0"/>
              <w:right w:val="single" w:color="000000" w:sz="8" w:space="0"/>
            </w:tcBorders>
            <w:vAlign w:val="center"/>
          </w:tcPr>
          <w:p w14:paraId="1BA6DDAE">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kern w:val="0"/>
                <w:szCs w:val="20"/>
              </w:rPr>
            </w:pPr>
            <w:r>
              <w:rPr>
                <w:kern w:val="0"/>
                <w:szCs w:val="20"/>
              </w:rPr>
              <w:t>2分（中）</w:t>
            </w:r>
          </w:p>
        </w:tc>
        <w:tc>
          <w:tcPr>
            <w:tcW w:w="1556" w:type="dxa"/>
            <w:tcBorders>
              <w:top w:val="single" w:color="000000" w:sz="8" w:space="0"/>
              <w:left w:val="single" w:color="000000" w:sz="8" w:space="0"/>
              <w:bottom w:val="single" w:color="000000" w:sz="8" w:space="0"/>
              <w:right w:val="single" w:color="000000" w:sz="8" w:space="0"/>
            </w:tcBorders>
            <w:vAlign w:val="center"/>
          </w:tcPr>
          <w:p w14:paraId="30414824">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kern w:val="0"/>
                <w:szCs w:val="20"/>
              </w:rPr>
            </w:pPr>
            <w:r>
              <w:rPr>
                <w:kern w:val="0"/>
                <w:szCs w:val="20"/>
              </w:rPr>
              <w:t>3分（重）</w:t>
            </w:r>
          </w:p>
        </w:tc>
        <w:tc>
          <w:tcPr>
            <w:tcW w:w="1930" w:type="dxa"/>
            <w:tcBorders>
              <w:top w:val="single" w:color="000000" w:sz="8" w:space="0"/>
              <w:left w:val="single" w:color="000000" w:sz="8" w:space="0"/>
              <w:bottom w:val="single" w:color="000000" w:sz="8" w:space="0"/>
              <w:right w:val="single" w:color="000000" w:sz="8" w:space="0"/>
            </w:tcBorders>
            <w:vAlign w:val="center"/>
          </w:tcPr>
          <w:p w14:paraId="770318FB">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kern w:val="0"/>
                <w:szCs w:val="20"/>
              </w:rPr>
            </w:pPr>
            <w:r>
              <w:rPr>
                <w:kern w:val="0"/>
                <w:szCs w:val="20"/>
              </w:rPr>
              <w:t>评分时间节点</w:t>
            </w:r>
          </w:p>
        </w:tc>
      </w:tr>
      <w:tr w14:paraId="24EC9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57" w:type="dxa"/>
            <w:tcBorders>
              <w:top w:val="single" w:color="000000" w:sz="8" w:space="0"/>
              <w:left w:val="single" w:color="000000" w:sz="8" w:space="0"/>
              <w:bottom w:val="single" w:color="000000" w:sz="8" w:space="0"/>
              <w:right w:val="single" w:color="000000" w:sz="8" w:space="0"/>
            </w:tcBorders>
            <w:vAlign w:val="center"/>
          </w:tcPr>
          <w:p w14:paraId="2EFF7DC9">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kern w:val="0"/>
                <w:szCs w:val="20"/>
              </w:rPr>
            </w:pPr>
            <w:r>
              <w:rPr>
                <w:kern w:val="0"/>
                <w:szCs w:val="20"/>
              </w:rPr>
              <w:t>疲倦乏力</w:t>
            </w:r>
          </w:p>
        </w:tc>
        <w:tc>
          <w:tcPr>
            <w:tcW w:w="975" w:type="dxa"/>
            <w:tcBorders>
              <w:top w:val="single" w:color="000000" w:sz="8" w:space="0"/>
              <w:left w:val="single" w:color="000000" w:sz="8" w:space="0"/>
              <w:bottom w:val="single" w:color="000000" w:sz="8" w:space="0"/>
              <w:right w:val="single" w:color="000000" w:sz="8" w:space="0"/>
            </w:tcBorders>
            <w:vAlign w:val="center"/>
          </w:tcPr>
          <w:p w14:paraId="1B28C3F5">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kern w:val="0"/>
                <w:szCs w:val="20"/>
              </w:rPr>
            </w:pPr>
            <w:r>
              <w:rPr>
                <w:kern w:val="0"/>
                <w:szCs w:val="20"/>
              </w:rPr>
              <w:t>无</w:t>
            </w:r>
          </w:p>
        </w:tc>
        <w:tc>
          <w:tcPr>
            <w:tcW w:w="1298" w:type="dxa"/>
            <w:tcBorders>
              <w:top w:val="single" w:color="000000" w:sz="8" w:space="0"/>
              <w:left w:val="single" w:color="000000" w:sz="8" w:space="0"/>
              <w:bottom w:val="single" w:color="000000" w:sz="8" w:space="0"/>
              <w:right w:val="single" w:color="000000" w:sz="8" w:space="0"/>
            </w:tcBorders>
            <w:vAlign w:val="center"/>
          </w:tcPr>
          <w:p w14:paraId="2CFE4FA2">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kern w:val="0"/>
                <w:szCs w:val="20"/>
              </w:rPr>
            </w:pPr>
            <w:r>
              <w:rPr>
                <w:kern w:val="0"/>
                <w:szCs w:val="20"/>
              </w:rPr>
              <w:t>活动后出现，休息后缓解</w:t>
            </w:r>
          </w:p>
        </w:tc>
        <w:tc>
          <w:tcPr>
            <w:tcW w:w="1425" w:type="dxa"/>
            <w:tcBorders>
              <w:top w:val="single" w:color="000000" w:sz="8" w:space="0"/>
              <w:left w:val="single" w:color="000000" w:sz="8" w:space="0"/>
              <w:bottom w:val="single" w:color="000000" w:sz="8" w:space="0"/>
              <w:right w:val="single" w:color="000000" w:sz="8" w:space="0"/>
            </w:tcBorders>
            <w:vAlign w:val="center"/>
          </w:tcPr>
          <w:p w14:paraId="7C7BF1BB">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kern w:val="0"/>
                <w:szCs w:val="20"/>
              </w:rPr>
            </w:pPr>
            <w:r>
              <w:rPr>
                <w:kern w:val="0"/>
                <w:szCs w:val="20"/>
              </w:rPr>
              <w:t>日常活动即出现，可耐受</w:t>
            </w:r>
          </w:p>
        </w:tc>
        <w:tc>
          <w:tcPr>
            <w:tcW w:w="1556" w:type="dxa"/>
            <w:tcBorders>
              <w:top w:val="single" w:color="000000" w:sz="8" w:space="0"/>
              <w:left w:val="single" w:color="000000" w:sz="8" w:space="0"/>
              <w:bottom w:val="single" w:color="000000" w:sz="8" w:space="0"/>
              <w:right w:val="single" w:color="000000" w:sz="8" w:space="0"/>
            </w:tcBorders>
            <w:vAlign w:val="center"/>
          </w:tcPr>
          <w:p w14:paraId="18C12E37">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kern w:val="0"/>
                <w:szCs w:val="20"/>
              </w:rPr>
            </w:pPr>
            <w:r>
              <w:rPr>
                <w:kern w:val="0"/>
                <w:szCs w:val="20"/>
              </w:rPr>
              <w:t>静息时也出现，影响活动</w:t>
            </w:r>
          </w:p>
        </w:tc>
        <w:tc>
          <w:tcPr>
            <w:tcW w:w="1930" w:type="dxa"/>
            <w:tcBorders>
              <w:top w:val="single" w:color="000000" w:sz="8" w:space="0"/>
              <w:left w:val="single" w:color="000000" w:sz="8" w:space="0"/>
              <w:bottom w:val="single" w:color="000000" w:sz="8" w:space="0"/>
              <w:right w:val="single" w:color="000000" w:sz="8" w:space="0"/>
            </w:tcBorders>
            <w:vAlign w:val="center"/>
          </w:tcPr>
          <w:p w14:paraId="001DE161">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kern w:val="0"/>
                <w:szCs w:val="20"/>
              </w:rPr>
            </w:pPr>
            <w:r>
              <w:rPr>
                <w:kern w:val="0"/>
                <w:szCs w:val="20"/>
              </w:rPr>
              <w:t>治疗前、治疗结束后、随访期每月</w:t>
            </w:r>
          </w:p>
        </w:tc>
      </w:tr>
      <w:tr w14:paraId="12A7B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57" w:type="dxa"/>
            <w:tcBorders>
              <w:top w:val="single" w:color="000000" w:sz="8" w:space="0"/>
              <w:left w:val="single" w:color="000000" w:sz="8" w:space="0"/>
              <w:bottom w:val="single" w:color="000000" w:sz="8" w:space="0"/>
              <w:right w:val="single" w:color="000000" w:sz="8" w:space="0"/>
            </w:tcBorders>
            <w:vAlign w:val="center"/>
          </w:tcPr>
          <w:p w14:paraId="3976943D">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kern w:val="0"/>
                <w:szCs w:val="20"/>
              </w:rPr>
            </w:pPr>
            <w:r>
              <w:rPr>
                <w:kern w:val="0"/>
                <w:szCs w:val="20"/>
              </w:rPr>
              <w:t>肢体困重</w:t>
            </w:r>
          </w:p>
        </w:tc>
        <w:tc>
          <w:tcPr>
            <w:tcW w:w="975" w:type="dxa"/>
            <w:tcBorders>
              <w:top w:val="single" w:color="000000" w:sz="8" w:space="0"/>
              <w:left w:val="single" w:color="000000" w:sz="8" w:space="0"/>
              <w:bottom w:val="single" w:color="000000" w:sz="8" w:space="0"/>
              <w:right w:val="single" w:color="000000" w:sz="8" w:space="0"/>
            </w:tcBorders>
            <w:vAlign w:val="center"/>
          </w:tcPr>
          <w:p w14:paraId="20C9B39E">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kern w:val="0"/>
                <w:szCs w:val="20"/>
              </w:rPr>
            </w:pPr>
            <w:r>
              <w:rPr>
                <w:kern w:val="0"/>
                <w:szCs w:val="20"/>
              </w:rPr>
              <w:t>无</w:t>
            </w:r>
          </w:p>
        </w:tc>
        <w:tc>
          <w:tcPr>
            <w:tcW w:w="1298" w:type="dxa"/>
            <w:tcBorders>
              <w:top w:val="single" w:color="000000" w:sz="8" w:space="0"/>
              <w:left w:val="single" w:color="000000" w:sz="8" w:space="0"/>
              <w:bottom w:val="single" w:color="000000" w:sz="8" w:space="0"/>
              <w:right w:val="single" w:color="000000" w:sz="8" w:space="0"/>
            </w:tcBorders>
            <w:vAlign w:val="center"/>
          </w:tcPr>
          <w:p w14:paraId="01D6DA1A">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kern w:val="0"/>
                <w:szCs w:val="20"/>
              </w:rPr>
            </w:pPr>
            <w:r>
              <w:rPr>
                <w:kern w:val="0"/>
                <w:szCs w:val="20"/>
              </w:rPr>
              <w:t>稍觉困重，不影响活动</w:t>
            </w:r>
          </w:p>
        </w:tc>
        <w:tc>
          <w:tcPr>
            <w:tcW w:w="1425" w:type="dxa"/>
            <w:tcBorders>
              <w:top w:val="single" w:color="000000" w:sz="8" w:space="0"/>
              <w:left w:val="single" w:color="000000" w:sz="8" w:space="0"/>
              <w:bottom w:val="single" w:color="000000" w:sz="8" w:space="0"/>
              <w:right w:val="single" w:color="000000" w:sz="8" w:space="0"/>
            </w:tcBorders>
            <w:vAlign w:val="center"/>
          </w:tcPr>
          <w:p w14:paraId="6628606F">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kern w:val="0"/>
                <w:szCs w:val="20"/>
              </w:rPr>
            </w:pPr>
            <w:r>
              <w:rPr>
                <w:kern w:val="0"/>
                <w:szCs w:val="20"/>
              </w:rPr>
              <w:t>困重明显，活动减少</w:t>
            </w:r>
          </w:p>
        </w:tc>
        <w:tc>
          <w:tcPr>
            <w:tcW w:w="1556" w:type="dxa"/>
            <w:tcBorders>
              <w:top w:val="single" w:color="000000" w:sz="8" w:space="0"/>
              <w:left w:val="single" w:color="000000" w:sz="8" w:space="0"/>
              <w:bottom w:val="single" w:color="000000" w:sz="8" w:space="0"/>
              <w:right w:val="single" w:color="000000" w:sz="8" w:space="0"/>
            </w:tcBorders>
            <w:vAlign w:val="center"/>
          </w:tcPr>
          <w:p w14:paraId="4928372A">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kern w:val="0"/>
                <w:szCs w:val="20"/>
              </w:rPr>
            </w:pPr>
            <w:r>
              <w:rPr>
                <w:kern w:val="0"/>
                <w:szCs w:val="20"/>
              </w:rPr>
              <w:t>困重严重，不欲活动</w:t>
            </w:r>
          </w:p>
        </w:tc>
        <w:tc>
          <w:tcPr>
            <w:tcW w:w="1930" w:type="dxa"/>
            <w:tcBorders>
              <w:top w:val="single" w:color="000000" w:sz="8" w:space="0"/>
              <w:left w:val="single" w:color="000000" w:sz="8" w:space="0"/>
              <w:bottom w:val="single" w:color="000000" w:sz="8" w:space="0"/>
              <w:right w:val="single" w:color="000000" w:sz="8" w:space="0"/>
            </w:tcBorders>
            <w:vAlign w:val="center"/>
          </w:tcPr>
          <w:p w14:paraId="23BBB74E">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kern w:val="0"/>
                <w:szCs w:val="20"/>
              </w:rPr>
            </w:pPr>
            <w:r>
              <w:rPr>
                <w:kern w:val="0"/>
                <w:szCs w:val="20"/>
              </w:rPr>
              <w:t>治疗前、治疗结束后、随访期每月</w:t>
            </w:r>
          </w:p>
        </w:tc>
      </w:tr>
      <w:tr w14:paraId="272AD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57" w:type="dxa"/>
            <w:tcBorders>
              <w:top w:val="single" w:color="000000" w:sz="8" w:space="0"/>
              <w:left w:val="single" w:color="000000" w:sz="8" w:space="0"/>
              <w:bottom w:val="single" w:color="000000" w:sz="8" w:space="0"/>
              <w:right w:val="single" w:color="000000" w:sz="8" w:space="0"/>
            </w:tcBorders>
            <w:vAlign w:val="center"/>
          </w:tcPr>
          <w:p w14:paraId="53F1600B">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kern w:val="0"/>
                <w:szCs w:val="20"/>
              </w:rPr>
            </w:pPr>
            <w:r>
              <w:rPr>
                <w:kern w:val="0"/>
                <w:szCs w:val="20"/>
              </w:rPr>
              <w:t>腹胀</w:t>
            </w:r>
          </w:p>
        </w:tc>
        <w:tc>
          <w:tcPr>
            <w:tcW w:w="975" w:type="dxa"/>
            <w:tcBorders>
              <w:top w:val="single" w:color="000000" w:sz="8" w:space="0"/>
              <w:left w:val="single" w:color="000000" w:sz="8" w:space="0"/>
              <w:bottom w:val="single" w:color="000000" w:sz="8" w:space="0"/>
              <w:right w:val="single" w:color="000000" w:sz="8" w:space="0"/>
            </w:tcBorders>
            <w:vAlign w:val="center"/>
          </w:tcPr>
          <w:p w14:paraId="5E4DBEE7">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kern w:val="0"/>
                <w:szCs w:val="20"/>
              </w:rPr>
            </w:pPr>
            <w:r>
              <w:rPr>
                <w:kern w:val="0"/>
                <w:szCs w:val="20"/>
              </w:rPr>
              <w:t>无</w:t>
            </w:r>
          </w:p>
        </w:tc>
        <w:tc>
          <w:tcPr>
            <w:tcW w:w="1298" w:type="dxa"/>
            <w:tcBorders>
              <w:top w:val="single" w:color="000000" w:sz="8" w:space="0"/>
              <w:left w:val="single" w:color="000000" w:sz="8" w:space="0"/>
              <w:bottom w:val="single" w:color="000000" w:sz="8" w:space="0"/>
              <w:right w:val="single" w:color="000000" w:sz="8" w:space="0"/>
            </w:tcBorders>
            <w:vAlign w:val="center"/>
          </w:tcPr>
          <w:p w14:paraId="7B42328C">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kern w:val="0"/>
                <w:szCs w:val="20"/>
              </w:rPr>
            </w:pPr>
            <w:r>
              <w:rPr>
                <w:kern w:val="0"/>
                <w:szCs w:val="20"/>
              </w:rPr>
              <w:t>偶有腹胀，持续＜2 小时</w:t>
            </w:r>
          </w:p>
        </w:tc>
        <w:tc>
          <w:tcPr>
            <w:tcW w:w="1425" w:type="dxa"/>
            <w:tcBorders>
              <w:top w:val="single" w:color="000000" w:sz="8" w:space="0"/>
              <w:left w:val="single" w:color="000000" w:sz="8" w:space="0"/>
              <w:bottom w:val="single" w:color="000000" w:sz="8" w:space="0"/>
              <w:right w:val="single" w:color="000000" w:sz="8" w:space="0"/>
            </w:tcBorders>
            <w:vAlign w:val="center"/>
          </w:tcPr>
          <w:p w14:paraId="0D2CDC03">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kern w:val="0"/>
                <w:szCs w:val="20"/>
              </w:rPr>
            </w:pPr>
            <w:r>
              <w:rPr>
                <w:kern w:val="0"/>
                <w:szCs w:val="20"/>
              </w:rPr>
              <w:t>每日腹胀，持续 2~6小时</w:t>
            </w:r>
          </w:p>
        </w:tc>
        <w:tc>
          <w:tcPr>
            <w:tcW w:w="1556" w:type="dxa"/>
            <w:tcBorders>
              <w:top w:val="single" w:color="000000" w:sz="8" w:space="0"/>
              <w:left w:val="single" w:color="000000" w:sz="8" w:space="0"/>
              <w:bottom w:val="single" w:color="000000" w:sz="8" w:space="0"/>
              <w:right w:val="single" w:color="000000" w:sz="8" w:space="0"/>
            </w:tcBorders>
            <w:vAlign w:val="center"/>
          </w:tcPr>
          <w:p w14:paraId="2792BBDD">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kern w:val="0"/>
                <w:szCs w:val="20"/>
              </w:rPr>
            </w:pPr>
            <w:r>
              <w:rPr>
                <w:kern w:val="0"/>
                <w:szCs w:val="20"/>
              </w:rPr>
              <w:t>整日腹胀，影响进食</w:t>
            </w:r>
          </w:p>
        </w:tc>
        <w:tc>
          <w:tcPr>
            <w:tcW w:w="1930" w:type="dxa"/>
            <w:tcBorders>
              <w:top w:val="single" w:color="000000" w:sz="8" w:space="0"/>
              <w:left w:val="single" w:color="000000" w:sz="8" w:space="0"/>
              <w:bottom w:val="single" w:color="000000" w:sz="8" w:space="0"/>
              <w:right w:val="single" w:color="000000" w:sz="8" w:space="0"/>
            </w:tcBorders>
            <w:vAlign w:val="center"/>
          </w:tcPr>
          <w:p w14:paraId="1A840A57">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kern w:val="0"/>
                <w:szCs w:val="20"/>
              </w:rPr>
            </w:pPr>
            <w:r>
              <w:rPr>
                <w:kern w:val="0"/>
                <w:szCs w:val="20"/>
              </w:rPr>
              <w:t>治疗前、治疗结束后、随访期每月</w:t>
            </w:r>
          </w:p>
        </w:tc>
      </w:tr>
      <w:tr w14:paraId="43904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5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5C29EF9">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rFonts w:ascii="宋体" w:hAnsi="宋体" w:eastAsia="宋体" w:cs="Times New Roman"/>
                <w:sz w:val="18"/>
                <w:lang w:val="en-US" w:eastAsia="zh-CN" w:bidi="ar-SA"/>
              </w:rPr>
            </w:pPr>
            <w:r>
              <w:rPr>
                <w:kern w:val="0"/>
                <w:szCs w:val="20"/>
              </w:rPr>
              <w:t>纳差</w:t>
            </w:r>
          </w:p>
        </w:tc>
        <w:tc>
          <w:tcPr>
            <w:tcW w:w="97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07B5DB0">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rFonts w:ascii="宋体" w:hAnsi="宋体" w:eastAsia="宋体" w:cs="Times New Roman"/>
                <w:sz w:val="18"/>
                <w:lang w:val="en-US" w:eastAsia="zh-CN" w:bidi="ar-SA"/>
              </w:rPr>
            </w:pPr>
            <w:r>
              <w:rPr>
                <w:kern w:val="0"/>
                <w:szCs w:val="20"/>
              </w:rPr>
              <w:t>无</w:t>
            </w:r>
          </w:p>
        </w:tc>
        <w:tc>
          <w:tcPr>
            <w:tcW w:w="129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CA594C7">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rFonts w:ascii="宋体" w:hAnsi="宋体" w:eastAsia="宋体" w:cs="Times New Roman"/>
                <w:sz w:val="18"/>
                <w:lang w:val="en-US" w:eastAsia="zh-CN" w:bidi="ar-SA"/>
              </w:rPr>
            </w:pPr>
            <w:r>
              <w:rPr>
                <w:kern w:val="0"/>
                <w:szCs w:val="20"/>
              </w:rPr>
              <w:t>偶觉食欲差，进食量正常</w:t>
            </w:r>
          </w:p>
        </w:tc>
        <w:tc>
          <w:tcPr>
            <w:tcW w:w="142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2D97350">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rFonts w:ascii="宋体" w:hAnsi="宋体" w:eastAsia="宋体" w:cs="Times New Roman"/>
                <w:sz w:val="18"/>
                <w:lang w:val="en-US" w:eastAsia="zh-CN" w:bidi="ar-SA"/>
              </w:rPr>
            </w:pPr>
            <w:r>
              <w:rPr>
                <w:kern w:val="0"/>
                <w:szCs w:val="20"/>
              </w:rPr>
              <w:t>食欲差，进食量减少1/3</w:t>
            </w:r>
          </w:p>
        </w:tc>
        <w:tc>
          <w:tcPr>
            <w:tcW w:w="155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94F3469">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rFonts w:ascii="宋体" w:hAnsi="宋体" w:eastAsia="宋体" w:cs="Times New Roman"/>
                <w:sz w:val="18"/>
                <w:lang w:val="en-US" w:eastAsia="zh-CN" w:bidi="ar-SA"/>
              </w:rPr>
            </w:pPr>
            <w:r>
              <w:rPr>
                <w:kern w:val="0"/>
                <w:szCs w:val="20"/>
              </w:rPr>
              <w:t>食欲极差，进食量减少1/2</w:t>
            </w:r>
          </w:p>
        </w:tc>
        <w:tc>
          <w:tcPr>
            <w:tcW w:w="193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F486420">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rFonts w:ascii="宋体" w:hAnsi="宋体" w:eastAsia="宋体" w:cs="Times New Roman"/>
                <w:sz w:val="18"/>
                <w:lang w:val="en-US" w:eastAsia="zh-CN" w:bidi="ar-SA"/>
              </w:rPr>
            </w:pPr>
            <w:r>
              <w:rPr>
                <w:kern w:val="0"/>
                <w:szCs w:val="20"/>
              </w:rPr>
              <w:t>治疗前、治疗结束后、随访期每月</w:t>
            </w:r>
          </w:p>
        </w:tc>
      </w:tr>
      <w:tr w14:paraId="04D90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5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910CA68">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rFonts w:ascii="宋体" w:hAnsi="宋体" w:eastAsia="宋体" w:cs="Times New Roman"/>
                <w:sz w:val="18"/>
                <w:lang w:val="en-US" w:eastAsia="zh-CN" w:bidi="ar-SA"/>
              </w:rPr>
            </w:pPr>
            <w:r>
              <w:rPr>
                <w:kern w:val="0"/>
                <w:szCs w:val="20"/>
              </w:rPr>
              <w:t>便秘</w:t>
            </w:r>
          </w:p>
        </w:tc>
        <w:tc>
          <w:tcPr>
            <w:tcW w:w="97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D3E7051">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rFonts w:ascii="宋体" w:hAnsi="宋体" w:eastAsia="宋体" w:cs="Times New Roman"/>
                <w:sz w:val="18"/>
                <w:lang w:val="en-US" w:eastAsia="zh-CN" w:bidi="ar-SA"/>
              </w:rPr>
            </w:pPr>
            <w:r>
              <w:rPr>
                <w:kern w:val="0"/>
                <w:szCs w:val="20"/>
              </w:rPr>
              <w:t>无</w:t>
            </w:r>
          </w:p>
        </w:tc>
        <w:tc>
          <w:tcPr>
            <w:tcW w:w="129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E4DA7C5">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rFonts w:ascii="宋体" w:hAnsi="宋体" w:eastAsia="宋体" w:cs="Times New Roman"/>
                <w:sz w:val="18"/>
                <w:lang w:val="en-US" w:eastAsia="zh-CN" w:bidi="ar-SA"/>
              </w:rPr>
            </w:pPr>
            <w:r>
              <w:rPr>
                <w:kern w:val="0"/>
                <w:szCs w:val="20"/>
              </w:rPr>
              <w:t>大便干，每日1次</w:t>
            </w:r>
          </w:p>
        </w:tc>
        <w:tc>
          <w:tcPr>
            <w:tcW w:w="142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66E6218">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rFonts w:ascii="宋体" w:hAnsi="宋体" w:eastAsia="宋体" w:cs="Times New Roman"/>
                <w:sz w:val="18"/>
                <w:lang w:val="en-US" w:eastAsia="zh-CN" w:bidi="ar-SA"/>
              </w:rPr>
            </w:pPr>
            <w:r>
              <w:rPr>
                <w:kern w:val="0"/>
                <w:szCs w:val="20"/>
              </w:rPr>
              <w:t>大便秘结，每2日 1 次</w:t>
            </w:r>
          </w:p>
        </w:tc>
        <w:tc>
          <w:tcPr>
            <w:tcW w:w="155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D337D42">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rFonts w:ascii="宋体" w:hAnsi="宋体" w:eastAsia="宋体" w:cs="Times New Roman"/>
                <w:sz w:val="18"/>
                <w:lang w:val="en-US" w:eastAsia="zh-CN" w:bidi="ar-SA"/>
              </w:rPr>
            </w:pPr>
            <w:r>
              <w:rPr>
                <w:kern w:val="0"/>
                <w:szCs w:val="20"/>
              </w:rPr>
              <w:t>大便艰难，每 3 日以上1次</w:t>
            </w:r>
          </w:p>
        </w:tc>
        <w:tc>
          <w:tcPr>
            <w:tcW w:w="193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A820858">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rFonts w:ascii="宋体" w:hAnsi="宋体" w:eastAsia="宋体" w:cs="Times New Roman"/>
                <w:sz w:val="18"/>
                <w:lang w:val="en-US" w:eastAsia="zh-CN" w:bidi="ar-SA"/>
              </w:rPr>
            </w:pPr>
            <w:r>
              <w:rPr>
                <w:kern w:val="0"/>
                <w:szCs w:val="20"/>
              </w:rPr>
              <w:t>治疗前、治疗结束后、随访期每月</w:t>
            </w:r>
          </w:p>
        </w:tc>
      </w:tr>
      <w:tr w14:paraId="12C31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5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F94B20A">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rFonts w:ascii="宋体" w:hAnsi="宋体" w:eastAsia="宋体" w:cs="Times New Roman"/>
                <w:sz w:val="18"/>
                <w:lang w:val="en-US" w:eastAsia="zh-CN" w:bidi="ar-SA"/>
              </w:rPr>
            </w:pPr>
            <w:r>
              <w:rPr>
                <w:kern w:val="0"/>
                <w:szCs w:val="20"/>
              </w:rPr>
              <w:t>胸胁苦满</w:t>
            </w:r>
          </w:p>
        </w:tc>
        <w:tc>
          <w:tcPr>
            <w:tcW w:w="97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521A259">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rFonts w:ascii="宋体" w:hAnsi="宋体" w:eastAsia="宋体" w:cs="Times New Roman"/>
                <w:sz w:val="18"/>
                <w:lang w:val="en-US" w:eastAsia="zh-CN" w:bidi="ar-SA"/>
              </w:rPr>
            </w:pPr>
            <w:r>
              <w:rPr>
                <w:kern w:val="0"/>
                <w:szCs w:val="20"/>
              </w:rPr>
              <w:t>无</w:t>
            </w:r>
          </w:p>
        </w:tc>
        <w:tc>
          <w:tcPr>
            <w:tcW w:w="129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7C16270">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rFonts w:ascii="宋体" w:hAnsi="宋体" w:eastAsia="宋体" w:cs="Times New Roman"/>
                <w:sz w:val="18"/>
                <w:lang w:val="en-US" w:eastAsia="zh-CN" w:bidi="ar-SA"/>
              </w:rPr>
            </w:pPr>
            <w:r>
              <w:rPr>
                <w:kern w:val="0"/>
                <w:szCs w:val="20"/>
              </w:rPr>
              <w:t>偶有胸部胀闷，可自行缓解</w:t>
            </w:r>
          </w:p>
        </w:tc>
        <w:tc>
          <w:tcPr>
            <w:tcW w:w="142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22937ED">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rFonts w:ascii="宋体" w:hAnsi="宋体" w:eastAsia="宋体" w:cs="Times New Roman"/>
                <w:sz w:val="18"/>
                <w:lang w:val="en-US" w:eastAsia="zh-CN" w:bidi="ar-SA"/>
              </w:rPr>
            </w:pPr>
            <w:r>
              <w:rPr>
                <w:kern w:val="0"/>
                <w:szCs w:val="20"/>
              </w:rPr>
              <w:t>每日胸部胀闷，持续＜4小时</w:t>
            </w:r>
          </w:p>
        </w:tc>
        <w:tc>
          <w:tcPr>
            <w:tcW w:w="155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EE67778">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rFonts w:ascii="宋体" w:hAnsi="宋体" w:eastAsia="宋体" w:cs="Times New Roman"/>
                <w:sz w:val="18"/>
                <w:lang w:val="en-US" w:eastAsia="zh-CN" w:bidi="ar-SA"/>
              </w:rPr>
            </w:pPr>
            <w:r>
              <w:rPr>
                <w:kern w:val="0"/>
                <w:szCs w:val="20"/>
              </w:rPr>
              <w:t>整日胸部胀闷，影响情绪</w:t>
            </w:r>
          </w:p>
        </w:tc>
        <w:tc>
          <w:tcPr>
            <w:tcW w:w="193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30DBA3F">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rFonts w:ascii="宋体" w:hAnsi="宋体" w:eastAsia="宋体" w:cs="Times New Roman"/>
                <w:sz w:val="18"/>
                <w:lang w:val="en-US" w:eastAsia="zh-CN" w:bidi="ar-SA"/>
              </w:rPr>
            </w:pPr>
            <w:r>
              <w:rPr>
                <w:kern w:val="0"/>
                <w:szCs w:val="20"/>
              </w:rPr>
              <w:t>治疗前、治疗结束后、随访期每月</w:t>
            </w:r>
          </w:p>
        </w:tc>
      </w:tr>
      <w:tr w14:paraId="62271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5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608DD5F">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rFonts w:ascii="宋体" w:hAnsi="宋体" w:eastAsia="宋体" w:cs="Times New Roman"/>
                <w:sz w:val="18"/>
                <w:lang w:val="en-US" w:eastAsia="zh-CN" w:bidi="ar-SA"/>
              </w:rPr>
            </w:pPr>
            <w:r>
              <w:rPr>
                <w:kern w:val="0"/>
                <w:szCs w:val="20"/>
              </w:rPr>
              <w:t>畏寒肢冷</w:t>
            </w:r>
          </w:p>
        </w:tc>
        <w:tc>
          <w:tcPr>
            <w:tcW w:w="97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51B89DF">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rFonts w:ascii="宋体" w:hAnsi="宋体" w:eastAsia="宋体" w:cs="Times New Roman"/>
                <w:sz w:val="18"/>
                <w:lang w:val="en-US" w:eastAsia="zh-CN" w:bidi="ar-SA"/>
              </w:rPr>
            </w:pPr>
            <w:r>
              <w:rPr>
                <w:kern w:val="0"/>
                <w:szCs w:val="20"/>
              </w:rPr>
              <w:t>无</w:t>
            </w:r>
          </w:p>
        </w:tc>
        <w:tc>
          <w:tcPr>
            <w:tcW w:w="129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929A5DE">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rFonts w:ascii="宋体" w:hAnsi="宋体" w:eastAsia="宋体" w:cs="Times New Roman"/>
                <w:sz w:val="18"/>
                <w:lang w:val="en-US" w:eastAsia="zh-CN" w:bidi="ar-SA"/>
              </w:rPr>
            </w:pPr>
            <w:r>
              <w:rPr>
                <w:kern w:val="0"/>
                <w:szCs w:val="20"/>
              </w:rPr>
              <w:t>遇冷觉冷，添加衣物缓解</w:t>
            </w:r>
          </w:p>
        </w:tc>
        <w:tc>
          <w:tcPr>
            <w:tcW w:w="142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F7139DA">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rFonts w:ascii="宋体" w:hAnsi="宋体" w:eastAsia="宋体" w:cs="Times New Roman"/>
                <w:sz w:val="18"/>
                <w:lang w:val="en-US" w:eastAsia="zh-CN" w:bidi="ar-SA"/>
              </w:rPr>
            </w:pPr>
            <w:r>
              <w:rPr>
                <w:kern w:val="0"/>
                <w:szCs w:val="20"/>
              </w:rPr>
              <w:t>日常觉冷，需厚衣保暖</w:t>
            </w:r>
          </w:p>
        </w:tc>
        <w:tc>
          <w:tcPr>
            <w:tcW w:w="155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117F4E4">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rFonts w:ascii="宋体" w:hAnsi="宋体" w:eastAsia="宋体" w:cs="Times New Roman"/>
                <w:sz w:val="18"/>
                <w:lang w:val="en-US" w:eastAsia="zh-CN" w:bidi="ar-SA"/>
              </w:rPr>
            </w:pPr>
            <w:r>
              <w:rPr>
                <w:kern w:val="0"/>
                <w:szCs w:val="20"/>
              </w:rPr>
              <w:t>全身畏寒，厚衣仍觉冷</w:t>
            </w:r>
          </w:p>
        </w:tc>
        <w:tc>
          <w:tcPr>
            <w:tcW w:w="193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1577A07">
            <w:pPr>
              <w:pStyle w:val="38"/>
              <w:keepNext w:val="0"/>
              <w:keepLines w:val="0"/>
              <w:pageBreakBefore w:val="0"/>
              <w:widowControl/>
              <w:kinsoku/>
              <w:wordWrap/>
              <w:overflowPunct/>
              <w:topLinePunct w:val="0"/>
              <w:autoSpaceDE w:val="0"/>
              <w:autoSpaceDN w:val="0"/>
              <w:bidi w:val="0"/>
              <w:adjustRightInd/>
              <w:snapToGrid/>
              <w:spacing w:afterAutospacing="0" w:line="360" w:lineRule="auto"/>
              <w:ind w:firstLine="0" w:firstLineChars="0"/>
              <w:textAlignment w:val="auto"/>
              <w:rPr>
                <w:rFonts w:ascii="宋体" w:hAnsi="宋体" w:eastAsia="宋体" w:cs="Times New Roman"/>
                <w:sz w:val="18"/>
                <w:lang w:val="en-US" w:eastAsia="zh-CN" w:bidi="ar-SA"/>
              </w:rPr>
            </w:pPr>
            <w:r>
              <w:rPr>
                <w:kern w:val="0"/>
                <w:szCs w:val="20"/>
              </w:rPr>
              <w:t>治疗前、治疗结束后、随访期每月</w:t>
            </w:r>
          </w:p>
        </w:tc>
      </w:tr>
    </w:tbl>
    <w:p w14:paraId="680020BB">
      <w:pPr>
        <w:pStyle w:val="40"/>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10.1.3远期疗效指标</w:t>
      </w:r>
    </w:p>
    <w:p w14:paraId="12ECFC94">
      <w:pPr>
        <w:pStyle w:val="23"/>
        <w:keepNext w:val="0"/>
        <w:keepLines w:val="0"/>
        <w:pageBreakBefore w:val="0"/>
        <w:widowControl/>
        <w:kinsoku/>
        <w:wordWrap/>
        <w:overflowPunct/>
        <w:topLinePunct w:val="0"/>
        <w:bidi w:val="0"/>
        <w:adjustRightInd/>
        <w:snapToGrid/>
        <w:spacing w:afterAutospacing="0" w:line="360" w:lineRule="auto"/>
        <w:ind w:left="0"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远期疗效指标用于评价疗效的持续性，重点关注</w:t>
      </w:r>
      <w:r>
        <w:rPr>
          <w:rFonts w:hint="eastAsia" w:asciiTheme="minorEastAsia" w:hAnsiTheme="minorEastAsia" w:eastAsiaTheme="minorEastAsia" w:cstheme="minorEastAsia"/>
          <w:sz w:val="28"/>
          <w:szCs w:val="28"/>
          <w:lang w:val="en-US" w:eastAsia="zh-CN"/>
        </w:rPr>
        <w:t>侧弯进展</w:t>
      </w:r>
      <w:r>
        <w:rPr>
          <w:rFonts w:hint="eastAsia" w:asciiTheme="minorEastAsia" w:hAnsiTheme="minorEastAsia" w:eastAsiaTheme="minorEastAsia" w:cstheme="minorEastAsia"/>
          <w:sz w:val="28"/>
          <w:szCs w:val="28"/>
        </w:rPr>
        <w:t>情况：</w:t>
      </w:r>
    </w:p>
    <w:p w14:paraId="192D6678">
      <w:pPr>
        <w:pStyle w:val="36"/>
        <w:keepNext w:val="0"/>
        <w:keepLines w:val="0"/>
        <w:pageBreakBefore w:val="0"/>
        <w:widowControl/>
        <w:numPr>
          <w:ilvl w:val="0"/>
          <w:numId w:val="12"/>
        </w:numPr>
        <w:kinsoku/>
        <w:wordWrap/>
        <w:overflowPunct/>
        <w:topLinePunct w:val="0"/>
        <w:bidi w:val="0"/>
        <w:adjustRightInd/>
        <w:snapToGrid/>
        <w:spacing w:before="0" w:after="0" w:afterAutospacing="0" w:line="360" w:lineRule="auto"/>
        <w:ind w:left="0"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进展</w:t>
      </w:r>
      <w:r>
        <w:rPr>
          <w:rFonts w:hint="eastAsia" w:asciiTheme="minorEastAsia" w:hAnsiTheme="minorEastAsia" w:eastAsiaTheme="minorEastAsia" w:cstheme="minorEastAsia"/>
          <w:sz w:val="28"/>
          <w:szCs w:val="28"/>
        </w:rPr>
        <w:t>率：随访期内体重较疗程结束时增加＞</w:t>
      </w:r>
      <w:r>
        <w:rPr>
          <w:rFonts w:hint="eastAsia" w:asciiTheme="minorEastAsia" w:hAnsiTheme="minorEastAsia" w:eastAsiaTheme="minorEastAsia" w:cstheme="minorEastAsia"/>
          <w:sz w:val="28"/>
          <w:szCs w:val="28"/>
          <w:lang w:val="en-US" w:eastAsia="zh-CN"/>
        </w:rPr>
        <w:t>5°</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进展</w:t>
      </w:r>
      <w:r>
        <w:rPr>
          <w:rFonts w:hint="eastAsia" w:asciiTheme="minorEastAsia" w:hAnsiTheme="minorEastAsia" w:eastAsiaTheme="minorEastAsia" w:cstheme="minorEastAsia"/>
          <w:sz w:val="28"/>
          <w:szCs w:val="28"/>
        </w:rPr>
        <w:t>率=</w:t>
      </w:r>
      <w:r>
        <w:rPr>
          <w:rFonts w:hint="eastAsia" w:asciiTheme="minorEastAsia" w:hAnsiTheme="minorEastAsia" w:eastAsiaTheme="minorEastAsia" w:cstheme="minorEastAsia"/>
          <w:sz w:val="28"/>
          <w:szCs w:val="28"/>
          <w:lang w:val="en-US" w:eastAsia="zh-CN"/>
        </w:rPr>
        <w:t>进展</w:t>
      </w:r>
      <w:r>
        <w:rPr>
          <w:rFonts w:hint="eastAsia" w:asciiTheme="minorEastAsia" w:hAnsiTheme="minorEastAsia" w:eastAsiaTheme="minorEastAsia" w:cstheme="minorEastAsia"/>
          <w:sz w:val="28"/>
          <w:szCs w:val="28"/>
        </w:rPr>
        <w:t>患者数/总有效患者数×100%；</w:t>
      </w:r>
    </w:p>
    <w:p w14:paraId="21396DBA">
      <w:pPr>
        <w:pStyle w:val="36"/>
        <w:keepNext w:val="0"/>
        <w:keepLines w:val="0"/>
        <w:pageBreakBefore w:val="0"/>
        <w:widowControl/>
        <w:numPr>
          <w:ilvl w:val="0"/>
          <w:numId w:val="9"/>
        </w:numPr>
        <w:kinsoku/>
        <w:wordWrap/>
        <w:overflowPunct/>
        <w:topLinePunct w:val="0"/>
        <w:bidi w:val="0"/>
        <w:adjustRightInd/>
        <w:snapToGrid/>
        <w:spacing w:before="0" w:after="0" w:afterAutospacing="0" w:line="360" w:lineRule="auto"/>
        <w:ind w:left="0"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生存质量</w:t>
      </w:r>
      <w:r>
        <w:rPr>
          <w:rFonts w:hint="eastAsia" w:asciiTheme="minorEastAsia" w:hAnsiTheme="minorEastAsia" w:eastAsiaTheme="minorEastAsia" w:cstheme="minorEastAsia"/>
          <w:sz w:val="28"/>
          <w:szCs w:val="28"/>
        </w:rPr>
        <w:t>评分：采用《</w:t>
      </w:r>
      <w:r>
        <w:rPr>
          <w:rFonts w:hint="eastAsia" w:asciiTheme="minorEastAsia" w:hAnsiTheme="minorEastAsia" w:eastAsiaTheme="minorEastAsia" w:cstheme="minorEastAsia"/>
          <w:sz w:val="28"/>
          <w:szCs w:val="28"/>
          <w:lang w:val="en-US" w:eastAsia="zh-CN"/>
        </w:rPr>
        <w:t>SRS-22量表</w:t>
      </w:r>
      <w:r>
        <w:rPr>
          <w:rFonts w:hint="eastAsia" w:asciiTheme="minorEastAsia" w:hAnsiTheme="minorEastAsia" w:eastAsiaTheme="minorEastAsia" w:cstheme="minorEastAsia"/>
          <w:sz w:val="28"/>
          <w:szCs w:val="28"/>
        </w:rPr>
        <w:t>》评估，包括身体功能、疼痛、自我形象</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心理健</w:t>
      </w:r>
      <w:r>
        <w:rPr>
          <w:rFonts w:hint="eastAsia" w:asciiTheme="minorEastAsia" w:hAnsiTheme="minorEastAsia" w:eastAsiaTheme="minorEastAsia" w:cstheme="minorEastAsia"/>
          <w:sz w:val="28"/>
          <w:szCs w:val="28"/>
          <w:lang w:val="en-US" w:eastAsia="zh-CN"/>
        </w:rPr>
        <w:t>康及满意度5</w:t>
      </w:r>
      <w:r>
        <w:rPr>
          <w:rFonts w:hint="eastAsia" w:asciiTheme="minorEastAsia" w:hAnsiTheme="minorEastAsia" w:eastAsiaTheme="minorEastAsia" w:cstheme="minorEastAsia"/>
          <w:sz w:val="28"/>
          <w:szCs w:val="28"/>
        </w:rPr>
        <w:t>个维度，共2</w:t>
      </w: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rPr>
        <w:t>个条目，每个条目1~5分，总分越高表示生活质量越好，治疗后总分提升≥20%为生活质量改善。</w:t>
      </w:r>
    </w:p>
    <w:p w14:paraId="232EDDDA">
      <w:pPr>
        <w:pStyle w:val="35"/>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10.1.4疗</w:t>
      </w:r>
      <w:bookmarkStart w:id="14" w:name="_Toc208503243"/>
      <w:r>
        <w:rPr>
          <w:rFonts w:hint="eastAsia" w:asciiTheme="minorEastAsia" w:hAnsiTheme="minorEastAsia" w:eastAsiaTheme="minorEastAsia" w:cstheme="minorEastAsia"/>
          <w:sz w:val="28"/>
          <w:szCs w:val="28"/>
        </w:rPr>
        <w:t>效评价标准</w:t>
      </w:r>
      <w:bookmarkEnd w:id="14"/>
    </w:p>
    <w:p w14:paraId="69F0164D">
      <w:pPr>
        <w:pStyle w:val="23"/>
        <w:keepNext w:val="0"/>
        <w:keepLines w:val="0"/>
        <w:pageBreakBefore w:val="0"/>
        <w:kinsoku/>
        <w:wordWrap/>
        <w:overflowPunct/>
        <w:topLinePunct w:val="0"/>
        <w:bidi w:val="0"/>
        <w:spacing w:afterAutospacing="0" w:line="360" w:lineRule="auto"/>
        <w:ind w:firstLine="560" w:firstLineChars="200"/>
      </w:pPr>
      <w:r>
        <w:rPr>
          <w:rFonts w:hint="eastAsia" w:asciiTheme="minorEastAsia" w:hAnsiTheme="minorEastAsia" w:eastAsiaTheme="minorEastAsia" w:cstheme="minorEastAsia"/>
          <w:sz w:val="28"/>
          <w:szCs w:val="28"/>
        </w:rPr>
        <w:t>根据核心客观指标与中医证候积分，将疗效分为显效、有效、</w:t>
      </w:r>
      <w:r>
        <w:rPr>
          <w:rFonts w:hint="eastAsia" w:asciiTheme="minorEastAsia" w:hAnsiTheme="minorEastAsia" w:eastAsiaTheme="minorEastAsia" w:cstheme="minorEastAsia"/>
          <w:sz w:val="28"/>
          <w:szCs w:val="28"/>
          <w:lang w:val="en-US" w:eastAsia="zh-CN"/>
        </w:rPr>
        <w:t>稳定、</w:t>
      </w:r>
      <w:r>
        <w:rPr>
          <w:rFonts w:hint="eastAsia" w:asciiTheme="minorEastAsia" w:hAnsiTheme="minorEastAsia" w:eastAsiaTheme="minorEastAsia" w:cstheme="minorEastAsia"/>
          <w:sz w:val="28"/>
          <w:szCs w:val="28"/>
        </w:rPr>
        <w:t>无效4个等级，评价需在治疗结束后1周内完成，随访期</w:t>
      </w:r>
      <w:r>
        <w:rPr>
          <w:rFonts w:hint="eastAsia" w:asciiTheme="minorEastAsia" w:hAnsiTheme="minorEastAsia" w:eastAsiaTheme="minorEastAsia" w:cstheme="minorEastAsia"/>
          <w:sz w:val="28"/>
          <w:szCs w:val="28"/>
          <w:lang w:val="en-US" w:eastAsia="zh-CN"/>
        </w:rPr>
        <w:t>3</w:t>
      </w:r>
      <w:r>
        <w:rPr>
          <w:rFonts w:hint="eastAsia" w:asciiTheme="minorEastAsia" w:hAnsiTheme="minorEastAsia" w:eastAsiaTheme="minorEastAsia" w:cstheme="minorEastAsia"/>
          <w:sz w:val="28"/>
          <w:szCs w:val="28"/>
        </w:rPr>
        <w:t>个月后进行远期疗效评价，具体见表7。</w:t>
      </w:r>
    </w:p>
    <w:tbl>
      <w:tblPr>
        <w:tblStyle w:val="8"/>
        <w:tblW w:w="81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046"/>
        <w:gridCol w:w="1669"/>
        <w:gridCol w:w="2869"/>
        <w:gridCol w:w="2553"/>
      </w:tblGrid>
      <w:tr w14:paraId="117D1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77" w:hRule="atLeast"/>
          <w:tblHeader/>
          <w:jc w:val="center"/>
        </w:trPr>
        <w:tc>
          <w:tcPr>
            <w:tcW w:w="1046" w:type="dxa"/>
            <w:tcBorders>
              <w:top w:val="single" w:color="000000" w:sz="8" w:space="0"/>
              <w:left w:val="single" w:color="000000" w:sz="8" w:space="0"/>
              <w:bottom w:val="single" w:color="000000" w:sz="8" w:space="0"/>
              <w:right w:val="single" w:color="000000" w:sz="8" w:space="0"/>
            </w:tcBorders>
            <w:vAlign w:val="center"/>
          </w:tcPr>
          <w:p w14:paraId="6B18A503">
            <w:pPr>
              <w:pStyle w:val="38"/>
              <w:keepNext w:val="0"/>
              <w:keepLines w:val="0"/>
              <w:pageBreakBefore w:val="0"/>
              <w:widowControl/>
              <w:kinsoku/>
              <w:wordWrap/>
              <w:overflowPunct/>
              <w:topLinePunct w:val="0"/>
              <w:bidi w:val="0"/>
              <w:adjustRightInd/>
              <w:snapToGrid/>
              <w:spacing w:afterAutospacing="0" w:line="360" w:lineRule="auto"/>
              <w:ind w:left="0" w:firstLine="0" w:firstLineChars="0"/>
              <w:textAlignment w:val="auto"/>
              <w:rPr>
                <w:kern w:val="0"/>
                <w:szCs w:val="20"/>
              </w:rPr>
            </w:pPr>
            <w:r>
              <w:rPr>
                <w:kern w:val="0"/>
                <w:szCs w:val="20"/>
              </w:rPr>
              <w:t>疗效等级</w:t>
            </w:r>
          </w:p>
        </w:tc>
        <w:tc>
          <w:tcPr>
            <w:tcW w:w="1669" w:type="dxa"/>
            <w:tcBorders>
              <w:top w:val="single" w:color="000000" w:sz="8" w:space="0"/>
              <w:left w:val="single" w:color="000000" w:sz="8" w:space="0"/>
              <w:bottom w:val="single" w:color="000000" w:sz="8" w:space="0"/>
              <w:right w:val="single" w:color="000000" w:sz="8" w:space="0"/>
            </w:tcBorders>
            <w:vAlign w:val="center"/>
          </w:tcPr>
          <w:p w14:paraId="4CC79A0D">
            <w:pPr>
              <w:pStyle w:val="38"/>
              <w:keepNext w:val="0"/>
              <w:keepLines w:val="0"/>
              <w:pageBreakBefore w:val="0"/>
              <w:widowControl/>
              <w:kinsoku/>
              <w:wordWrap/>
              <w:overflowPunct/>
              <w:topLinePunct w:val="0"/>
              <w:bidi w:val="0"/>
              <w:adjustRightInd/>
              <w:snapToGrid/>
              <w:spacing w:afterAutospacing="0" w:line="360" w:lineRule="auto"/>
              <w:ind w:left="0" w:firstLine="0" w:firstLineChars="0"/>
              <w:textAlignment w:val="auto"/>
              <w:rPr>
                <w:kern w:val="0"/>
                <w:szCs w:val="20"/>
              </w:rPr>
            </w:pPr>
            <w:r>
              <w:rPr>
                <w:kern w:val="0"/>
                <w:szCs w:val="20"/>
                <w:lang w:val="en-US" w:eastAsia="zh-CN"/>
              </w:rPr>
              <w:t>Cobb角</w:t>
            </w:r>
            <w:r>
              <w:rPr>
                <w:kern w:val="0"/>
                <w:szCs w:val="20"/>
              </w:rPr>
              <w:t>改善标准</w:t>
            </w:r>
          </w:p>
        </w:tc>
        <w:tc>
          <w:tcPr>
            <w:tcW w:w="2869" w:type="dxa"/>
            <w:tcBorders>
              <w:top w:val="single" w:color="000000" w:sz="8" w:space="0"/>
              <w:left w:val="single" w:color="000000" w:sz="8" w:space="0"/>
              <w:bottom w:val="single" w:color="000000" w:sz="8" w:space="0"/>
              <w:right w:val="single" w:color="000000" w:sz="8" w:space="0"/>
            </w:tcBorders>
            <w:vAlign w:val="center"/>
          </w:tcPr>
          <w:p w14:paraId="4A190319">
            <w:pPr>
              <w:pStyle w:val="38"/>
              <w:keepNext w:val="0"/>
              <w:keepLines w:val="0"/>
              <w:pageBreakBefore w:val="0"/>
              <w:widowControl/>
              <w:kinsoku/>
              <w:wordWrap/>
              <w:overflowPunct/>
              <w:topLinePunct w:val="0"/>
              <w:bidi w:val="0"/>
              <w:adjustRightInd/>
              <w:snapToGrid/>
              <w:spacing w:afterAutospacing="0" w:line="360" w:lineRule="auto"/>
              <w:ind w:left="0" w:firstLine="0" w:firstLineChars="0"/>
              <w:textAlignment w:val="auto"/>
              <w:rPr>
                <w:kern w:val="0"/>
                <w:szCs w:val="20"/>
              </w:rPr>
            </w:pPr>
            <w:r>
              <w:rPr>
                <w:kern w:val="0"/>
                <w:szCs w:val="20"/>
              </w:rPr>
              <w:t>中医证候改善标准（尼莫地平法）</w:t>
            </w:r>
          </w:p>
        </w:tc>
        <w:tc>
          <w:tcPr>
            <w:tcW w:w="2553" w:type="dxa"/>
            <w:tcBorders>
              <w:top w:val="single" w:color="000000" w:sz="8" w:space="0"/>
              <w:left w:val="single" w:color="000000" w:sz="8" w:space="0"/>
              <w:bottom w:val="single" w:color="000000" w:sz="8" w:space="0"/>
              <w:right w:val="single" w:color="000000" w:sz="8" w:space="0"/>
            </w:tcBorders>
            <w:vAlign w:val="center"/>
          </w:tcPr>
          <w:p w14:paraId="53356E9C">
            <w:pPr>
              <w:pStyle w:val="38"/>
              <w:keepNext w:val="0"/>
              <w:keepLines w:val="0"/>
              <w:pageBreakBefore w:val="0"/>
              <w:widowControl/>
              <w:kinsoku/>
              <w:wordWrap/>
              <w:overflowPunct/>
              <w:topLinePunct w:val="0"/>
              <w:bidi w:val="0"/>
              <w:adjustRightInd/>
              <w:snapToGrid/>
              <w:spacing w:afterAutospacing="0" w:line="360" w:lineRule="auto"/>
              <w:ind w:left="0" w:firstLine="0" w:firstLineChars="0"/>
              <w:textAlignment w:val="auto"/>
              <w:rPr>
                <w:kern w:val="0"/>
                <w:szCs w:val="20"/>
              </w:rPr>
            </w:pPr>
            <w:r>
              <w:rPr>
                <w:kern w:val="0"/>
                <w:szCs w:val="20"/>
              </w:rPr>
              <w:t>远期疗效标准（随访</w:t>
            </w:r>
            <w:r>
              <w:rPr>
                <w:kern w:val="0"/>
                <w:szCs w:val="20"/>
                <w:lang w:val="en-US" w:eastAsia="zh-CN"/>
              </w:rPr>
              <w:t>3</w:t>
            </w:r>
            <w:r>
              <w:rPr>
                <w:kern w:val="0"/>
                <w:szCs w:val="20"/>
              </w:rPr>
              <w:t>个月）</w:t>
            </w:r>
          </w:p>
        </w:tc>
      </w:tr>
      <w:tr w14:paraId="4165E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35" w:hRule="atLeast"/>
          <w:jc w:val="center"/>
        </w:trPr>
        <w:tc>
          <w:tcPr>
            <w:tcW w:w="1046" w:type="dxa"/>
            <w:tcBorders>
              <w:top w:val="single" w:color="000000" w:sz="8" w:space="0"/>
              <w:left w:val="single" w:color="000000" w:sz="8" w:space="0"/>
              <w:bottom w:val="single" w:color="000000" w:sz="8" w:space="0"/>
              <w:right w:val="single" w:color="000000" w:sz="8" w:space="0"/>
            </w:tcBorders>
            <w:vAlign w:val="center"/>
          </w:tcPr>
          <w:p w14:paraId="38CCF330">
            <w:pPr>
              <w:pStyle w:val="38"/>
              <w:keepNext w:val="0"/>
              <w:keepLines w:val="0"/>
              <w:pageBreakBefore w:val="0"/>
              <w:widowControl/>
              <w:kinsoku/>
              <w:wordWrap/>
              <w:overflowPunct/>
              <w:topLinePunct w:val="0"/>
              <w:bidi w:val="0"/>
              <w:adjustRightInd/>
              <w:snapToGrid/>
              <w:spacing w:afterAutospacing="0" w:line="360" w:lineRule="auto"/>
              <w:ind w:left="0" w:firstLine="0" w:firstLineChars="0"/>
              <w:textAlignment w:val="auto"/>
              <w:rPr>
                <w:kern w:val="0"/>
                <w:szCs w:val="20"/>
              </w:rPr>
            </w:pPr>
            <w:r>
              <w:rPr>
                <w:kern w:val="0"/>
                <w:szCs w:val="20"/>
              </w:rPr>
              <w:t>显效</w:t>
            </w:r>
          </w:p>
        </w:tc>
        <w:tc>
          <w:tcPr>
            <w:tcW w:w="1669" w:type="dxa"/>
            <w:tcBorders>
              <w:top w:val="single" w:color="000000" w:sz="8" w:space="0"/>
              <w:left w:val="single" w:color="000000" w:sz="8" w:space="0"/>
              <w:bottom w:val="single" w:color="000000" w:sz="8" w:space="0"/>
              <w:right w:val="single" w:color="000000" w:sz="8" w:space="0"/>
            </w:tcBorders>
            <w:vAlign w:val="center"/>
          </w:tcPr>
          <w:p w14:paraId="36BF54B7">
            <w:pPr>
              <w:pStyle w:val="38"/>
              <w:keepNext w:val="0"/>
              <w:keepLines w:val="0"/>
              <w:pageBreakBefore w:val="0"/>
              <w:widowControl/>
              <w:kinsoku/>
              <w:wordWrap/>
              <w:overflowPunct/>
              <w:topLinePunct w:val="0"/>
              <w:bidi w:val="0"/>
              <w:adjustRightInd/>
              <w:snapToGrid/>
              <w:spacing w:afterAutospacing="0" w:line="360" w:lineRule="auto"/>
              <w:ind w:left="0" w:firstLine="0" w:firstLineChars="0"/>
              <w:textAlignment w:val="auto"/>
              <w:rPr>
                <w:kern w:val="0"/>
                <w:szCs w:val="20"/>
              </w:rPr>
            </w:pPr>
            <w:r>
              <w:rPr>
                <w:kern w:val="0"/>
                <w:szCs w:val="20"/>
              </w:rPr>
              <w:t>Cobb角减少≥10°</w:t>
            </w:r>
          </w:p>
        </w:tc>
        <w:tc>
          <w:tcPr>
            <w:tcW w:w="2869" w:type="dxa"/>
            <w:tcBorders>
              <w:top w:val="single" w:color="000000" w:sz="8" w:space="0"/>
              <w:left w:val="single" w:color="000000" w:sz="8" w:space="0"/>
              <w:bottom w:val="single" w:color="000000" w:sz="8" w:space="0"/>
              <w:right w:val="single" w:color="000000" w:sz="8" w:space="0"/>
            </w:tcBorders>
            <w:vAlign w:val="center"/>
          </w:tcPr>
          <w:p w14:paraId="6E705F7D">
            <w:pPr>
              <w:pStyle w:val="38"/>
              <w:keepNext w:val="0"/>
              <w:keepLines w:val="0"/>
              <w:pageBreakBefore w:val="0"/>
              <w:widowControl/>
              <w:kinsoku/>
              <w:wordWrap/>
              <w:overflowPunct/>
              <w:topLinePunct w:val="0"/>
              <w:bidi w:val="0"/>
              <w:adjustRightInd/>
              <w:snapToGrid/>
              <w:spacing w:afterAutospacing="0" w:line="360" w:lineRule="auto"/>
              <w:ind w:left="0" w:firstLine="0" w:firstLineChars="0"/>
              <w:textAlignment w:val="auto"/>
              <w:rPr>
                <w:kern w:val="0"/>
                <w:szCs w:val="20"/>
              </w:rPr>
            </w:pPr>
            <w:r>
              <w:rPr>
                <w:kern w:val="0"/>
                <w:szCs w:val="20"/>
              </w:rPr>
              <w:t>证候积分减少≥95%，症状消失或基本消失</w:t>
            </w:r>
          </w:p>
        </w:tc>
        <w:tc>
          <w:tcPr>
            <w:tcW w:w="2553" w:type="dxa"/>
            <w:tcBorders>
              <w:top w:val="single" w:color="000000" w:sz="8" w:space="0"/>
              <w:left w:val="single" w:color="000000" w:sz="8" w:space="0"/>
              <w:bottom w:val="single" w:color="000000" w:sz="8" w:space="0"/>
              <w:right w:val="single" w:color="000000" w:sz="8" w:space="0"/>
            </w:tcBorders>
            <w:vAlign w:val="center"/>
          </w:tcPr>
          <w:p w14:paraId="358CA442">
            <w:pPr>
              <w:pStyle w:val="38"/>
              <w:keepNext w:val="0"/>
              <w:keepLines w:val="0"/>
              <w:pageBreakBefore w:val="0"/>
              <w:widowControl/>
              <w:kinsoku/>
              <w:wordWrap/>
              <w:overflowPunct/>
              <w:topLinePunct w:val="0"/>
              <w:bidi w:val="0"/>
              <w:adjustRightInd/>
              <w:snapToGrid/>
              <w:spacing w:afterAutospacing="0" w:line="360" w:lineRule="auto"/>
              <w:ind w:left="0" w:firstLine="0" w:firstLineChars="0"/>
              <w:textAlignment w:val="auto"/>
              <w:rPr>
                <w:kern w:val="0"/>
                <w:szCs w:val="20"/>
              </w:rPr>
            </w:pPr>
            <w:r>
              <w:rPr>
                <w:kern w:val="0"/>
                <w:szCs w:val="20"/>
              </w:rPr>
              <w:t>无</w:t>
            </w:r>
            <w:r>
              <w:rPr>
                <w:kern w:val="0"/>
                <w:szCs w:val="20"/>
                <w:lang w:val="en-US" w:eastAsia="zh-CN"/>
              </w:rPr>
              <w:t>进展</w:t>
            </w:r>
            <w:r>
              <w:rPr>
                <w:kern w:val="0"/>
                <w:szCs w:val="20"/>
              </w:rPr>
              <w:t>，生活质量评分提升≥30%</w:t>
            </w:r>
          </w:p>
        </w:tc>
      </w:tr>
      <w:tr w14:paraId="59BB9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35" w:hRule="atLeast"/>
          <w:jc w:val="center"/>
        </w:trPr>
        <w:tc>
          <w:tcPr>
            <w:tcW w:w="1046" w:type="dxa"/>
            <w:tcBorders>
              <w:top w:val="single" w:color="000000" w:sz="8" w:space="0"/>
              <w:left w:val="single" w:color="000000" w:sz="8" w:space="0"/>
              <w:bottom w:val="single" w:color="000000" w:sz="8" w:space="0"/>
              <w:right w:val="single" w:color="000000" w:sz="8" w:space="0"/>
            </w:tcBorders>
            <w:vAlign w:val="center"/>
          </w:tcPr>
          <w:p w14:paraId="49AF5C74">
            <w:pPr>
              <w:pStyle w:val="38"/>
              <w:keepNext w:val="0"/>
              <w:keepLines w:val="0"/>
              <w:pageBreakBefore w:val="0"/>
              <w:widowControl/>
              <w:kinsoku/>
              <w:wordWrap/>
              <w:overflowPunct/>
              <w:topLinePunct w:val="0"/>
              <w:bidi w:val="0"/>
              <w:adjustRightInd/>
              <w:snapToGrid/>
              <w:spacing w:afterAutospacing="0" w:line="360" w:lineRule="auto"/>
              <w:ind w:left="0" w:firstLine="0" w:firstLineChars="0"/>
              <w:textAlignment w:val="auto"/>
              <w:rPr>
                <w:kern w:val="0"/>
                <w:szCs w:val="20"/>
              </w:rPr>
            </w:pPr>
            <w:r>
              <w:rPr>
                <w:kern w:val="0"/>
                <w:szCs w:val="20"/>
              </w:rPr>
              <w:t>有效</w:t>
            </w:r>
          </w:p>
        </w:tc>
        <w:tc>
          <w:tcPr>
            <w:tcW w:w="1669" w:type="dxa"/>
            <w:tcBorders>
              <w:top w:val="single" w:color="000000" w:sz="8" w:space="0"/>
              <w:left w:val="single" w:color="000000" w:sz="8" w:space="0"/>
              <w:bottom w:val="single" w:color="000000" w:sz="8" w:space="0"/>
              <w:right w:val="single" w:color="000000" w:sz="8" w:space="0"/>
            </w:tcBorders>
            <w:vAlign w:val="center"/>
          </w:tcPr>
          <w:p w14:paraId="44F65522">
            <w:pPr>
              <w:pStyle w:val="38"/>
              <w:keepNext w:val="0"/>
              <w:keepLines w:val="0"/>
              <w:pageBreakBefore w:val="0"/>
              <w:widowControl/>
              <w:kinsoku/>
              <w:wordWrap/>
              <w:overflowPunct/>
              <w:topLinePunct w:val="0"/>
              <w:bidi w:val="0"/>
              <w:adjustRightInd/>
              <w:snapToGrid/>
              <w:spacing w:afterAutospacing="0" w:line="360" w:lineRule="auto"/>
              <w:ind w:left="0" w:firstLine="0" w:firstLineChars="0"/>
              <w:textAlignment w:val="auto"/>
              <w:rPr>
                <w:kern w:val="0"/>
                <w:szCs w:val="20"/>
              </w:rPr>
            </w:pPr>
            <w:r>
              <w:rPr>
                <w:kern w:val="0"/>
                <w:szCs w:val="20"/>
              </w:rPr>
              <w:t>Cobb角减少5°～9°</w:t>
            </w:r>
          </w:p>
        </w:tc>
        <w:tc>
          <w:tcPr>
            <w:tcW w:w="2869" w:type="dxa"/>
            <w:tcBorders>
              <w:top w:val="single" w:color="000000" w:sz="8" w:space="0"/>
              <w:left w:val="single" w:color="000000" w:sz="8" w:space="0"/>
              <w:bottom w:val="single" w:color="000000" w:sz="8" w:space="0"/>
              <w:right w:val="single" w:color="000000" w:sz="8" w:space="0"/>
            </w:tcBorders>
            <w:vAlign w:val="center"/>
          </w:tcPr>
          <w:p w14:paraId="69E3F82B">
            <w:pPr>
              <w:pStyle w:val="38"/>
              <w:keepNext w:val="0"/>
              <w:keepLines w:val="0"/>
              <w:pageBreakBefore w:val="0"/>
              <w:widowControl/>
              <w:kinsoku/>
              <w:wordWrap/>
              <w:overflowPunct/>
              <w:topLinePunct w:val="0"/>
              <w:bidi w:val="0"/>
              <w:adjustRightInd/>
              <w:snapToGrid/>
              <w:spacing w:afterAutospacing="0" w:line="360" w:lineRule="auto"/>
              <w:ind w:left="0" w:firstLine="0" w:firstLineChars="0"/>
              <w:textAlignment w:val="auto"/>
              <w:rPr>
                <w:kern w:val="0"/>
                <w:szCs w:val="20"/>
              </w:rPr>
            </w:pPr>
            <w:r>
              <w:rPr>
                <w:kern w:val="0"/>
                <w:szCs w:val="20"/>
              </w:rPr>
              <w:t>证候积分减少70%~94%，症状明显改善</w:t>
            </w:r>
          </w:p>
        </w:tc>
        <w:tc>
          <w:tcPr>
            <w:tcW w:w="2553" w:type="dxa"/>
            <w:tcBorders>
              <w:top w:val="single" w:color="000000" w:sz="8" w:space="0"/>
              <w:left w:val="single" w:color="000000" w:sz="8" w:space="0"/>
              <w:bottom w:val="single" w:color="000000" w:sz="8" w:space="0"/>
              <w:right w:val="single" w:color="000000" w:sz="8" w:space="0"/>
            </w:tcBorders>
            <w:vAlign w:val="center"/>
          </w:tcPr>
          <w:p w14:paraId="2D1EE16C">
            <w:pPr>
              <w:pStyle w:val="38"/>
              <w:keepNext w:val="0"/>
              <w:keepLines w:val="0"/>
              <w:pageBreakBefore w:val="0"/>
              <w:widowControl/>
              <w:kinsoku/>
              <w:wordWrap/>
              <w:overflowPunct/>
              <w:topLinePunct w:val="0"/>
              <w:bidi w:val="0"/>
              <w:adjustRightInd/>
              <w:snapToGrid/>
              <w:spacing w:afterAutospacing="0" w:line="360" w:lineRule="auto"/>
              <w:ind w:left="0" w:firstLine="0" w:firstLineChars="0"/>
              <w:textAlignment w:val="auto"/>
              <w:rPr>
                <w:kern w:val="0"/>
                <w:szCs w:val="20"/>
              </w:rPr>
            </w:pPr>
            <w:r>
              <w:rPr>
                <w:kern w:val="0"/>
                <w:szCs w:val="20"/>
              </w:rPr>
              <w:t>无</w:t>
            </w:r>
            <w:r>
              <w:rPr>
                <w:kern w:val="0"/>
                <w:szCs w:val="20"/>
                <w:lang w:val="en-US" w:eastAsia="zh-CN"/>
              </w:rPr>
              <w:t>进展</w:t>
            </w:r>
            <w:r>
              <w:rPr>
                <w:kern w:val="0"/>
                <w:szCs w:val="20"/>
              </w:rPr>
              <w:t>，生活质量评分提升20%~29%</w:t>
            </w:r>
          </w:p>
        </w:tc>
      </w:tr>
      <w:tr w14:paraId="44131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44" w:hRule="atLeast"/>
          <w:jc w:val="center"/>
        </w:trPr>
        <w:tc>
          <w:tcPr>
            <w:tcW w:w="1046" w:type="dxa"/>
            <w:tcBorders>
              <w:top w:val="single" w:color="000000" w:sz="8" w:space="0"/>
              <w:left w:val="single" w:color="000000" w:sz="8" w:space="0"/>
              <w:bottom w:val="single" w:color="000000" w:sz="8" w:space="0"/>
              <w:right w:val="single" w:color="000000" w:sz="8" w:space="0"/>
            </w:tcBorders>
            <w:vAlign w:val="center"/>
          </w:tcPr>
          <w:p w14:paraId="44D8A8CD">
            <w:pPr>
              <w:pStyle w:val="38"/>
              <w:keepNext w:val="0"/>
              <w:keepLines w:val="0"/>
              <w:pageBreakBefore w:val="0"/>
              <w:widowControl/>
              <w:kinsoku/>
              <w:wordWrap/>
              <w:overflowPunct/>
              <w:topLinePunct w:val="0"/>
              <w:bidi w:val="0"/>
              <w:adjustRightInd/>
              <w:snapToGrid/>
              <w:spacing w:afterAutospacing="0" w:line="360" w:lineRule="auto"/>
              <w:ind w:left="0" w:firstLine="0" w:firstLineChars="0"/>
              <w:textAlignment w:val="auto"/>
              <w:rPr>
                <w:kern w:val="0"/>
                <w:szCs w:val="20"/>
              </w:rPr>
            </w:pPr>
            <w:r>
              <w:rPr>
                <w:kern w:val="0"/>
                <w:szCs w:val="20"/>
              </w:rPr>
              <w:t>稳定</w:t>
            </w:r>
          </w:p>
        </w:tc>
        <w:tc>
          <w:tcPr>
            <w:tcW w:w="1669" w:type="dxa"/>
            <w:tcBorders>
              <w:top w:val="single" w:color="000000" w:sz="8" w:space="0"/>
              <w:left w:val="single" w:color="000000" w:sz="8" w:space="0"/>
              <w:bottom w:val="single" w:color="000000" w:sz="8" w:space="0"/>
              <w:right w:val="single" w:color="000000" w:sz="8" w:space="0"/>
            </w:tcBorders>
            <w:vAlign w:val="center"/>
          </w:tcPr>
          <w:p w14:paraId="6D46F53A">
            <w:pPr>
              <w:pStyle w:val="38"/>
              <w:keepNext w:val="0"/>
              <w:keepLines w:val="0"/>
              <w:pageBreakBefore w:val="0"/>
              <w:widowControl/>
              <w:kinsoku/>
              <w:wordWrap/>
              <w:overflowPunct/>
              <w:topLinePunct w:val="0"/>
              <w:bidi w:val="0"/>
              <w:adjustRightInd/>
              <w:snapToGrid/>
              <w:spacing w:afterAutospacing="0" w:line="360" w:lineRule="auto"/>
              <w:ind w:left="0" w:firstLine="0" w:firstLineChars="0"/>
              <w:textAlignment w:val="auto"/>
              <w:rPr>
                <w:kern w:val="0"/>
                <w:szCs w:val="20"/>
              </w:rPr>
            </w:pPr>
            <w:r>
              <w:rPr>
                <w:kern w:val="0"/>
                <w:szCs w:val="20"/>
              </w:rPr>
              <w:t>变化＜5°</w:t>
            </w:r>
          </w:p>
        </w:tc>
        <w:tc>
          <w:tcPr>
            <w:tcW w:w="2869" w:type="dxa"/>
            <w:tcBorders>
              <w:top w:val="single" w:color="000000" w:sz="8" w:space="0"/>
              <w:left w:val="single" w:color="000000" w:sz="8" w:space="0"/>
              <w:bottom w:val="single" w:color="000000" w:sz="8" w:space="0"/>
              <w:right w:val="single" w:color="000000" w:sz="8" w:space="0"/>
            </w:tcBorders>
            <w:vAlign w:val="center"/>
          </w:tcPr>
          <w:p w14:paraId="7325C800">
            <w:pPr>
              <w:pStyle w:val="38"/>
              <w:keepNext w:val="0"/>
              <w:keepLines w:val="0"/>
              <w:pageBreakBefore w:val="0"/>
              <w:widowControl/>
              <w:kinsoku/>
              <w:wordWrap/>
              <w:overflowPunct/>
              <w:topLinePunct w:val="0"/>
              <w:bidi w:val="0"/>
              <w:adjustRightInd/>
              <w:snapToGrid/>
              <w:spacing w:afterAutospacing="0" w:line="360" w:lineRule="auto"/>
              <w:ind w:left="0" w:firstLine="0" w:firstLineChars="0"/>
              <w:textAlignment w:val="auto"/>
              <w:rPr>
                <w:kern w:val="0"/>
                <w:szCs w:val="20"/>
              </w:rPr>
            </w:pPr>
            <w:r>
              <w:rPr>
                <w:kern w:val="0"/>
                <w:szCs w:val="20"/>
              </w:rPr>
              <w:t>证候积分减少30%~69%，症状有好转</w:t>
            </w:r>
          </w:p>
        </w:tc>
        <w:tc>
          <w:tcPr>
            <w:tcW w:w="2553" w:type="dxa"/>
            <w:tcBorders>
              <w:top w:val="single" w:color="000000" w:sz="8" w:space="0"/>
              <w:left w:val="single" w:color="000000" w:sz="8" w:space="0"/>
              <w:bottom w:val="single" w:color="000000" w:sz="8" w:space="0"/>
              <w:right w:val="single" w:color="000000" w:sz="8" w:space="0"/>
            </w:tcBorders>
            <w:vAlign w:val="center"/>
          </w:tcPr>
          <w:p w14:paraId="64687C17">
            <w:pPr>
              <w:pStyle w:val="38"/>
              <w:keepNext w:val="0"/>
              <w:keepLines w:val="0"/>
              <w:pageBreakBefore w:val="0"/>
              <w:widowControl/>
              <w:kinsoku/>
              <w:wordWrap/>
              <w:overflowPunct/>
              <w:topLinePunct w:val="0"/>
              <w:bidi w:val="0"/>
              <w:adjustRightInd/>
              <w:snapToGrid/>
              <w:spacing w:afterAutospacing="0" w:line="360" w:lineRule="auto"/>
              <w:ind w:left="0" w:firstLine="0" w:firstLineChars="0"/>
              <w:textAlignment w:val="auto"/>
              <w:rPr>
                <w:kern w:val="0"/>
                <w:szCs w:val="20"/>
              </w:rPr>
            </w:pPr>
            <w:r>
              <w:rPr>
                <w:kern w:val="0"/>
                <w:szCs w:val="20"/>
              </w:rPr>
              <w:t>轻度</w:t>
            </w:r>
            <w:r>
              <w:rPr>
                <w:kern w:val="0"/>
                <w:szCs w:val="20"/>
                <w:lang w:val="en-US" w:eastAsia="zh-CN"/>
              </w:rPr>
              <w:t>进展</w:t>
            </w:r>
            <w:r>
              <w:rPr>
                <w:kern w:val="0"/>
                <w:szCs w:val="20"/>
              </w:rPr>
              <w:t>（</w:t>
            </w:r>
            <w:r>
              <w:rPr>
                <w:kern w:val="0"/>
                <w:szCs w:val="20"/>
                <w:lang w:val="en-US" w:eastAsia="zh-CN"/>
              </w:rPr>
              <w:t>Cobb角增加&lt;5°</w:t>
            </w:r>
            <w:r>
              <w:rPr>
                <w:kern w:val="0"/>
                <w:szCs w:val="20"/>
              </w:rPr>
              <w:t>），生活质量评分提升10%~19%</w:t>
            </w:r>
          </w:p>
        </w:tc>
      </w:tr>
      <w:tr w14:paraId="7D93A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44" w:hRule="atLeast"/>
          <w:jc w:val="center"/>
        </w:trPr>
        <w:tc>
          <w:tcPr>
            <w:tcW w:w="1046" w:type="dxa"/>
            <w:tcBorders>
              <w:top w:val="single" w:color="000000" w:sz="8" w:space="0"/>
              <w:left w:val="single" w:color="000000" w:sz="8" w:space="0"/>
              <w:bottom w:val="single" w:color="000000" w:sz="8" w:space="0"/>
              <w:right w:val="single" w:color="000000" w:sz="8" w:space="0"/>
            </w:tcBorders>
            <w:vAlign w:val="center"/>
          </w:tcPr>
          <w:p w14:paraId="3B7BD11D">
            <w:pPr>
              <w:pStyle w:val="38"/>
              <w:keepNext w:val="0"/>
              <w:keepLines w:val="0"/>
              <w:pageBreakBefore w:val="0"/>
              <w:widowControl/>
              <w:kinsoku/>
              <w:wordWrap/>
              <w:overflowPunct/>
              <w:topLinePunct w:val="0"/>
              <w:bidi w:val="0"/>
              <w:adjustRightInd/>
              <w:snapToGrid/>
              <w:spacing w:afterAutospacing="0" w:line="360" w:lineRule="auto"/>
              <w:ind w:left="0" w:firstLine="0" w:firstLineChars="0"/>
              <w:textAlignment w:val="auto"/>
              <w:rPr>
                <w:kern w:val="0"/>
                <w:szCs w:val="20"/>
              </w:rPr>
            </w:pPr>
            <w:r>
              <w:rPr>
                <w:kern w:val="0"/>
                <w:szCs w:val="20"/>
              </w:rPr>
              <w:t>无效</w:t>
            </w:r>
          </w:p>
        </w:tc>
        <w:tc>
          <w:tcPr>
            <w:tcW w:w="1669" w:type="dxa"/>
            <w:tcBorders>
              <w:top w:val="single" w:color="000000" w:sz="8" w:space="0"/>
              <w:left w:val="single" w:color="000000" w:sz="8" w:space="0"/>
              <w:bottom w:val="single" w:color="000000" w:sz="8" w:space="0"/>
              <w:right w:val="single" w:color="000000" w:sz="8" w:space="0"/>
            </w:tcBorders>
            <w:vAlign w:val="center"/>
          </w:tcPr>
          <w:p w14:paraId="0784EDEE">
            <w:pPr>
              <w:pStyle w:val="38"/>
              <w:keepNext w:val="0"/>
              <w:keepLines w:val="0"/>
              <w:pageBreakBefore w:val="0"/>
              <w:widowControl/>
              <w:kinsoku/>
              <w:wordWrap/>
              <w:overflowPunct/>
              <w:topLinePunct w:val="0"/>
              <w:bidi w:val="0"/>
              <w:adjustRightInd/>
              <w:snapToGrid/>
              <w:spacing w:afterAutospacing="0" w:line="360" w:lineRule="auto"/>
              <w:ind w:left="0" w:firstLine="0" w:firstLineChars="0"/>
              <w:textAlignment w:val="auto"/>
              <w:rPr>
                <w:kern w:val="0"/>
                <w:szCs w:val="20"/>
              </w:rPr>
            </w:pPr>
            <w:r>
              <w:rPr>
                <w:kern w:val="0"/>
                <w:szCs w:val="20"/>
              </w:rPr>
              <w:t>增加≥5°</w:t>
            </w:r>
          </w:p>
        </w:tc>
        <w:tc>
          <w:tcPr>
            <w:tcW w:w="2869" w:type="dxa"/>
            <w:tcBorders>
              <w:top w:val="single" w:color="000000" w:sz="8" w:space="0"/>
              <w:left w:val="single" w:color="000000" w:sz="8" w:space="0"/>
              <w:bottom w:val="single" w:color="000000" w:sz="8" w:space="0"/>
              <w:right w:val="single" w:color="000000" w:sz="8" w:space="0"/>
            </w:tcBorders>
            <w:vAlign w:val="center"/>
          </w:tcPr>
          <w:p w14:paraId="616EC4C5">
            <w:pPr>
              <w:pStyle w:val="38"/>
              <w:keepNext w:val="0"/>
              <w:keepLines w:val="0"/>
              <w:pageBreakBefore w:val="0"/>
              <w:widowControl/>
              <w:kinsoku/>
              <w:wordWrap/>
              <w:overflowPunct/>
              <w:topLinePunct w:val="0"/>
              <w:bidi w:val="0"/>
              <w:adjustRightInd/>
              <w:snapToGrid/>
              <w:spacing w:afterAutospacing="0" w:line="360" w:lineRule="auto"/>
              <w:ind w:left="0" w:firstLine="0" w:firstLineChars="0"/>
              <w:textAlignment w:val="auto"/>
              <w:rPr>
                <w:kern w:val="0"/>
                <w:szCs w:val="20"/>
              </w:rPr>
            </w:pPr>
            <w:r>
              <w:rPr>
                <w:kern w:val="0"/>
                <w:szCs w:val="20"/>
              </w:rPr>
              <w:t>证候积分减少＜30%，症状无改善或加重</w:t>
            </w:r>
          </w:p>
        </w:tc>
        <w:tc>
          <w:tcPr>
            <w:tcW w:w="2553" w:type="dxa"/>
            <w:tcBorders>
              <w:top w:val="single" w:color="000000" w:sz="8" w:space="0"/>
              <w:left w:val="single" w:color="000000" w:sz="8" w:space="0"/>
              <w:bottom w:val="single" w:color="000000" w:sz="8" w:space="0"/>
              <w:right w:val="single" w:color="000000" w:sz="8" w:space="0"/>
            </w:tcBorders>
            <w:vAlign w:val="center"/>
          </w:tcPr>
          <w:p w14:paraId="57959ECA">
            <w:pPr>
              <w:pStyle w:val="38"/>
              <w:keepNext w:val="0"/>
              <w:keepLines w:val="0"/>
              <w:pageBreakBefore w:val="0"/>
              <w:widowControl/>
              <w:kinsoku/>
              <w:wordWrap/>
              <w:overflowPunct/>
              <w:topLinePunct w:val="0"/>
              <w:bidi w:val="0"/>
              <w:adjustRightInd/>
              <w:snapToGrid/>
              <w:spacing w:afterAutospacing="0" w:line="360" w:lineRule="auto"/>
              <w:ind w:left="0" w:firstLine="0" w:firstLineChars="0"/>
              <w:textAlignment w:val="auto"/>
              <w:rPr>
                <w:kern w:val="0"/>
                <w:szCs w:val="20"/>
              </w:rPr>
            </w:pPr>
            <w:r>
              <w:rPr>
                <w:kern w:val="0"/>
                <w:szCs w:val="20"/>
              </w:rPr>
              <w:t>重度</w:t>
            </w:r>
            <w:r>
              <w:rPr>
                <w:kern w:val="0"/>
                <w:szCs w:val="20"/>
                <w:lang w:val="en-US" w:eastAsia="zh-CN"/>
              </w:rPr>
              <w:t>进展</w:t>
            </w:r>
            <w:r>
              <w:rPr>
                <w:kern w:val="0"/>
                <w:szCs w:val="20"/>
              </w:rPr>
              <w:t>（</w:t>
            </w:r>
            <w:r>
              <w:rPr>
                <w:kern w:val="0"/>
                <w:szCs w:val="20"/>
                <w:lang w:val="en-US" w:eastAsia="zh-CN"/>
              </w:rPr>
              <w:t>CObb角</w:t>
            </w:r>
            <w:r>
              <w:rPr>
                <w:kern w:val="0"/>
                <w:szCs w:val="20"/>
              </w:rPr>
              <w:t>＞</w:t>
            </w:r>
            <w:r>
              <w:rPr>
                <w:kern w:val="0"/>
                <w:szCs w:val="20"/>
                <w:lang w:val="en-US" w:eastAsia="zh-CN"/>
              </w:rPr>
              <w:t>10°</w:t>
            </w:r>
            <w:r>
              <w:rPr>
                <w:kern w:val="0"/>
                <w:szCs w:val="20"/>
              </w:rPr>
              <w:t>），生活质量评分无提升或下降</w:t>
            </w:r>
          </w:p>
        </w:tc>
      </w:tr>
      <w:tr w14:paraId="35260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45" w:hRule="atLeast"/>
          <w:jc w:val="center"/>
        </w:trPr>
        <w:tc>
          <w:tcPr>
            <w:tcW w:w="8137" w:type="dxa"/>
            <w:gridSpan w:val="4"/>
            <w:tcBorders>
              <w:top w:val="single" w:color="000000" w:sz="8" w:space="0"/>
              <w:left w:val="single" w:color="000000" w:sz="8" w:space="0"/>
              <w:bottom w:val="single" w:color="000000" w:sz="8" w:space="0"/>
              <w:right w:val="single" w:color="000000" w:sz="8" w:space="0"/>
            </w:tcBorders>
            <w:vAlign w:val="center"/>
          </w:tcPr>
          <w:p w14:paraId="1B701F69">
            <w:pPr>
              <w:pStyle w:val="43"/>
              <w:keepNext w:val="0"/>
              <w:keepLines w:val="0"/>
              <w:pageBreakBefore w:val="0"/>
              <w:numPr>
                <w:ilvl w:val="0"/>
                <w:numId w:val="5"/>
              </w:numPr>
              <w:kinsoku/>
              <w:wordWrap/>
              <w:overflowPunct/>
              <w:topLinePunct w:val="0"/>
              <w:bidi w:val="0"/>
              <w:adjustRightInd/>
              <w:snapToGrid/>
              <w:spacing w:before="0" w:after="0" w:afterAutospacing="0" w:line="360" w:lineRule="auto"/>
              <w:ind w:left="0" w:firstLine="0" w:firstLineChars="0"/>
              <w:textAlignment w:val="auto"/>
              <w:rPr>
                <w:kern w:val="0"/>
              </w:rPr>
            </w:pPr>
            <w:r>
              <w:rPr>
                <w:kern w:val="0"/>
              </w:rPr>
              <w:t>尼莫地平法计算公式：证候积分改善率=（治疗前积分-治疗后积分）/治疗前积分×100%。</w:t>
            </w:r>
          </w:p>
        </w:tc>
      </w:tr>
    </w:tbl>
    <w:p w14:paraId="228A966B">
      <w:pPr>
        <w:pStyle w:val="35"/>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10.2</w:t>
      </w:r>
      <w:bookmarkStart w:id="15" w:name="_Toc208503244"/>
      <w:r>
        <w:rPr>
          <w:rFonts w:hint="eastAsia" w:asciiTheme="minorEastAsia" w:hAnsiTheme="minorEastAsia" w:eastAsiaTheme="minorEastAsia" w:cstheme="minorEastAsia"/>
          <w:sz w:val="28"/>
          <w:szCs w:val="28"/>
        </w:rPr>
        <w:t>评价方法与流程</w:t>
      </w:r>
      <w:bookmarkEnd w:id="15"/>
    </w:p>
    <w:p w14:paraId="12DD0FA0">
      <w:pPr>
        <w:pStyle w:val="35"/>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10.2.1评价方法</w:t>
      </w:r>
    </w:p>
    <w:p w14:paraId="52DE0D6F">
      <w:pPr>
        <w:pStyle w:val="35"/>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10.2.1.1客观指标测量</w:t>
      </w:r>
    </w:p>
    <w:p w14:paraId="333EE432">
      <w:pPr>
        <w:pStyle w:val="35"/>
        <w:keepNext w:val="0"/>
        <w:keepLines w:val="0"/>
        <w:pageBreakBefore w:val="0"/>
        <w:numPr>
          <w:ilvl w:val="0"/>
          <w:numId w:val="0"/>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由经过培训的医护人员统一测量</w:t>
      </w:r>
      <w:r>
        <w:rPr>
          <w:rFonts w:hint="eastAsia" w:asciiTheme="minorEastAsia" w:hAnsiTheme="minorEastAsia" w:eastAsiaTheme="minorEastAsia" w:cstheme="minorEastAsia"/>
          <w:sz w:val="28"/>
          <w:szCs w:val="28"/>
          <w:lang w:val="en-US" w:eastAsia="zh-CN"/>
        </w:rPr>
        <w:t>Cobb角、ATR值</w:t>
      </w:r>
      <w:r>
        <w:rPr>
          <w:rFonts w:hint="eastAsia" w:asciiTheme="minorEastAsia" w:hAnsiTheme="minorEastAsia" w:eastAsiaTheme="minorEastAsia" w:cstheme="minorEastAsia"/>
          <w:sz w:val="28"/>
          <w:szCs w:val="28"/>
        </w:rPr>
        <w:t>，使用校准后的仪器，测量前告知患者测量要求，确保数据准确。</w:t>
      </w:r>
    </w:p>
    <w:p w14:paraId="4C478807">
      <w:pPr>
        <w:pStyle w:val="35"/>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10.2.1.2中医证候评分</w:t>
      </w:r>
    </w:p>
    <w:p w14:paraId="286BEB6A">
      <w:pPr>
        <w:pStyle w:val="35"/>
        <w:keepNext w:val="0"/>
        <w:keepLines w:val="0"/>
        <w:pageBreakBefore w:val="0"/>
        <w:numPr>
          <w:ilvl w:val="0"/>
          <w:numId w:val="0"/>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由2名中医师独立对患者症状进行评分，取平均值作为最终积分，若评分差异＞2分，需共同讨论确定。</w:t>
      </w:r>
    </w:p>
    <w:p w14:paraId="311DA2AD">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10.2.1.3生活质量评分</w:t>
      </w:r>
    </w:p>
    <w:p w14:paraId="101F378E">
      <w:pPr>
        <w:pStyle w:val="41"/>
        <w:keepNext w:val="0"/>
        <w:keepLines w:val="0"/>
        <w:pageBreakBefore w:val="0"/>
        <w:numPr>
          <w:ilvl w:val="0"/>
          <w:numId w:val="0"/>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由患者自行填写《脊柱侧凸研究学会-22问卷</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SRS-22</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》，医护人员协助解释条目含义，避免理解偏差。</w:t>
      </w:r>
    </w:p>
    <w:p w14:paraId="60289415">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10.2.1.4远期疗效评价</w:t>
      </w:r>
    </w:p>
    <w:p w14:paraId="6F57307E">
      <w:pPr>
        <w:pStyle w:val="41"/>
        <w:keepNext w:val="0"/>
        <w:keepLines w:val="0"/>
        <w:pageBreakBefore w:val="0"/>
        <w:numPr>
          <w:ilvl w:val="0"/>
          <w:numId w:val="0"/>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随访期</w:t>
      </w:r>
      <w:r>
        <w:rPr>
          <w:rFonts w:hint="eastAsia" w:asciiTheme="minorEastAsia" w:hAnsiTheme="minorEastAsia" w:eastAsiaTheme="minorEastAsia" w:cstheme="minorEastAsia"/>
          <w:sz w:val="28"/>
          <w:szCs w:val="28"/>
          <w:lang w:val="en-US" w:eastAsia="zh-CN"/>
        </w:rPr>
        <w:t>3</w:t>
      </w:r>
      <w:r>
        <w:rPr>
          <w:rFonts w:hint="eastAsia" w:asciiTheme="minorEastAsia" w:hAnsiTheme="minorEastAsia" w:eastAsiaTheme="minorEastAsia" w:cstheme="minorEastAsia"/>
          <w:sz w:val="28"/>
          <w:szCs w:val="28"/>
        </w:rPr>
        <w:t>个月时，通过门诊复查随访完成</w:t>
      </w:r>
      <w:r>
        <w:rPr>
          <w:rFonts w:hint="eastAsia" w:asciiTheme="minorEastAsia" w:hAnsiTheme="minorEastAsia" w:eastAsiaTheme="minorEastAsia" w:cstheme="minorEastAsia"/>
          <w:sz w:val="28"/>
          <w:szCs w:val="28"/>
          <w:lang w:val="en-US" w:eastAsia="zh-CN"/>
        </w:rPr>
        <w:t>Cobb角</w:t>
      </w:r>
      <w:r>
        <w:rPr>
          <w:rFonts w:hint="eastAsia" w:asciiTheme="minorEastAsia" w:hAnsiTheme="minorEastAsia" w:eastAsiaTheme="minorEastAsia" w:cstheme="minorEastAsia"/>
          <w:sz w:val="28"/>
          <w:szCs w:val="28"/>
        </w:rPr>
        <w:t>测量、证候评分与生活质量评</w:t>
      </w:r>
      <w:r>
        <w:rPr>
          <w:rFonts w:hint="eastAsia" w:asciiTheme="minorEastAsia" w:hAnsiTheme="minorEastAsia" w:eastAsiaTheme="minorEastAsia" w:cstheme="minorEastAsia"/>
          <w:sz w:val="28"/>
          <w:szCs w:val="28"/>
          <w:lang w:val="en-US" w:eastAsia="zh-CN"/>
        </w:rPr>
        <w:t>分</w:t>
      </w:r>
      <w:r>
        <w:rPr>
          <w:rFonts w:hint="eastAsia" w:asciiTheme="minorEastAsia" w:hAnsiTheme="minorEastAsia" w:eastAsiaTheme="minorEastAsia" w:cstheme="minorEastAsia"/>
          <w:sz w:val="28"/>
          <w:szCs w:val="28"/>
        </w:rPr>
        <w:t>，失访患者需记录失访原因。</w:t>
      </w:r>
    </w:p>
    <w:p w14:paraId="6DDB6CE1">
      <w:pPr>
        <w:pStyle w:val="40"/>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10.</w:t>
      </w:r>
      <w:r>
        <w:rPr>
          <w:rFonts w:hint="eastAsia" w:asciiTheme="minorEastAsia" w:hAnsiTheme="minorEastAsia" w:eastAsiaTheme="minorEastAsia" w:cstheme="minorEastAsia"/>
          <w:sz w:val="28"/>
          <w:szCs w:val="28"/>
          <w:lang w:val="en-US" w:eastAsia="zh-CN"/>
        </w:rPr>
        <w:t>2.2</w:t>
      </w:r>
      <w:r>
        <w:rPr>
          <w:rFonts w:hint="eastAsia" w:asciiTheme="minorEastAsia" w:hAnsiTheme="minorEastAsia" w:eastAsiaTheme="minorEastAsia" w:cstheme="minorEastAsia"/>
          <w:sz w:val="28"/>
          <w:szCs w:val="28"/>
        </w:rPr>
        <w:t>评价流程</w:t>
      </w:r>
    </w:p>
    <w:p w14:paraId="3FD19830">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10.</w:t>
      </w:r>
      <w:r>
        <w:rPr>
          <w:rFonts w:hint="eastAsia" w:asciiTheme="minorEastAsia" w:hAnsiTheme="minorEastAsia" w:eastAsiaTheme="minorEastAsia" w:cstheme="minorEastAsia"/>
          <w:sz w:val="28"/>
          <w:szCs w:val="28"/>
          <w:lang w:val="en-US" w:eastAsia="zh-CN"/>
        </w:rPr>
        <w:t>2.2</w:t>
      </w:r>
      <w:r>
        <w:rPr>
          <w:rFonts w:hint="eastAsia" w:asciiTheme="minorEastAsia" w:hAnsiTheme="minorEastAsia" w:eastAsiaTheme="minorEastAsia" w:cstheme="minorEastAsia"/>
          <w:sz w:val="28"/>
          <w:szCs w:val="28"/>
        </w:rPr>
        <w:t>.1治疗前基线评估</w:t>
      </w:r>
    </w:p>
    <w:p w14:paraId="6FF4C460">
      <w:pPr>
        <w:pStyle w:val="41"/>
        <w:keepNext w:val="0"/>
        <w:keepLines w:val="0"/>
        <w:pageBreakBefore w:val="0"/>
        <w:numPr>
          <w:ilvl w:val="0"/>
          <w:numId w:val="0"/>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操作前1周内完成核心客观指标测量、中医证候评分、生活质量评</w:t>
      </w:r>
      <w:r>
        <w:rPr>
          <w:rFonts w:hint="eastAsia" w:asciiTheme="minorEastAsia" w:hAnsiTheme="minorEastAsia" w:eastAsiaTheme="minorEastAsia" w:cstheme="minorEastAsia"/>
          <w:sz w:val="28"/>
          <w:szCs w:val="28"/>
          <w:lang w:val="en-US" w:eastAsia="zh-CN"/>
        </w:rPr>
        <w:t>分</w:t>
      </w:r>
      <w:r>
        <w:rPr>
          <w:rFonts w:hint="eastAsia" w:asciiTheme="minorEastAsia" w:hAnsiTheme="minorEastAsia" w:eastAsiaTheme="minorEastAsia" w:cstheme="minorEastAsia"/>
          <w:sz w:val="28"/>
          <w:szCs w:val="28"/>
        </w:rPr>
        <w:t>，建立患者疗效评价基线档案。</w:t>
      </w:r>
    </w:p>
    <w:p w14:paraId="6744F685">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10.</w:t>
      </w: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rPr>
        <w:t>治疗期阶段性评估</w:t>
      </w:r>
    </w:p>
    <w:p w14:paraId="563C0014">
      <w:pPr>
        <w:pStyle w:val="41"/>
        <w:keepNext w:val="0"/>
        <w:keepLines w:val="0"/>
        <w:pageBreakBefore w:val="0"/>
        <w:numPr>
          <w:ilvl w:val="0"/>
          <w:numId w:val="0"/>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每完成</w:t>
      </w:r>
      <w:r>
        <w:rPr>
          <w:rFonts w:hint="eastAsia" w:asciiTheme="minorEastAsia" w:hAnsiTheme="minorEastAsia" w:eastAsiaTheme="minorEastAsia" w:cstheme="minorEastAsia"/>
          <w:sz w:val="28"/>
          <w:szCs w:val="28"/>
          <w:lang w:val="en-US" w:eastAsia="zh-CN"/>
        </w:rPr>
        <w:t>1个阶段</w:t>
      </w:r>
      <w:r>
        <w:rPr>
          <w:rFonts w:hint="eastAsia" w:asciiTheme="minorEastAsia" w:hAnsiTheme="minorEastAsia" w:eastAsiaTheme="minorEastAsia" w:cstheme="minorEastAsia"/>
          <w:sz w:val="28"/>
          <w:szCs w:val="28"/>
        </w:rPr>
        <w:t>治疗后，进行1次阶段性评估，测量</w:t>
      </w:r>
      <w:r>
        <w:rPr>
          <w:rFonts w:hint="eastAsia" w:asciiTheme="minorEastAsia" w:hAnsiTheme="minorEastAsia" w:eastAsiaTheme="minorEastAsia" w:cstheme="minorEastAsia"/>
          <w:sz w:val="28"/>
          <w:szCs w:val="28"/>
          <w:lang w:val="en-US" w:eastAsia="zh-CN"/>
        </w:rPr>
        <w:t>Cobb角</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ATR</w:t>
      </w:r>
      <w:r>
        <w:rPr>
          <w:rFonts w:hint="eastAsia" w:asciiTheme="minorEastAsia" w:hAnsiTheme="minorEastAsia" w:eastAsiaTheme="minorEastAsia" w:cstheme="minorEastAsia"/>
          <w:sz w:val="28"/>
          <w:szCs w:val="28"/>
        </w:rPr>
        <w:t>，评估症状改善情况，调整治疗方案。</w:t>
      </w:r>
    </w:p>
    <w:p w14:paraId="24B6C436">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10.</w:t>
      </w: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rPr>
        <w:t>3治疗结束后疗效评价</w:t>
      </w:r>
    </w:p>
    <w:p w14:paraId="4084FA23">
      <w:pPr>
        <w:pStyle w:val="41"/>
        <w:keepNext w:val="0"/>
        <w:keepLines w:val="0"/>
        <w:pageBreakBefore w:val="0"/>
        <w:numPr>
          <w:ilvl w:val="0"/>
          <w:numId w:val="0"/>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完成治疗期（</w:t>
      </w:r>
      <w:r>
        <w:rPr>
          <w:rFonts w:hint="eastAsia" w:asciiTheme="minorEastAsia" w:hAnsiTheme="minorEastAsia" w:eastAsiaTheme="minorEastAsia" w:cstheme="minorEastAsia"/>
          <w:sz w:val="28"/>
          <w:szCs w:val="28"/>
          <w:lang w:val="en-US" w:eastAsia="zh-CN"/>
        </w:rPr>
        <w:t>3个阶段</w:t>
      </w:r>
      <w:r>
        <w:rPr>
          <w:rFonts w:hint="eastAsia" w:asciiTheme="minorEastAsia" w:hAnsiTheme="minorEastAsia" w:eastAsiaTheme="minorEastAsia" w:cstheme="minorEastAsia"/>
          <w:sz w:val="28"/>
          <w:szCs w:val="28"/>
        </w:rPr>
        <w:t>）与巩固期（</w:t>
      </w:r>
      <w:r>
        <w:rPr>
          <w:rFonts w:hint="eastAsia" w:asciiTheme="minorEastAsia" w:hAnsiTheme="minorEastAsia" w:eastAsiaTheme="minorEastAsia" w:cstheme="minorEastAsia"/>
          <w:sz w:val="28"/>
          <w:szCs w:val="28"/>
          <w:lang w:val="en-US" w:eastAsia="zh-CN"/>
        </w:rPr>
        <w:t>2各阶段</w:t>
      </w:r>
      <w:r>
        <w:rPr>
          <w:rFonts w:hint="eastAsia" w:asciiTheme="minorEastAsia" w:hAnsiTheme="minorEastAsia" w:eastAsiaTheme="minorEastAsia" w:cstheme="minorEastAsia"/>
          <w:sz w:val="28"/>
          <w:szCs w:val="28"/>
        </w:rPr>
        <w:t>）后1周内，进行全面疗效评价，包括核心客观指标、中医证候积分、生活质量评分，确定疗效等级。</w:t>
      </w:r>
    </w:p>
    <w:p w14:paraId="225629C7">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10.</w:t>
      </w: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rPr>
        <w:t>4随访期远期疗效评价</w:t>
      </w:r>
    </w:p>
    <w:p w14:paraId="4AA7744A">
      <w:pPr>
        <w:pStyle w:val="41"/>
        <w:keepNext w:val="0"/>
        <w:keepLines w:val="0"/>
        <w:pageBreakBefore w:val="0"/>
        <w:numPr>
          <w:ilvl w:val="0"/>
          <w:numId w:val="0"/>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随访期</w:t>
      </w:r>
      <w:r>
        <w:rPr>
          <w:rFonts w:hint="eastAsia" w:asciiTheme="minorEastAsia" w:hAnsiTheme="minorEastAsia" w:eastAsiaTheme="minorEastAsia" w:cstheme="minorEastAsia"/>
          <w:sz w:val="28"/>
          <w:szCs w:val="28"/>
          <w:lang w:val="en-US" w:eastAsia="zh-CN"/>
        </w:rPr>
        <w:t>3</w:t>
      </w:r>
      <w:r>
        <w:rPr>
          <w:rFonts w:hint="eastAsia" w:asciiTheme="minorEastAsia" w:hAnsiTheme="minorEastAsia" w:eastAsiaTheme="minorEastAsia" w:cstheme="minorEastAsia"/>
          <w:sz w:val="28"/>
          <w:szCs w:val="28"/>
        </w:rPr>
        <w:t>个月时，进行远期疗效评价，测量</w:t>
      </w:r>
      <w:r>
        <w:rPr>
          <w:rFonts w:hint="eastAsia" w:asciiTheme="minorEastAsia" w:hAnsiTheme="minorEastAsia" w:eastAsiaTheme="minorEastAsia" w:cstheme="minorEastAsia"/>
          <w:sz w:val="28"/>
          <w:szCs w:val="28"/>
          <w:lang w:val="en-US" w:eastAsia="zh-CN"/>
        </w:rPr>
        <w:t>Cobb角</w:t>
      </w:r>
      <w:r>
        <w:rPr>
          <w:rFonts w:hint="eastAsia" w:asciiTheme="minorEastAsia" w:hAnsiTheme="minorEastAsia" w:eastAsiaTheme="minorEastAsia" w:cstheme="minorEastAsia"/>
          <w:sz w:val="28"/>
          <w:szCs w:val="28"/>
        </w:rPr>
        <w:t>、评估</w:t>
      </w:r>
      <w:r>
        <w:rPr>
          <w:rFonts w:hint="eastAsia" w:asciiTheme="minorEastAsia" w:hAnsiTheme="minorEastAsia" w:eastAsiaTheme="minorEastAsia" w:cstheme="minorEastAsia"/>
          <w:sz w:val="28"/>
          <w:szCs w:val="28"/>
          <w:lang w:val="en-US" w:eastAsia="zh-CN"/>
        </w:rPr>
        <w:t>进展</w:t>
      </w:r>
      <w:r>
        <w:rPr>
          <w:rFonts w:hint="eastAsia" w:asciiTheme="minorEastAsia" w:hAnsiTheme="minorEastAsia" w:eastAsiaTheme="minorEastAsia" w:cstheme="minorEastAsia"/>
          <w:sz w:val="28"/>
          <w:szCs w:val="28"/>
        </w:rPr>
        <w:t>情况与生活质量，总结远期疗效，形成《青少年脊柱侧弯预防与临床干预疗效评价报告》。</w:t>
      </w:r>
    </w:p>
    <w:p w14:paraId="239A3072">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10.</w:t>
      </w:r>
      <w:r>
        <w:rPr>
          <w:rFonts w:hint="eastAsia" w:asciiTheme="minorEastAsia" w:hAnsiTheme="minorEastAsia" w:eastAsiaTheme="minorEastAsia" w:cstheme="minorEastAsia"/>
          <w:sz w:val="28"/>
          <w:szCs w:val="28"/>
          <w:lang w:val="en-US" w:eastAsia="zh-CN"/>
        </w:rPr>
        <w:t>3</w:t>
      </w:r>
      <w:r>
        <w:rPr>
          <w:rFonts w:hint="eastAsia" w:asciiTheme="minorEastAsia" w:hAnsiTheme="minorEastAsia" w:eastAsiaTheme="minorEastAsia" w:cstheme="minorEastAsia"/>
          <w:sz w:val="28"/>
          <w:szCs w:val="28"/>
        </w:rPr>
        <w:t>疗效</w:t>
      </w:r>
      <w:bookmarkStart w:id="16" w:name="_Toc208503245"/>
      <w:r>
        <w:rPr>
          <w:rFonts w:hint="eastAsia" w:asciiTheme="minorEastAsia" w:hAnsiTheme="minorEastAsia" w:eastAsiaTheme="minorEastAsia" w:cstheme="minorEastAsia"/>
          <w:sz w:val="28"/>
          <w:szCs w:val="28"/>
        </w:rPr>
        <w:t>评价记录与存档</w:t>
      </w:r>
      <w:bookmarkEnd w:id="16"/>
    </w:p>
    <w:p w14:paraId="507917C5">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10.</w:t>
      </w:r>
      <w:r>
        <w:rPr>
          <w:rFonts w:hint="eastAsia" w:asciiTheme="minorEastAsia" w:hAnsiTheme="minorEastAsia" w:eastAsiaTheme="minorEastAsia" w:cstheme="minorEastAsia"/>
          <w:sz w:val="28"/>
          <w:szCs w:val="28"/>
          <w:lang w:val="en-US" w:eastAsia="zh-CN"/>
        </w:rPr>
        <w:t>3</w:t>
      </w:r>
      <w:r>
        <w:rPr>
          <w:rFonts w:hint="eastAsia" w:asciiTheme="minorEastAsia" w:hAnsiTheme="minorEastAsia" w:eastAsiaTheme="minorEastAsia" w:cstheme="minorEastAsia"/>
          <w:sz w:val="28"/>
          <w:szCs w:val="28"/>
        </w:rPr>
        <w:t>.1记录要求</w:t>
      </w:r>
    </w:p>
    <w:p w14:paraId="4289314C">
      <w:pPr>
        <w:pStyle w:val="41"/>
        <w:keepNext w:val="0"/>
        <w:keepLines w:val="0"/>
        <w:pageBreakBefore w:val="0"/>
        <w:numPr>
          <w:ilvl w:val="0"/>
          <w:numId w:val="0"/>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所有疗效评价数据需记录在《青少年脊柱侧弯预防与临床干预疗效评价记录表》中，包括测量时间、数据、评价人员签字，数据无涂改，字迹清晰。</w:t>
      </w:r>
    </w:p>
    <w:p w14:paraId="05F4F447">
      <w:pPr>
        <w:pStyle w:val="41"/>
        <w:keepNext w:val="0"/>
        <w:keepLines w:val="0"/>
        <w:pageBreakBefore w:val="0"/>
        <w:numPr>
          <w:ilvl w:val="0"/>
          <w:numId w:val="0"/>
        </w:numPr>
        <w:kinsoku/>
        <w:wordWrap/>
        <w:overflowPunct/>
        <w:topLinePunct w:val="0"/>
        <w:bidi w:val="0"/>
        <w:spacing w:before="0" w:after="0" w:afterAutospacing="0"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10.</w:t>
      </w:r>
      <w:r>
        <w:rPr>
          <w:rFonts w:hint="eastAsia" w:asciiTheme="minorEastAsia" w:hAnsiTheme="minorEastAsia" w:eastAsiaTheme="minorEastAsia" w:cstheme="minorEastAsia"/>
          <w:sz w:val="28"/>
          <w:szCs w:val="28"/>
          <w:lang w:val="en-US" w:eastAsia="zh-CN"/>
        </w:rPr>
        <w:t>3</w:t>
      </w:r>
      <w:r>
        <w:rPr>
          <w:rFonts w:hint="eastAsia" w:asciiTheme="minorEastAsia" w:hAnsiTheme="minorEastAsia" w:eastAsiaTheme="minorEastAsia" w:cstheme="minorEastAsia"/>
          <w:sz w:val="28"/>
          <w:szCs w:val="28"/>
        </w:rPr>
        <w:t>.2存档要求</w:t>
      </w:r>
    </w:p>
    <w:p w14:paraId="7EF1B32D">
      <w:pPr>
        <w:pStyle w:val="41"/>
        <w:keepNext w:val="0"/>
        <w:keepLines w:val="0"/>
        <w:pageBreakBefore w:val="0"/>
        <w:numPr>
          <w:ilvl w:val="0"/>
          <w:numId w:val="0"/>
        </w:numPr>
        <w:kinsoku/>
        <w:wordWrap/>
        <w:overflowPunct/>
        <w:topLinePunct w:val="0"/>
        <w:bidi w:val="0"/>
        <w:spacing w:before="0" w:after="0" w:afterAutospacing="0" w:line="360" w:lineRule="auto"/>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疗效评价记录与患者治疗记录、随访记录一并存档，保存期限≥3年（从治疗结束之日起），便于后续疗效分析与质量追溯。</w:t>
      </w:r>
    </w:p>
    <w:p w14:paraId="16156843">
      <w:pPr>
        <w:keepNext w:val="0"/>
        <w:keepLines w:val="0"/>
        <w:pageBreakBefore w:val="0"/>
        <w:kinsoku/>
        <w:wordWrap/>
        <w:overflowPunct/>
        <w:topLinePunct w:val="0"/>
        <w:autoSpaceDE w:val="0"/>
        <w:autoSpaceDN w:val="0"/>
        <w:bidi w:val="0"/>
        <w:adjustRightInd w:val="0"/>
        <w:spacing w:afterAutospacing="0" w:line="360" w:lineRule="auto"/>
        <w:ind w:left="0" w:leftChars="0" w:firstLine="0" w:firstLineChars="0"/>
        <w:jc w:val="left"/>
        <w:outlineLvl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10.</w:t>
      </w:r>
      <w:r>
        <w:rPr>
          <w:rFonts w:hint="eastAsia" w:asciiTheme="minorEastAsia" w:hAnsiTheme="minorEastAsia" w:eastAsiaTheme="minorEastAsia" w:cstheme="minorEastAsia"/>
          <w:sz w:val="28"/>
          <w:szCs w:val="28"/>
          <w:lang w:val="en-US" w:eastAsia="zh-CN"/>
        </w:rPr>
        <w:t>3</w:t>
      </w:r>
      <w:r>
        <w:rPr>
          <w:rFonts w:hint="eastAsia" w:asciiTheme="minorEastAsia" w:hAnsiTheme="minorEastAsia" w:eastAsiaTheme="minorEastAsia" w:cstheme="minorEastAsia"/>
          <w:sz w:val="28"/>
          <w:szCs w:val="28"/>
        </w:rPr>
        <w:t>.3数据分析</w:t>
      </w:r>
    </w:p>
    <w:p w14:paraId="5B9EAC60">
      <w:pPr>
        <w:keepNext w:val="0"/>
        <w:keepLines w:val="0"/>
        <w:pageBreakBefore w:val="0"/>
        <w:kinsoku/>
        <w:wordWrap/>
        <w:overflowPunct/>
        <w:topLinePunct w:val="0"/>
        <w:autoSpaceDE w:val="0"/>
        <w:autoSpaceDN w:val="0"/>
        <w:bidi w:val="0"/>
        <w:adjustRightInd w:val="0"/>
        <w:spacing w:afterAutospacing="0" w:line="360" w:lineRule="auto"/>
        <w:ind w:left="0" w:leftChars="0" w:firstLine="560" w:firstLineChars="200"/>
        <w:jc w:val="left"/>
        <w:outlineLvl w:val="0"/>
      </w:pPr>
      <w:r>
        <w:rPr>
          <w:rFonts w:hint="eastAsia" w:asciiTheme="minorEastAsia" w:hAnsiTheme="minorEastAsia" w:eastAsiaTheme="minorEastAsia" w:cstheme="minorEastAsia"/>
          <w:sz w:val="28"/>
          <w:szCs w:val="28"/>
        </w:rPr>
        <w:t>医疗机构每季度对疗效数据进行汇总分析，统计总有效率（显效+有效</w:t>
      </w:r>
      <w:r>
        <w:rPr>
          <w:rFonts w:hint="eastAsia" w:asciiTheme="minorEastAsia" w:hAnsiTheme="minorEastAsia" w:eastAsiaTheme="minorEastAsia" w:cstheme="minorEastAsia"/>
          <w:sz w:val="28"/>
          <w:szCs w:val="28"/>
          <w:lang w:val="en-US" w:eastAsia="zh-CN"/>
        </w:rPr>
        <w:t>+稳定</w:t>
      </w:r>
      <w:r>
        <w:rPr>
          <w:rFonts w:hint="eastAsia" w:asciiTheme="minorEastAsia" w:hAnsiTheme="minorEastAsia" w:eastAsiaTheme="minorEastAsia" w:cstheme="minorEastAsia"/>
          <w:sz w:val="28"/>
          <w:szCs w:val="28"/>
        </w:rPr>
        <w:t>患者数/总患者数×100%）、各证型疗效差异，查找疗效不佳的原因，持续改进治疗方案。</w:t>
      </w:r>
    </w:p>
    <w:p w14:paraId="5F8CE3F2">
      <w:pPr>
        <w:keepNext w:val="0"/>
        <w:keepLines w:val="0"/>
        <w:pageBreakBefore w:val="0"/>
        <w:kinsoku/>
        <w:wordWrap/>
        <w:overflowPunct/>
        <w:topLinePunct w:val="0"/>
        <w:autoSpaceDE w:val="0"/>
        <w:autoSpaceDN w:val="0"/>
        <w:bidi w:val="0"/>
        <w:adjustRightInd w:val="0"/>
        <w:spacing w:afterAutospacing="0" w:line="360" w:lineRule="auto"/>
        <w:ind w:firstLine="560" w:firstLineChars="200"/>
        <w:jc w:val="left"/>
        <w:outlineLvl w:val="0"/>
        <w:rPr>
          <w:rFonts w:hint="eastAsia" w:ascii="黑体" w:hAnsi="黑体" w:eastAsia="黑体"/>
          <w:szCs w:val="28"/>
          <w:lang w:val="en-US" w:eastAsia="zh-CN"/>
        </w:rPr>
      </w:pPr>
      <w:r>
        <w:rPr>
          <w:rFonts w:ascii="黑体" w:hAnsi="黑体" w:eastAsia="黑体"/>
          <w:szCs w:val="28"/>
        </w:rPr>
        <w:t>三、</w:t>
      </w:r>
      <w:r>
        <w:rPr>
          <w:rFonts w:hint="eastAsia" w:ascii="黑体" w:hAnsi="黑体" w:eastAsia="黑体"/>
          <w:szCs w:val="28"/>
        </w:rPr>
        <w:t>标准预期的社会</w:t>
      </w:r>
      <w:r>
        <w:rPr>
          <w:rFonts w:hint="eastAsia" w:ascii="黑体" w:hAnsi="黑体" w:eastAsia="黑体"/>
          <w:szCs w:val="28"/>
          <w:lang w:val="en-US" w:eastAsia="zh-CN"/>
        </w:rPr>
        <w:t>效益</w:t>
      </w:r>
    </w:p>
    <w:p w14:paraId="445A8853">
      <w:pPr>
        <w:pStyle w:val="31"/>
        <w:keepNext w:val="0"/>
        <w:keepLines w:val="0"/>
        <w:pageBreakBefore w:val="0"/>
        <w:kinsoku/>
        <w:wordWrap/>
        <w:overflowPunct/>
        <w:topLinePunct w:val="0"/>
        <w:bidi w:val="0"/>
        <w:adjustRightInd w:val="0"/>
        <w:snapToGrid w:val="0"/>
        <w:spacing w:afterAutospacing="0" w:line="360" w:lineRule="auto"/>
        <w:ind w:firstLine="560" w:firstLineChars="200"/>
        <w:rPr>
          <w:rFonts w:hint="eastAsia" w:ascii="Times New Roman" w:hAnsi="Times New Roman" w:eastAsia="宋体" w:cs="Times New Roman"/>
          <w:kern w:val="2"/>
          <w:position w:val="-24"/>
          <w:sz w:val="28"/>
          <w:szCs w:val="24"/>
          <w:lang w:val="en-US" w:eastAsia="zh-CN" w:bidi="ar-SA"/>
        </w:rPr>
      </w:pPr>
      <w:r>
        <w:rPr>
          <w:rFonts w:hint="eastAsia" w:ascii="Times New Roman" w:hAnsi="Times New Roman" w:eastAsia="宋体" w:cs="Times New Roman"/>
          <w:kern w:val="2"/>
          <w:position w:val="-24"/>
          <w:sz w:val="28"/>
          <w:szCs w:val="24"/>
          <w:lang w:val="en-US" w:eastAsia="zh-CN" w:bidi="ar-SA"/>
        </w:rPr>
        <w:t>本团体标准的制定和实施，具有重要的社会价值和临床指导意义，有助于完善中国西部高原地区青少年脊柱侧弯预防与临床干预的标准化体系，规范青少年脊柱侧弯的早期筛查、风险评估、诊断分级、临床干预及随访管理等工作流程，提高脊柱侧弯早期识别、科学预防和规范化干预水平，提升临床诊疗的科学性、安全性与规范性，为西部高原地区青少年脊柱健康管理提供科学依据和技术指导，促进青少年脊柱健康水平的整体提升。</w:t>
      </w:r>
    </w:p>
    <w:p w14:paraId="6D336F9A">
      <w:pPr>
        <w:keepNext w:val="0"/>
        <w:keepLines w:val="0"/>
        <w:pageBreakBefore w:val="0"/>
        <w:numPr>
          <w:ilvl w:val="0"/>
          <w:numId w:val="13"/>
        </w:numPr>
        <w:kinsoku/>
        <w:wordWrap/>
        <w:overflowPunct/>
        <w:topLinePunct w:val="0"/>
        <w:autoSpaceDE w:val="0"/>
        <w:autoSpaceDN w:val="0"/>
        <w:bidi w:val="0"/>
        <w:adjustRightInd w:val="0"/>
        <w:spacing w:afterAutospacing="0" w:line="360" w:lineRule="auto"/>
        <w:ind w:firstLine="560" w:firstLineChars="200"/>
        <w:jc w:val="left"/>
        <w:rPr>
          <w:rFonts w:hint="eastAsia" w:ascii="黑体" w:hAnsi="黑体" w:eastAsia="黑体"/>
          <w:szCs w:val="28"/>
        </w:rPr>
      </w:pPr>
      <w:r>
        <w:rPr>
          <w:rFonts w:hint="eastAsia" w:ascii="黑体" w:hAnsi="黑体" w:eastAsia="黑体"/>
          <w:szCs w:val="28"/>
        </w:rPr>
        <w:t>采用国际标准或国外文件的程度及水平的简要说明</w:t>
      </w:r>
    </w:p>
    <w:p w14:paraId="7F33A31D">
      <w:pPr>
        <w:keepNext w:val="0"/>
        <w:keepLines w:val="0"/>
        <w:pageBreakBefore w:val="0"/>
        <w:kinsoku/>
        <w:wordWrap/>
        <w:overflowPunct/>
        <w:topLinePunct w:val="0"/>
        <w:bidi w:val="0"/>
        <w:spacing w:afterAutospacing="0" w:line="360" w:lineRule="auto"/>
        <w:ind w:firstLine="560" w:firstLineChars="200"/>
        <w:rPr>
          <w:rFonts w:hint="eastAsia"/>
          <w:szCs w:val="28"/>
          <w:lang w:val="en-US" w:eastAsia="zh-CN"/>
        </w:rPr>
      </w:pPr>
      <w:r>
        <w:rPr>
          <w:rFonts w:hint="eastAsia"/>
          <w:szCs w:val="28"/>
          <w:lang w:val="en-US" w:eastAsia="zh-CN"/>
        </w:rPr>
        <w:t>无。</w:t>
      </w:r>
    </w:p>
    <w:p w14:paraId="5310468F">
      <w:pPr>
        <w:keepNext w:val="0"/>
        <w:keepLines w:val="0"/>
        <w:pageBreakBefore w:val="0"/>
        <w:kinsoku/>
        <w:wordWrap/>
        <w:overflowPunct/>
        <w:topLinePunct w:val="0"/>
        <w:autoSpaceDE w:val="0"/>
        <w:autoSpaceDN w:val="0"/>
        <w:bidi w:val="0"/>
        <w:adjustRightInd w:val="0"/>
        <w:spacing w:afterAutospacing="0" w:line="360" w:lineRule="auto"/>
        <w:ind w:firstLine="560" w:firstLineChars="200"/>
        <w:jc w:val="left"/>
        <w:outlineLvl w:val="0"/>
        <w:rPr>
          <w:rFonts w:ascii="黑体" w:hAnsi="黑体" w:eastAsia="黑体"/>
          <w:szCs w:val="28"/>
        </w:rPr>
      </w:pPr>
      <w:r>
        <w:rPr>
          <w:rFonts w:ascii="黑体" w:hAnsi="黑体" w:eastAsia="黑体"/>
          <w:szCs w:val="28"/>
        </w:rPr>
        <w:t>五、重大分歧意见的处理经过和依据</w:t>
      </w:r>
    </w:p>
    <w:p w14:paraId="5404B061">
      <w:pPr>
        <w:keepNext w:val="0"/>
        <w:keepLines w:val="0"/>
        <w:pageBreakBefore w:val="0"/>
        <w:kinsoku/>
        <w:wordWrap/>
        <w:overflowPunct/>
        <w:topLinePunct w:val="0"/>
        <w:autoSpaceDE w:val="0"/>
        <w:autoSpaceDN w:val="0"/>
        <w:bidi w:val="0"/>
        <w:adjustRightInd w:val="0"/>
        <w:spacing w:afterAutospacing="0" w:line="360" w:lineRule="auto"/>
        <w:ind w:firstLine="560" w:firstLineChars="200"/>
        <w:jc w:val="left"/>
        <w:rPr>
          <w:rFonts w:ascii="宋体" w:hAnsi="宋体"/>
          <w:szCs w:val="28"/>
        </w:rPr>
      </w:pPr>
      <w:r>
        <w:rPr>
          <w:rFonts w:hint="eastAsia" w:ascii="宋体" w:hAnsi="宋体"/>
          <w:szCs w:val="28"/>
        </w:rPr>
        <w:t>本标准在制定过程中无重大分歧性意见。</w:t>
      </w:r>
    </w:p>
    <w:p w14:paraId="4D88EF43">
      <w:pPr>
        <w:keepNext w:val="0"/>
        <w:keepLines w:val="0"/>
        <w:pageBreakBefore w:val="0"/>
        <w:kinsoku/>
        <w:wordWrap/>
        <w:overflowPunct/>
        <w:topLinePunct w:val="0"/>
        <w:bidi w:val="0"/>
        <w:spacing w:afterAutospacing="0" w:line="360" w:lineRule="auto"/>
        <w:ind w:firstLine="560" w:firstLineChars="200"/>
        <w:rPr>
          <w:rFonts w:ascii="黑体" w:hAnsi="黑体" w:eastAsia="黑体"/>
          <w:bCs/>
          <w:szCs w:val="28"/>
        </w:rPr>
      </w:pPr>
      <w:r>
        <w:rPr>
          <w:rFonts w:hint="eastAsia" w:ascii="黑体" w:hAnsi="黑体" w:eastAsia="黑体"/>
          <w:bCs/>
          <w:szCs w:val="28"/>
        </w:rPr>
        <w:t>六、涉及专利的有关说明</w:t>
      </w:r>
    </w:p>
    <w:p w14:paraId="63F8BB43">
      <w:pPr>
        <w:keepNext w:val="0"/>
        <w:keepLines w:val="0"/>
        <w:pageBreakBefore w:val="0"/>
        <w:kinsoku/>
        <w:wordWrap/>
        <w:overflowPunct/>
        <w:topLinePunct w:val="0"/>
        <w:bidi w:val="0"/>
        <w:spacing w:afterAutospacing="0" w:line="360" w:lineRule="auto"/>
        <w:ind w:firstLine="560" w:firstLineChars="200"/>
        <w:rPr>
          <w:szCs w:val="28"/>
        </w:rPr>
      </w:pPr>
      <w:r>
        <w:rPr>
          <w:rFonts w:hint="eastAsia"/>
          <w:szCs w:val="28"/>
        </w:rPr>
        <w:t>本标准不涉及专利。</w:t>
      </w:r>
    </w:p>
    <w:p w14:paraId="6951D6FB">
      <w:pPr>
        <w:keepNext w:val="0"/>
        <w:keepLines w:val="0"/>
        <w:pageBreakBefore w:val="0"/>
        <w:kinsoku/>
        <w:wordWrap/>
        <w:overflowPunct/>
        <w:topLinePunct w:val="0"/>
        <w:autoSpaceDE w:val="0"/>
        <w:autoSpaceDN w:val="0"/>
        <w:bidi w:val="0"/>
        <w:adjustRightInd w:val="0"/>
        <w:spacing w:afterAutospacing="0" w:line="360" w:lineRule="auto"/>
        <w:ind w:firstLine="560" w:firstLineChars="200"/>
        <w:jc w:val="left"/>
        <w:outlineLvl w:val="0"/>
        <w:rPr>
          <w:rFonts w:ascii="黑体" w:hAnsi="黑体" w:eastAsia="黑体"/>
          <w:szCs w:val="28"/>
        </w:rPr>
      </w:pPr>
      <w:r>
        <w:rPr>
          <w:rFonts w:hint="eastAsia" w:ascii="黑体" w:hAnsi="黑体" w:eastAsia="黑体"/>
          <w:szCs w:val="28"/>
          <w:lang w:val="en-US" w:eastAsia="zh-CN"/>
        </w:rPr>
        <w:t>七</w:t>
      </w:r>
      <w:r>
        <w:rPr>
          <w:rFonts w:ascii="黑体" w:hAnsi="黑体" w:eastAsia="黑体"/>
          <w:szCs w:val="28"/>
        </w:rPr>
        <w:t>、其</w:t>
      </w:r>
      <w:r>
        <w:rPr>
          <w:rFonts w:hint="eastAsia" w:ascii="黑体" w:hAnsi="黑体" w:eastAsia="黑体"/>
          <w:szCs w:val="28"/>
        </w:rPr>
        <w:t>他</w:t>
      </w:r>
      <w:r>
        <w:rPr>
          <w:rFonts w:ascii="黑体" w:hAnsi="黑体" w:eastAsia="黑体"/>
          <w:szCs w:val="28"/>
        </w:rPr>
        <w:t>应予说明的事项</w:t>
      </w:r>
    </w:p>
    <w:p w14:paraId="1CC8CF01">
      <w:pPr>
        <w:keepNext w:val="0"/>
        <w:keepLines w:val="0"/>
        <w:pageBreakBefore w:val="0"/>
        <w:kinsoku/>
        <w:wordWrap/>
        <w:overflowPunct/>
        <w:topLinePunct w:val="0"/>
        <w:autoSpaceDE w:val="0"/>
        <w:autoSpaceDN w:val="0"/>
        <w:bidi w:val="0"/>
        <w:adjustRightInd w:val="0"/>
        <w:spacing w:afterAutospacing="0" w:line="360" w:lineRule="auto"/>
        <w:ind w:firstLine="560" w:firstLineChars="200"/>
        <w:jc w:val="left"/>
        <w:rPr>
          <w:rFonts w:ascii="宋体" w:hAnsi="宋体"/>
          <w:szCs w:val="28"/>
        </w:rPr>
      </w:pPr>
      <w:r>
        <w:rPr>
          <w:rFonts w:hint="eastAsia" w:ascii="宋体" w:hAnsi="宋体"/>
          <w:szCs w:val="28"/>
        </w:rPr>
        <w:t>无。</w:t>
      </w:r>
    </w:p>
    <w:sectPr>
      <w:headerReference r:id="rId7" w:type="first"/>
      <w:footerReference r:id="rId10" w:type="first"/>
      <w:headerReference r:id="rId5" w:type="default"/>
      <w:footerReference r:id="rId8" w:type="default"/>
      <w:headerReference r:id="rId6" w:type="even"/>
      <w:footerReference r:id="rId9" w:type="even"/>
      <w:pgSz w:w="9923" w:h="15593"/>
      <w:pgMar w:top="1440" w:right="1080" w:bottom="1440" w:left="1080" w:header="156" w:footer="597" w:gutter="0"/>
      <w:pgNumType w:start="0"/>
      <w:cols w:space="720" w:num="1"/>
      <w:titlePg/>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汉仪中黑简">
    <w:altName w:val="黑体"/>
    <w:panose1 w:val="02010600000101010101"/>
    <w:charset w:val="86"/>
    <w:family w:val="modern"/>
    <w:pitch w:val="default"/>
    <w:sig w:usb0="00000000" w:usb1="000000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2DACB">
    <w:pPr>
      <w:pStyle w:val="5"/>
      <w:ind w:firstLine="360"/>
      <w:jc w:val="center"/>
    </w:pPr>
    <w:r>
      <w:fldChar w:fldCharType="begin"/>
    </w:r>
    <w:r>
      <w:instrText xml:space="preserve">PAGE   \* MERGEFORMAT</w:instrText>
    </w:r>
    <w:r>
      <w:fldChar w:fldCharType="separate"/>
    </w:r>
    <w:r>
      <w:rPr>
        <w:lang w:val="zh-CN"/>
      </w:rPr>
      <w:t>9</w:t>
    </w:r>
    <w:r>
      <w:fldChar w:fldCharType="end"/>
    </w:r>
  </w:p>
  <w:p w14:paraId="5F8A2C7F">
    <w:pPr>
      <w:pStyle w:val="5"/>
      <w:tabs>
        <w:tab w:val="right" w:pos="8789"/>
        <w:tab w:val="center" w:pos="8931"/>
        <w:tab w:val="clear" w:pos="4153"/>
        <w:tab w:val="clear" w:pos="8306"/>
      </w:tabs>
      <w:ind w:right="-285"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F3F1E">
    <w:pPr>
      <w:pStyle w:val="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09233D">
    <w:pPr>
      <w:pStyle w:val="5"/>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9C7B4">
    <w:pPr>
      <w:ind w:firstLine="5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7BCC2">
    <w:pPr>
      <w:ind w:firstLine="5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54CFFF">
    <w:pPr>
      <w:ind w:firstLine="5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9C3164"/>
    <w:multiLevelType w:val="singleLevel"/>
    <w:tmpl w:val="C29C3164"/>
    <w:lvl w:ilvl="0" w:tentative="0">
      <w:start w:val="1"/>
      <w:numFmt w:val="decimalEnclosedCircleChinese"/>
      <w:suff w:val="nothing"/>
      <w:lvlText w:val="%1　"/>
      <w:lvlJc w:val="left"/>
      <w:pPr>
        <w:ind w:left="0" w:firstLine="400"/>
      </w:pPr>
      <w:rPr>
        <w:rFonts w:hint="eastAsia"/>
      </w:rPr>
    </w:lvl>
  </w:abstractNum>
  <w:abstractNum w:abstractNumId="1">
    <w:nsid w:val="C8879AEF"/>
    <w:multiLevelType w:val="multilevel"/>
    <w:tmpl w:val="C8879AEF"/>
    <w:lvl w:ilvl="0" w:tentative="0">
      <w:start w:val="1"/>
      <w:numFmt w:val="lowerLetter"/>
      <w:pStyle w:val="36"/>
      <w:lvlText w:val="%1)"/>
      <w:lvlJc w:val="left"/>
      <w:pPr>
        <w:tabs>
          <w:tab w:val="left" w:pos="851"/>
        </w:tabs>
        <w:ind w:left="851" w:hanging="426"/>
      </w:pPr>
      <w:rPr>
        <w:rFonts w:ascii="宋体" w:hAnsi="宋体" w:eastAsia="宋体"/>
        <w:sz w:val="21"/>
      </w:rPr>
    </w:lvl>
    <w:lvl w:ilvl="1" w:tentative="0">
      <w:start w:val="1"/>
      <w:numFmt w:val="decimal"/>
      <w:lvlText w:val="%2)"/>
      <w:lvlJc w:val="left"/>
      <w:pPr>
        <w:tabs>
          <w:tab w:val="left" w:pos="1276"/>
        </w:tabs>
        <w:ind w:left="1276" w:hanging="425"/>
      </w:pPr>
      <w:rPr>
        <w:rFonts w:ascii="宋体" w:hAnsi="宋体" w:eastAsia="宋体"/>
        <w:sz w:val="21"/>
      </w:rPr>
    </w:lvl>
    <w:lvl w:ilvl="2" w:tentative="0">
      <w:start w:val="1"/>
      <w:numFmt w:val="decimal"/>
      <w:lvlText w:val="(%3)"/>
      <w:lvlJc w:val="left"/>
      <w:pPr>
        <w:tabs>
          <w:tab w:val="left" w:pos="0"/>
        </w:tabs>
        <w:ind w:left="1701" w:hanging="425"/>
      </w:pPr>
      <w:rPr>
        <w:rFonts w:ascii="宋体" w:hAnsi="宋体" w:eastAsia="宋体"/>
        <w:sz w:val="21"/>
      </w:rPr>
    </w:lvl>
    <w:lvl w:ilvl="3" w:tentative="0">
      <w:start w:val="1"/>
      <w:numFmt w:val="decimal"/>
      <w:lvlText w:val="%4."/>
      <w:lvlJc w:val="left"/>
      <w:pPr>
        <w:tabs>
          <w:tab w:val="left" w:pos="2100"/>
        </w:tabs>
        <w:ind w:left="2099" w:hanging="419"/>
      </w:pPr>
    </w:lvl>
    <w:lvl w:ilvl="4" w:tentative="0">
      <w:start w:val="1"/>
      <w:numFmt w:val="lowerLetter"/>
      <w:lvlText w:val="%5)"/>
      <w:lvlJc w:val="left"/>
      <w:pPr>
        <w:tabs>
          <w:tab w:val="left" w:pos="2520"/>
        </w:tabs>
        <w:ind w:left="2519" w:hanging="419"/>
      </w:pPr>
    </w:lvl>
    <w:lvl w:ilvl="5" w:tentative="0">
      <w:start w:val="1"/>
      <w:numFmt w:val="lowerRoman"/>
      <w:lvlText w:val="%6."/>
      <w:lvlJc w:val="right"/>
      <w:pPr>
        <w:tabs>
          <w:tab w:val="left" w:pos="2940"/>
        </w:tabs>
        <w:ind w:left="2939" w:hanging="419"/>
      </w:pPr>
    </w:lvl>
    <w:lvl w:ilvl="6" w:tentative="0">
      <w:start w:val="1"/>
      <w:numFmt w:val="decimal"/>
      <w:lvlText w:val="%7."/>
      <w:lvlJc w:val="left"/>
      <w:pPr>
        <w:tabs>
          <w:tab w:val="left" w:pos="3360"/>
        </w:tabs>
        <w:ind w:left="3359" w:hanging="419"/>
      </w:pPr>
    </w:lvl>
    <w:lvl w:ilvl="7" w:tentative="0">
      <w:start w:val="1"/>
      <w:numFmt w:val="lowerLetter"/>
      <w:lvlText w:val="%8)"/>
      <w:lvlJc w:val="left"/>
      <w:pPr>
        <w:tabs>
          <w:tab w:val="left" w:pos="3780"/>
        </w:tabs>
        <w:ind w:left="3779" w:hanging="419"/>
      </w:pPr>
    </w:lvl>
    <w:lvl w:ilvl="8" w:tentative="0">
      <w:start w:val="1"/>
      <w:numFmt w:val="lowerRoman"/>
      <w:lvlText w:val="%9."/>
      <w:lvlJc w:val="right"/>
      <w:pPr>
        <w:tabs>
          <w:tab w:val="left" w:pos="4200"/>
        </w:tabs>
        <w:ind w:left="4199" w:hanging="419"/>
      </w:pPr>
    </w:lvl>
  </w:abstractNum>
  <w:abstractNum w:abstractNumId="2">
    <w:nsid w:val="CC759819"/>
    <w:multiLevelType w:val="multilevel"/>
    <w:tmpl w:val="CC759819"/>
    <w:lvl w:ilvl="0" w:tentative="0">
      <w:start w:val="1"/>
      <w:numFmt w:val="lowerLetter"/>
      <w:lvlText w:val="%1)"/>
      <w:lvlJc w:val="left"/>
      <w:pPr>
        <w:tabs>
          <w:tab w:val="left" w:pos="851"/>
        </w:tabs>
        <w:ind w:left="851" w:hanging="426"/>
      </w:pPr>
      <w:rPr>
        <w:rFonts w:ascii="宋体" w:hAnsi="宋体" w:eastAsia="宋体"/>
        <w:sz w:val="21"/>
      </w:rPr>
    </w:lvl>
    <w:lvl w:ilvl="1" w:tentative="0">
      <w:start w:val="1"/>
      <w:numFmt w:val="decimal"/>
      <w:lvlText w:val="%2)"/>
      <w:lvlJc w:val="left"/>
      <w:pPr>
        <w:tabs>
          <w:tab w:val="left" w:pos="1276"/>
        </w:tabs>
        <w:ind w:left="1276" w:hanging="425"/>
      </w:pPr>
      <w:rPr>
        <w:rFonts w:ascii="宋体" w:hAnsi="宋体" w:eastAsia="宋体"/>
        <w:sz w:val="21"/>
      </w:rPr>
    </w:lvl>
    <w:lvl w:ilvl="2" w:tentative="0">
      <w:start w:val="1"/>
      <w:numFmt w:val="decimal"/>
      <w:lvlText w:val="(%3)"/>
      <w:lvlJc w:val="left"/>
      <w:pPr>
        <w:tabs>
          <w:tab w:val="left" w:pos="0"/>
        </w:tabs>
        <w:ind w:left="1701" w:hanging="425"/>
      </w:pPr>
      <w:rPr>
        <w:rFonts w:ascii="宋体" w:hAnsi="宋体" w:eastAsia="宋体"/>
        <w:sz w:val="21"/>
      </w:rPr>
    </w:lvl>
    <w:lvl w:ilvl="3" w:tentative="0">
      <w:start w:val="1"/>
      <w:numFmt w:val="decimal"/>
      <w:lvlText w:val="%4."/>
      <w:lvlJc w:val="left"/>
      <w:pPr>
        <w:tabs>
          <w:tab w:val="left" w:pos="2100"/>
        </w:tabs>
        <w:ind w:left="2099" w:hanging="419"/>
      </w:pPr>
    </w:lvl>
    <w:lvl w:ilvl="4" w:tentative="0">
      <w:start w:val="1"/>
      <w:numFmt w:val="lowerLetter"/>
      <w:lvlText w:val="%5)"/>
      <w:lvlJc w:val="left"/>
      <w:pPr>
        <w:tabs>
          <w:tab w:val="left" w:pos="2520"/>
        </w:tabs>
        <w:ind w:left="2519" w:hanging="419"/>
      </w:pPr>
    </w:lvl>
    <w:lvl w:ilvl="5" w:tentative="0">
      <w:start w:val="1"/>
      <w:numFmt w:val="lowerRoman"/>
      <w:lvlText w:val="%6."/>
      <w:lvlJc w:val="right"/>
      <w:pPr>
        <w:tabs>
          <w:tab w:val="left" w:pos="2940"/>
        </w:tabs>
        <w:ind w:left="2939" w:hanging="419"/>
      </w:pPr>
    </w:lvl>
    <w:lvl w:ilvl="6" w:tentative="0">
      <w:start w:val="1"/>
      <w:numFmt w:val="decimal"/>
      <w:lvlText w:val="%7."/>
      <w:lvlJc w:val="left"/>
      <w:pPr>
        <w:tabs>
          <w:tab w:val="left" w:pos="3360"/>
        </w:tabs>
        <w:ind w:left="3359" w:hanging="419"/>
      </w:pPr>
    </w:lvl>
    <w:lvl w:ilvl="7" w:tentative="0">
      <w:start w:val="1"/>
      <w:numFmt w:val="lowerLetter"/>
      <w:lvlText w:val="%8)"/>
      <w:lvlJc w:val="left"/>
      <w:pPr>
        <w:tabs>
          <w:tab w:val="left" w:pos="3780"/>
        </w:tabs>
        <w:ind w:left="3779" w:hanging="419"/>
      </w:pPr>
    </w:lvl>
    <w:lvl w:ilvl="8" w:tentative="0">
      <w:start w:val="1"/>
      <w:numFmt w:val="lowerRoman"/>
      <w:lvlText w:val="%9."/>
      <w:lvlJc w:val="right"/>
      <w:pPr>
        <w:tabs>
          <w:tab w:val="left" w:pos="4200"/>
        </w:tabs>
        <w:ind w:left="4199" w:hanging="419"/>
      </w:pPr>
    </w:lvl>
  </w:abstractNum>
  <w:abstractNum w:abstractNumId="3">
    <w:nsid w:val="CF092B84"/>
    <w:multiLevelType w:val="multilevel"/>
    <w:tmpl w:val="CF092B84"/>
    <w:lvl w:ilvl="0" w:tentative="0">
      <w:start w:val="1"/>
      <w:numFmt w:val="none"/>
      <w:suff w:val="nothing"/>
      <w:lvlText w:val="%1"/>
      <w:lvlJc w:val="left"/>
      <w:pPr>
        <w:tabs>
          <w:tab w:val="left" w:pos="0"/>
        </w:tabs>
        <w:ind w:left="0" w:firstLine="0"/>
      </w:pPr>
    </w:lvl>
    <w:lvl w:ilvl="1" w:tentative="0">
      <w:start w:val="1"/>
      <w:numFmt w:val="decimal"/>
      <w:pStyle w:val="32"/>
      <w:suff w:val="nothing"/>
      <w:lvlText w:val="%1%2　"/>
      <w:lvlJc w:val="left"/>
      <w:pPr>
        <w:tabs>
          <w:tab w:val="left" w:pos="0"/>
        </w:tabs>
        <w:ind w:left="0" w:firstLine="0"/>
      </w:pPr>
      <w:rPr>
        <w:rFonts w:ascii="黑体" w:hAnsi="黑体" w:eastAsia="黑体"/>
        <w:b w:val="0"/>
        <w:i w:val="0"/>
        <w:sz w:val="21"/>
      </w:rPr>
    </w:lvl>
    <w:lvl w:ilvl="2" w:tentative="0">
      <w:start w:val="1"/>
      <w:numFmt w:val="decimal"/>
      <w:suff w:val="nothing"/>
      <w:lvlText w:val="%1%2.%3　"/>
      <w:lvlJc w:val="left"/>
      <w:pPr>
        <w:tabs>
          <w:tab w:val="left" w:pos="0"/>
        </w:tabs>
        <w:ind w:left="0" w:firstLine="0"/>
      </w:pPr>
      <w:rPr>
        <w:rFonts w:ascii="黑体" w:hAnsi="黑体" w:eastAsia="黑体" w:cs="Times New Roman"/>
        <w:b w:val="0"/>
        <w:bCs w:val="0"/>
        <w:i w:val="0"/>
        <w:iCs w:val="0"/>
        <w:caps w:val="0"/>
        <w:smallCaps w:val="0"/>
        <w:strike w:val="0"/>
        <w:dstrike w:val="0"/>
        <w:vanish w:val="0"/>
        <w:color w:val="000000"/>
        <w:spacing w:val="0"/>
        <w:kern w:val="0"/>
        <w:position w:val="0"/>
        <w:sz w:val="21"/>
        <w:u w:val="none"/>
        <w:vertAlign w:val="baseline"/>
        <w14:ligatures w14:val="none"/>
        <w14:numForm w14:val="default"/>
        <w14:numSpacing w14:val="default"/>
      </w:rPr>
    </w:lvl>
    <w:lvl w:ilvl="3" w:tentative="0">
      <w:start w:val="1"/>
      <w:numFmt w:val="decimal"/>
      <w:pStyle w:val="40"/>
      <w:suff w:val="nothing"/>
      <w:lvlText w:val="%1%2.%3.%4　"/>
      <w:lvlJc w:val="left"/>
      <w:pPr>
        <w:tabs>
          <w:tab w:val="left" w:pos="0"/>
        </w:tabs>
        <w:ind w:left="0" w:firstLine="0"/>
      </w:pPr>
      <w:rPr>
        <w:rFonts w:ascii="黑体" w:hAnsi="黑体" w:eastAsia="黑体"/>
        <w:b w:val="0"/>
        <w:i w:val="0"/>
        <w:sz w:val="21"/>
      </w:rPr>
    </w:lvl>
    <w:lvl w:ilvl="4" w:tentative="0">
      <w:start w:val="1"/>
      <w:numFmt w:val="decimal"/>
      <w:suff w:val="nothing"/>
      <w:lvlText w:val="%1%2.%3.%4.%5　"/>
      <w:lvlJc w:val="left"/>
      <w:pPr>
        <w:tabs>
          <w:tab w:val="left" w:pos="0"/>
        </w:tabs>
        <w:ind w:left="0" w:firstLine="0"/>
      </w:pPr>
      <w:rPr>
        <w:rFonts w:ascii="黑体" w:hAnsi="黑体" w:eastAsia="黑体"/>
        <w:b w:val="0"/>
        <w:i w:val="0"/>
        <w:sz w:val="21"/>
      </w:rPr>
    </w:lvl>
    <w:lvl w:ilvl="5" w:tentative="0">
      <w:start w:val="1"/>
      <w:numFmt w:val="decimal"/>
      <w:suff w:val="nothing"/>
      <w:lvlText w:val="%1%2.%3.%4.%5.%6　"/>
      <w:lvlJc w:val="left"/>
      <w:pPr>
        <w:tabs>
          <w:tab w:val="left" w:pos="0"/>
        </w:tabs>
        <w:ind w:left="0" w:firstLine="0"/>
      </w:pPr>
      <w:rPr>
        <w:rFonts w:ascii="黑体" w:hAnsi="黑体" w:eastAsia="黑体"/>
        <w:b w:val="0"/>
        <w:i w:val="0"/>
        <w:sz w:val="21"/>
      </w:rPr>
    </w:lvl>
    <w:lvl w:ilvl="6" w:tentative="0">
      <w:start w:val="1"/>
      <w:numFmt w:val="decimal"/>
      <w:suff w:val="nothing"/>
      <w:lvlText w:val="%1%2.%3.%4.%5.%6.%7　"/>
      <w:lvlJc w:val="left"/>
      <w:pPr>
        <w:tabs>
          <w:tab w:val="left" w:pos="0"/>
        </w:tabs>
        <w:ind w:left="0" w:firstLine="0"/>
      </w:pPr>
      <w:rPr>
        <w:rFonts w:ascii="黑体" w:hAnsi="黑体" w:eastAsia="黑体"/>
        <w:b w:val="0"/>
        <w:i w:val="0"/>
        <w:sz w:val="21"/>
      </w:rPr>
    </w:lvl>
    <w:lvl w:ilvl="7" w:tentative="0">
      <w:start w:val="1"/>
      <w:numFmt w:val="decimal"/>
      <w:lvlText w:val="%1%2.%3.%4.%5.%6.%7.%8"/>
      <w:lvlJc w:val="left"/>
      <w:pPr>
        <w:tabs>
          <w:tab w:val="left" w:pos="4351"/>
        </w:tabs>
        <w:ind w:left="3969" w:hanging="1418"/>
      </w:pPr>
    </w:lvl>
    <w:lvl w:ilvl="8" w:tentative="0">
      <w:start w:val="1"/>
      <w:numFmt w:val="decimal"/>
      <w:lvlText w:val="%1%2.%3.%4.%5.%6.%7.%8.%9"/>
      <w:lvlJc w:val="left"/>
      <w:pPr>
        <w:tabs>
          <w:tab w:val="left" w:pos="4777"/>
        </w:tabs>
        <w:ind w:left="4677" w:hanging="1700"/>
      </w:pPr>
    </w:lvl>
  </w:abstractNum>
  <w:abstractNum w:abstractNumId="4">
    <w:nsid w:val="E94F57FB"/>
    <w:multiLevelType w:val="singleLevel"/>
    <w:tmpl w:val="E94F57FB"/>
    <w:lvl w:ilvl="0" w:tentative="0">
      <w:start w:val="2"/>
      <w:numFmt w:val="decimal"/>
      <w:suff w:val="nothing"/>
      <w:lvlText w:val="%1）"/>
      <w:lvlJc w:val="left"/>
    </w:lvl>
  </w:abstractNum>
  <w:abstractNum w:abstractNumId="5">
    <w:nsid w:val="2470EC97"/>
    <w:multiLevelType w:val="multilevel"/>
    <w:tmpl w:val="2470EC97"/>
    <w:lvl w:ilvl="0" w:tentative="0">
      <w:start w:val="1"/>
      <w:numFmt w:val="decimal"/>
      <w:pStyle w:val="37"/>
      <w:suff w:val="nothing"/>
      <w:lvlText w:val="表%1　"/>
      <w:lvlJc w:val="left"/>
      <w:pPr>
        <w:tabs>
          <w:tab w:val="left" w:pos="0"/>
        </w:tabs>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6">
    <w:nsid w:val="44C50F90"/>
    <w:multiLevelType w:val="multilevel"/>
    <w:tmpl w:val="44C50F90"/>
    <w:lvl w:ilvl="0" w:tentative="0">
      <w:start w:val="1"/>
      <w:numFmt w:val="lowerLetter"/>
      <w:pStyle w:val="25"/>
      <w:lvlText w:val="%1)"/>
      <w:lvlJc w:val="left"/>
      <w:pPr>
        <w:tabs>
          <w:tab w:val="left" w:pos="839"/>
        </w:tabs>
        <w:ind w:left="839" w:hanging="419"/>
      </w:pPr>
      <w:rPr>
        <w:rFonts w:hint="eastAsia" w:ascii="宋体" w:hAnsi="宋体" w:eastAsia="宋体"/>
        <w:b w:val="0"/>
        <w:i w:val="0"/>
        <w:sz w:val="20"/>
        <w:szCs w:val="21"/>
      </w:rPr>
    </w:lvl>
    <w:lvl w:ilvl="1" w:tentative="0">
      <w:start w:val="1"/>
      <w:numFmt w:val="decimal"/>
      <w:lvlText w:val="%2)"/>
      <w:lvlJc w:val="left"/>
      <w:pPr>
        <w:tabs>
          <w:tab w:val="left" w:pos="1259"/>
        </w:tabs>
        <w:ind w:left="1259" w:hanging="420"/>
      </w:pPr>
      <w:rPr>
        <w:rFonts w:hint="eastAsia" w:ascii="宋体" w:hAnsi="宋体" w:eastAsia="宋体"/>
        <w:b w:val="0"/>
        <w:i w:val="0"/>
        <w:sz w:val="20"/>
      </w:rPr>
    </w:lvl>
    <w:lvl w:ilvl="2" w:tentative="0">
      <w:start w:val="1"/>
      <w:numFmt w:val="decimal"/>
      <w:lvlText w:val="(%3)"/>
      <w:lvlJc w:val="left"/>
      <w:pPr>
        <w:tabs>
          <w:tab w:val="left" w:pos="0"/>
        </w:tabs>
        <w:ind w:left="1678" w:hanging="419"/>
      </w:pPr>
      <w:rPr>
        <w:rFonts w:hint="eastAsia" w:ascii="宋体" w:hAnsi="宋体" w:eastAsia="宋体"/>
        <w:b w:val="0"/>
        <w:i w:val="0"/>
        <w:sz w:val="20"/>
        <w:szCs w:val="21"/>
      </w:rPr>
    </w:lvl>
    <w:lvl w:ilvl="3" w:tentative="0">
      <w:start w:val="1"/>
      <w:numFmt w:val="decimal"/>
      <w:lvlText w:val="%4."/>
      <w:lvlJc w:val="left"/>
      <w:pPr>
        <w:tabs>
          <w:tab w:val="left" w:pos="2098"/>
        </w:tabs>
        <w:ind w:left="2098" w:hanging="420"/>
      </w:pPr>
      <w:rPr>
        <w:rFonts w:hint="default" w:ascii="宋体" w:hAnsi="宋体"/>
      </w:rPr>
    </w:lvl>
    <w:lvl w:ilvl="4" w:tentative="0">
      <w:start w:val="1"/>
      <w:numFmt w:val="lowerLetter"/>
      <w:lvlText w:val="%5)"/>
      <w:lvlJc w:val="left"/>
      <w:pPr>
        <w:tabs>
          <w:tab w:val="left" w:pos="1271"/>
        </w:tabs>
        <w:ind w:left="1271" w:hanging="419"/>
      </w:pPr>
      <w:rPr>
        <w:rFonts w:hint="default" w:ascii="宋体" w:hAnsi="宋体"/>
      </w:rPr>
    </w:lvl>
    <w:lvl w:ilvl="5" w:tentative="0">
      <w:start w:val="1"/>
      <w:numFmt w:val="lowerRoman"/>
      <w:lvlText w:val="%6."/>
      <w:lvlJc w:val="right"/>
      <w:pPr>
        <w:tabs>
          <w:tab w:val="left" w:pos="2942"/>
        </w:tabs>
        <w:ind w:left="2937" w:hanging="420"/>
      </w:pPr>
      <w:rPr>
        <w:rFonts w:hint="default" w:ascii="宋体" w:hAnsi="宋体"/>
      </w:rPr>
    </w:lvl>
    <w:lvl w:ilvl="6" w:tentative="0">
      <w:start w:val="1"/>
      <w:numFmt w:val="decimal"/>
      <w:lvlText w:val="%7."/>
      <w:lvlJc w:val="left"/>
      <w:pPr>
        <w:tabs>
          <w:tab w:val="left" w:pos="3362"/>
        </w:tabs>
        <w:ind w:left="3356" w:hanging="414"/>
      </w:pPr>
      <w:rPr>
        <w:rFonts w:hint="default" w:ascii="宋体" w:hAnsi="宋体"/>
      </w:rPr>
    </w:lvl>
    <w:lvl w:ilvl="7" w:tentative="0">
      <w:start w:val="1"/>
      <w:numFmt w:val="lowerLetter"/>
      <w:lvlText w:val="%8)"/>
      <w:lvlJc w:val="left"/>
      <w:pPr>
        <w:tabs>
          <w:tab w:val="left" w:pos="3781"/>
        </w:tabs>
        <w:ind w:left="3776" w:hanging="414"/>
      </w:pPr>
      <w:rPr>
        <w:rFonts w:hint="default" w:ascii="宋体" w:hAnsi="宋体"/>
      </w:rPr>
    </w:lvl>
    <w:lvl w:ilvl="8" w:tentative="0">
      <w:start w:val="1"/>
      <w:numFmt w:val="lowerRoman"/>
      <w:lvlText w:val="%9."/>
      <w:lvlJc w:val="right"/>
      <w:pPr>
        <w:tabs>
          <w:tab w:val="left" w:pos="4201"/>
        </w:tabs>
        <w:ind w:left="4201" w:hanging="420"/>
      </w:pPr>
      <w:rPr>
        <w:rFonts w:hint="default" w:ascii="宋体" w:hAnsi="宋体"/>
      </w:rPr>
    </w:lvl>
  </w:abstractNum>
  <w:abstractNum w:abstractNumId="7">
    <w:nsid w:val="5E48277C"/>
    <w:multiLevelType w:val="singleLevel"/>
    <w:tmpl w:val="5E48277C"/>
    <w:lvl w:ilvl="0" w:tentative="0">
      <w:start w:val="4"/>
      <w:numFmt w:val="chineseCounting"/>
      <w:suff w:val="nothing"/>
      <w:lvlText w:val="%1、"/>
      <w:lvlJc w:val="left"/>
      <w:rPr>
        <w:rFonts w:hint="eastAsia"/>
      </w:rPr>
    </w:lvl>
  </w:abstractNum>
  <w:abstractNum w:abstractNumId="8">
    <w:nsid w:val="64E17079"/>
    <w:multiLevelType w:val="multilevel"/>
    <w:tmpl w:val="64E17079"/>
    <w:lvl w:ilvl="0" w:tentative="0">
      <w:start w:val="1"/>
      <w:numFmt w:val="lowerLetter"/>
      <w:suff w:val="nothing"/>
      <w:lvlText w:val="%1）"/>
      <w:lvlJc w:val="left"/>
      <w:pPr>
        <w:tabs>
          <w:tab w:val="left" w:pos="0"/>
        </w:tabs>
        <w:ind w:left="0" w:firstLine="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9">
    <w:nsid w:val="77ECEA79"/>
    <w:multiLevelType w:val="multilevel"/>
    <w:tmpl w:val="77ECEA79"/>
    <w:lvl w:ilvl="0" w:tentative="0">
      <w:start w:val="1"/>
      <w:numFmt w:val="none"/>
      <w:pStyle w:val="43"/>
      <w:suff w:val="nothing"/>
      <w:lvlText w:val="%1注："/>
      <w:lvlJc w:val="left"/>
      <w:pPr>
        <w:tabs>
          <w:tab w:val="left" w:pos="0"/>
        </w:tabs>
        <w:ind w:left="737" w:hanging="374"/>
      </w:pPr>
      <w:rPr>
        <w:rFonts w:ascii="黑体" w:hAnsi="黑体" w:eastAsia="黑体"/>
        <w:b w:val="0"/>
        <w:i w:val="0"/>
        <w:sz w:val="18"/>
      </w:rPr>
    </w:lvl>
    <w:lvl w:ilvl="1" w:tentative="0">
      <w:start w:val="1"/>
      <w:numFmt w:val="lowerLetter"/>
      <w:lvlText w:val="%2)"/>
      <w:lvlJc w:val="left"/>
      <w:pPr>
        <w:tabs>
          <w:tab w:val="left" w:pos="1140"/>
        </w:tabs>
        <w:ind w:left="726" w:hanging="363"/>
      </w:pPr>
    </w:lvl>
    <w:lvl w:ilvl="2" w:tentative="0">
      <w:start w:val="1"/>
      <w:numFmt w:val="lowerRoman"/>
      <w:lvlText w:val="%3."/>
      <w:lvlJc w:val="right"/>
      <w:pPr>
        <w:tabs>
          <w:tab w:val="left" w:pos="1140"/>
        </w:tabs>
        <w:ind w:left="726" w:hanging="363"/>
      </w:pPr>
    </w:lvl>
    <w:lvl w:ilvl="3" w:tentative="0">
      <w:start w:val="1"/>
      <w:numFmt w:val="decimal"/>
      <w:lvlText w:val="%4."/>
      <w:lvlJc w:val="left"/>
      <w:pPr>
        <w:tabs>
          <w:tab w:val="left" w:pos="1140"/>
        </w:tabs>
        <w:ind w:left="726" w:hanging="363"/>
      </w:pPr>
    </w:lvl>
    <w:lvl w:ilvl="4" w:tentative="0">
      <w:start w:val="1"/>
      <w:numFmt w:val="lowerLetter"/>
      <w:lvlText w:val="%5)"/>
      <w:lvlJc w:val="left"/>
      <w:pPr>
        <w:tabs>
          <w:tab w:val="left" w:pos="1140"/>
        </w:tabs>
        <w:ind w:left="726" w:hanging="363"/>
      </w:pPr>
    </w:lvl>
    <w:lvl w:ilvl="5" w:tentative="0">
      <w:start w:val="1"/>
      <w:numFmt w:val="lowerRoman"/>
      <w:lvlText w:val="%6."/>
      <w:lvlJc w:val="right"/>
      <w:pPr>
        <w:tabs>
          <w:tab w:val="left" w:pos="1140"/>
        </w:tabs>
        <w:ind w:left="726" w:hanging="363"/>
      </w:pPr>
    </w:lvl>
    <w:lvl w:ilvl="6" w:tentative="0">
      <w:start w:val="1"/>
      <w:numFmt w:val="decimal"/>
      <w:lvlText w:val="%7."/>
      <w:lvlJc w:val="left"/>
      <w:pPr>
        <w:tabs>
          <w:tab w:val="left" w:pos="1140"/>
        </w:tabs>
        <w:ind w:left="726" w:hanging="363"/>
      </w:pPr>
    </w:lvl>
    <w:lvl w:ilvl="7" w:tentative="0">
      <w:start w:val="1"/>
      <w:numFmt w:val="lowerLetter"/>
      <w:lvlText w:val="%8)"/>
      <w:lvlJc w:val="left"/>
      <w:pPr>
        <w:tabs>
          <w:tab w:val="left" w:pos="1140"/>
        </w:tabs>
        <w:ind w:left="726" w:hanging="363"/>
      </w:pPr>
    </w:lvl>
    <w:lvl w:ilvl="8" w:tentative="0">
      <w:start w:val="1"/>
      <w:numFmt w:val="lowerRoman"/>
      <w:lvlText w:val="%9."/>
      <w:lvlJc w:val="right"/>
      <w:pPr>
        <w:tabs>
          <w:tab w:val="left" w:pos="1140"/>
        </w:tabs>
        <w:ind w:left="726" w:hanging="363"/>
      </w:pPr>
    </w:lvl>
  </w:abstractNum>
  <w:num w:numId="1">
    <w:abstractNumId w:val="6"/>
  </w:num>
  <w:num w:numId="2">
    <w:abstractNumId w:val="3"/>
  </w:num>
  <w:num w:numId="3">
    <w:abstractNumId w:val="1"/>
  </w:num>
  <w:num w:numId="4">
    <w:abstractNumId w:val="5"/>
  </w:num>
  <w:num w:numId="5">
    <w:abstractNumId w:val="9"/>
  </w:num>
  <w:num w:numId="6">
    <w:abstractNumId w:val="4"/>
  </w:num>
  <w:num w:numId="7">
    <w:abstractNumId w:val="0"/>
  </w:num>
  <w:num w:numId="8">
    <w:abstractNumId w:val="2"/>
    <w:lvlOverride w:ilvl="0">
      <w:startOverride w:val="1"/>
    </w:lvlOverride>
  </w:num>
  <w:num w:numId="9">
    <w:abstractNumId w:val="2"/>
  </w:num>
  <w:num w:numId="10">
    <w:abstractNumId w:val="2"/>
    <w:lvlOverride w:ilvl="0">
      <w:startOverride w:val="1"/>
    </w:lvlOverride>
  </w:num>
  <w:num w:numId="11">
    <w:abstractNumId w:val="8"/>
  </w:num>
  <w:num w:numId="12">
    <w:abstractNumId w:val="2"/>
    <w:lvlOverride w:ilvl="0">
      <w:startOverride w:val="1"/>
    </w:lvlOverride>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4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AxNzU3NGMyMDUyYTg2MTMyYjEzZjU4ZTRkODVlOWIifQ=="/>
  </w:docVars>
  <w:rsids>
    <w:rsidRoot w:val="00000000"/>
    <w:rsid w:val="01265D4D"/>
    <w:rsid w:val="01E37791"/>
    <w:rsid w:val="029D33DC"/>
    <w:rsid w:val="03561F09"/>
    <w:rsid w:val="04312700"/>
    <w:rsid w:val="05634469"/>
    <w:rsid w:val="080E5030"/>
    <w:rsid w:val="0ABC08CC"/>
    <w:rsid w:val="0AF838A6"/>
    <w:rsid w:val="0BA354C3"/>
    <w:rsid w:val="0C0D512F"/>
    <w:rsid w:val="0C4C20FB"/>
    <w:rsid w:val="0F5D461F"/>
    <w:rsid w:val="0F956F4E"/>
    <w:rsid w:val="129245E0"/>
    <w:rsid w:val="160550C9"/>
    <w:rsid w:val="170133BE"/>
    <w:rsid w:val="1CA53829"/>
    <w:rsid w:val="1E2130EA"/>
    <w:rsid w:val="211F34E2"/>
    <w:rsid w:val="215D4ED2"/>
    <w:rsid w:val="21B005DE"/>
    <w:rsid w:val="21E72FBF"/>
    <w:rsid w:val="26DE799C"/>
    <w:rsid w:val="29DA269C"/>
    <w:rsid w:val="2ADA1E9E"/>
    <w:rsid w:val="31083F93"/>
    <w:rsid w:val="369B31B3"/>
    <w:rsid w:val="3BF05D4F"/>
    <w:rsid w:val="3C920BB5"/>
    <w:rsid w:val="3D0D46DF"/>
    <w:rsid w:val="414F6032"/>
    <w:rsid w:val="41894C7C"/>
    <w:rsid w:val="436C1C96"/>
    <w:rsid w:val="46B1257F"/>
    <w:rsid w:val="490D3C51"/>
    <w:rsid w:val="4C87625C"/>
    <w:rsid w:val="4E1108F4"/>
    <w:rsid w:val="54352A41"/>
    <w:rsid w:val="55B9292F"/>
    <w:rsid w:val="5BDD6149"/>
    <w:rsid w:val="5BEF1728"/>
    <w:rsid w:val="5C1D0EC9"/>
    <w:rsid w:val="5C7A64FD"/>
    <w:rsid w:val="6037369D"/>
    <w:rsid w:val="636649C5"/>
    <w:rsid w:val="6AD541DF"/>
    <w:rsid w:val="6BE97F42"/>
    <w:rsid w:val="6D5D36D5"/>
    <w:rsid w:val="6F2B6AC3"/>
    <w:rsid w:val="70646BBF"/>
    <w:rsid w:val="70F31E2D"/>
    <w:rsid w:val="73595B5C"/>
    <w:rsid w:val="73CF5C6F"/>
    <w:rsid w:val="74724AA0"/>
    <w:rsid w:val="75EA4643"/>
    <w:rsid w:val="76AC41B0"/>
    <w:rsid w:val="77737259"/>
    <w:rsid w:val="7FAA75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imes New Roman"/>
      <w:kern w:val="2"/>
      <w:sz w:val="28"/>
      <w:szCs w:val="24"/>
      <w:lang w:val="en-US" w:eastAsia="zh-CN" w:bidi="ar-SA"/>
    </w:rPr>
  </w:style>
  <w:style w:type="paragraph" w:styleId="2">
    <w:name w:val="heading 2"/>
    <w:basedOn w:val="1"/>
    <w:next w:val="1"/>
    <w:unhideWhenUsed/>
    <w:qFormat/>
    <w:uiPriority w:val="0"/>
    <w:pPr>
      <w:spacing w:before="100" w:beforeAutospacing="1" w:after="100" w:afterAutospacing="1"/>
      <w:jc w:val="left"/>
      <w:outlineLvl w:val="1"/>
    </w:pPr>
    <w:rPr>
      <w:rFonts w:hint="eastAsia" w:ascii="宋体" w:hAnsi="宋体"/>
      <w:b/>
      <w:kern w:val="0"/>
      <w:sz w:val="36"/>
      <w:szCs w:val="36"/>
    </w:rPr>
  </w:style>
  <w:style w:type="character" w:default="1" w:styleId="9">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3">
    <w:name w:val="index 5"/>
    <w:basedOn w:val="1"/>
    <w:next w:val="1"/>
    <w:qFormat/>
    <w:uiPriority w:val="0"/>
    <w:pPr>
      <w:spacing w:line="240" w:lineRule="auto"/>
      <w:ind w:left="1050" w:hanging="210"/>
      <w:jc w:val="left"/>
    </w:pPr>
    <w:rPr>
      <w:rFonts w:ascii="Calibri" w:hAnsi="Calibri"/>
      <w:sz w:val="20"/>
      <w:szCs w:val="20"/>
    </w:rPr>
  </w:style>
  <w:style w:type="paragraph" w:styleId="4">
    <w:name w:val="annotation text"/>
    <w:basedOn w:val="1"/>
    <w:semiHidden/>
    <w:unhideWhenUsed/>
    <w:qFormat/>
    <w:uiPriority w:val="99"/>
    <w:pPr>
      <w:jc w:val="left"/>
    </w:pPr>
  </w:style>
  <w:style w:type="paragraph" w:styleId="5">
    <w:name w:val="footer"/>
    <w:basedOn w:val="1"/>
    <w:link w:val="12"/>
    <w:qFormat/>
    <w:uiPriority w:val="99"/>
    <w:pPr>
      <w:widowControl/>
      <w:tabs>
        <w:tab w:val="center" w:pos="4153"/>
        <w:tab w:val="right" w:pos="8306"/>
      </w:tabs>
      <w:snapToGrid w:val="0"/>
      <w:jc w:val="left"/>
    </w:pPr>
    <w:rPr>
      <w:rFonts w:asciiTheme="minorHAnsi" w:hAnsiTheme="minorHAnsi" w:eastAsiaTheme="minorEastAsia" w:cstheme="minorBidi"/>
      <w:sz w:val="18"/>
      <w:szCs w:val="22"/>
    </w:rPr>
  </w:style>
  <w:style w:type="paragraph" w:styleId="6">
    <w:name w:val="Normal (Web)"/>
    <w:basedOn w:val="1"/>
    <w:unhideWhenUsed/>
    <w:qFormat/>
    <w:uiPriority w:val="99"/>
    <w:pPr>
      <w:widowControl/>
      <w:spacing w:before="100" w:beforeAutospacing="1" w:after="100" w:afterAutospacing="1" w:line="240" w:lineRule="auto"/>
      <w:ind w:firstLine="0" w:firstLineChars="0"/>
      <w:jc w:val="left"/>
    </w:pPr>
    <w:rPr>
      <w:rFonts w:ascii="宋体" w:hAnsi="宋体" w:cs="宋体"/>
      <w:kern w:val="0"/>
      <w:sz w:val="24"/>
    </w:rPr>
  </w:style>
  <w:style w:type="table" w:styleId="8">
    <w:name w:val="Table Grid"/>
    <w:basedOn w:val="7"/>
    <w:qFormat/>
    <w:uiPriority w:val="5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styleId="11">
    <w:name w:val="Emphasis"/>
    <w:basedOn w:val="9"/>
    <w:qFormat/>
    <w:uiPriority w:val="20"/>
    <w:rPr>
      <w:i/>
      <w:iCs/>
    </w:rPr>
  </w:style>
  <w:style w:type="character" w:customStyle="1" w:styleId="12">
    <w:name w:val="页脚 字符"/>
    <w:link w:val="5"/>
    <w:qFormat/>
    <w:uiPriority w:val="99"/>
    <w:rPr>
      <w:sz w:val="18"/>
    </w:rPr>
  </w:style>
  <w:style w:type="character" w:customStyle="1" w:styleId="13">
    <w:name w:val="页脚 Char"/>
    <w:basedOn w:val="9"/>
    <w:semiHidden/>
    <w:qFormat/>
    <w:uiPriority w:val="99"/>
    <w:rPr>
      <w:rFonts w:ascii="Times New Roman" w:hAnsi="Times New Roman" w:eastAsia="宋体" w:cs="Times New Roman"/>
      <w:sz w:val="18"/>
      <w:szCs w:val="18"/>
    </w:rPr>
  </w:style>
  <w:style w:type="character" w:customStyle="1" w:styleId="14">
    <w:name w:val="段 Char"/>
    <w:link w:val="15"/>
    <w:qFormat/>
    <w:uiPriority w:val="0"/>
    <w:rPr>
      <w:rFonts w:ascii="宋体"/>
    </w:rPr>
  </w:style>
  <w:style w:type="paragraph" w:customStyle="1" w:styleId="15">
    <w:name w:val="段"/>
    <w:link w:val="14"/>
    <w:qFormat/>
    <w:uiPriority w:val="0"/>
    <w:pPr>
      <w:autoSpaceDE w:val="0"/>
      <w:autoSpaceDN w:val="0"/>
      <w:ind w:firstLine="200" w:firstLineChars="200"/>
      <w:jc w:val="both"/>
    </w:pPr>
    <w:rPr>
      <w:rFonts w:ascii="宋体" w:hAnsiTheme="minorHAnsi" w:eastAsiaTheme="minorEastAsia" w:cstheme="minorBidi"/>
      <w:kern w:val="2"/>
      <w:sz w:val="21"/>
      <w:szCs w:val="22"/>
      <w:lang w:val="en-US" w:eastAsia="zh-CN" w:bidi="ar-SA"/>
    </w:rPr>
  </w:style>
  <w:style w:type="paragraph" w:customStyle="1" w:styleId="16">
    <w:name w:val="封面标准名称"/>
    <w:qFormat/>
    <w:uiPriority w:val="0"/>
    <w:pPr>
      <w:framePr w:w="9639" w:h="6917" w:hRule="exact" w:wrap="around" w:vAnchor="page" w:hAnchor="page" w:xAlign="center" w:y="6408" w:anchorLock="1"/>
      <w:widowControl w:val="0"/>
      <w:spacing w:line="680" w:lineRule="exact"/>
      <w:jc w:val="center"/>
      <w:textAlignment w:val="center"/>
    </w:pPr>
    <w:rPr>
      <w:rFonts w:ascii="黑体" w:hAnsi="Times New Roman" w:eastAsia="黑体" w:cs="Times New Roman"/>
      <w:kern w:val="0"/>
      <w:sz w:val="52"/>
      <w:szCs w:val="20"/>
      <w:lang w:val="en-US" w:eastAsia="zh-CN" w:bidi="ar-SA"/>
    </w:rPr>
  </w:style>
  <w:style w:type="paragraph" w:customStyle="1" w:styleId="17">
    <w:name w:val="章标题"/>
    <w:next w:val="15"/>
    <w:link w:val="22"/>
    <w:qFormat/>
    <w:uiPriority w:val="0"/>
    <w:pPr>
      <w:spacing w:beforeLines="50" w:afterLines="50"/>
      <w:jc w:val="both"/>
      <w:outlineLvl w:val="1"/>
    </w:pPr>
    <w:rPr>
      <w:rFonts w:ascii="黑体" w:hAnsi="Times New Roman" w:eastAsia="黑体" w:cs="Times New Roman"/>
      <w:kern w:val="0"/>
      <w:sz w:val="21"/>
      <w:szCs w:val="20"/>
      <w:lang w:val="en-US" w:eastAsia="zh-CN" w:bidi="ar-SA"/>
    </w:rPr>
  </w:style>
  <w:style w:type="paragraph" w:customStyle="1" w:styleId="18">
    <w:name w:val="List Paragraph"/>
    <w:basedOn w:val="1"/>
    <w:qFormat/>
    <w:uiPriority w:val="34"/>
    <w:pPr>
      <w:ind w:firstLine="420"/>
    </w:pPr>
  </w:style>
  <w:style w:type="paragraph" w:customStyle="1" w:styleId="19">
    <w:name w:val="正文表标题"/>
    <w:next w:val="15"/>
    <w:qFormat/>
    <w:uiPriority w:val="0"/>
    <w:pPr>
      <w:tabs>
        <w:tab w:val="left" w:pos="360"/>
      </w:tabs>
      <w:spacing w:beforeLines="50" w:afterLines="50"/>
      <w:ind w:left="3544"/>
      <w:jc w:val="center"/>
    </w:pPr>
    <w:rPr>
      <w:rFonts w:ascii="黑体" w:hAnsi="Times New Roman" w:eastAsia="黑体" w:cs="Times New Roman"/>
      <w:kern w:val="0"/>
      <w:sz w:val="21"/>
      <w:szCs w:val="20"/>
      <w:lang w:val="en-US" w:eastAsia="zh-CN" w:bidi="ar-SA"/>
    </w:rPr>
  </w:style>
  <w:style w:type="character" w:customStyle="1" w:styleId="20">
    <w:name w:val="fontstyle01"/>
    <w:basedOn w:val="9"/>
    <w:qFormat/>
    <w:uiPriority w:val="0"/>
    <w:rPr>
      <w:rFonts w:hint="eastAsia" w:ascii="黑体" w:hAnsi="黑体" w:eastAsia="黑体"/>
      <w:color w:val="000000"/>
      <w:sz w:val="28"/>
      <w:szCs w:val="28"/>
    </w:rPr>
  </w:style>
  <w:style w:type="character" w:customStyle="1" w:styleId="21">
    <w:name w:val="fontstyle11"/>
    <w:basedOn w:val="9"/>
    <w:qFormat/>
    <w:uiPriority w:val="0"/>
    <w:rPr>
      <w:rFonts w:hint="default" w:ascii="Times New Roman" w:hAnsi="Times New Roman" w:cs="Times New Roman"/>
      <w:color w:val="000000"/>
      <w:sz w:val="18"/>
      <w:szCs w:val="18"/>
    </w:rPr>
  </w:style>
  <w:style w:type="character" w:customStyle="1" w:styleId="22">
    <w:name w:val="章标题 字符"/>
    <w:link w:val="17"/>
    <w:qFormat/>
    <w:uiPriority w:val="0"/>
    <w:rPr>
      <w:rFonts w:ascii="黑体" w:hAnsi="Times New Roman" w:eastAsia="黑体" w:cs="Times New Roman"/>
      <w:kern w:val="0"/>
      <w:szCs w:val="20"/>
    </w:rPr>
  </w:style>
  <w:style w:type="paragraph" w:customStyle="1" w:styleId="23">
    <w:name w:val="标准文件_段"/>
    <w:link w:val="24"/>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character" w:customStyle="1" w:styleId="24">
    <w:name w:val="标准文件_段 Char"/>
    <w:link w:val="23"/>
    <w:qFormat/>
    <w:locked/>
    <w:uiPriority w:val="0"/>
    <w:rPr>
      <w:rFonts w:ascii="宋体" w:hAnsi="Times New Roman" w:eastAsia="宋体" w:cs="Times New Roman"/>
      <w:kern w:val="0"/>
      <w:szCs w:val="20"/>
    </w:rPr>
  </w:style>
  <w:style w:type="paragraph" w:customStyle="1" w:styleId="25">
    <w:name w:val="字母编号列项（一级）"/>
    <w:qFormat/>
    <w:uiPriority w:val="0"/>
    <w:pPr>
      <w:numPr>
        <w:ilvl w:val="0"/>
        <w:numId w:val="1"/>
      </w:numPr>
      <w:jc w:val="both"/>
    </w:pPr>
    <w:rPr>
      <w:rFonts w:ascii="宋体" w:hAnsi="Times New Roman" w:eastAsia="宋体" w:cs="Times New Roman"/>
      <w:kern w:val="0"/>
      <w:sz w:val="21"/>
      <w:szCs w:val="20"/>
      <w:lang w:val="en-US" w:eastAsia="zh-CN" w:bidi="ar-SA"/>
    </w:rPr>
  </w:style>
  <w:style w:type="character" w:customStyle="1" w:styleId="26">
    <w:name w:val="一级条标题 Char"/>
    <w:link w:val="27"/>
    <w:qFormat/>
    <w:uiPriority w:val="99"/>
    <w:rPr>
      <w:rFonts w:ascii="黑体" w:eastAsia="黑体"/>
    </w:rPr>
  </w:style>
  <w:style w:type="paragraph" w:customStyle="1" w:styleId="27">
    <w:name w:val="一级条标题"/>
    <w:basedOn w:val="17"/>
    <w:next w:val="15"/>
    <w:link w:val="26"/>
    <w:qFormat/>
    <w:uiPriority w:val="99"/>
    <w:pPr>
      <w:spacing w:beforeLines="0" w:afterLines="0"/>
      <w:outlineLvl w:val="2"/>
    </w:pPr>
    <w:rPr>
      <w:rFonts w:hAnsiTheme="minorHAnsi" w:cstheme="minorBidi"/>
      <w:kern w:val="2"/>
      <w:szCs w:val="22"/>
    </w:rPr>
  </w:style>
  <w:style w:type="paragraph" w:customStyle="1" w:styleId="28">
    <w:name w:val="二级条标题"/>
    <w:basedOn w:val="1"/>
    <w:next w:val="15"/>
    <w:qFormat/>
    <w:uiPriority w:val="0"/>
    <w:pPr>
      <w:widowControl/>
      <w:spacing w:line="240" w:lineRule="auto"/>
      <w:outlineLvl w:val="3"/>
    </w:pPr>
    <w:rPr>
      <w:rFonts w:ascii="黑体" w:eastAsia="黑体"/>
      <w:kern w:val="0"/>
      <w:sz w:val="21"/>
      <w:szCs w:val="20"/>
    </w:rPr>
  </w:style>
  <w:style w:type="paragraph" w:customStyle="1" w:styleId="29">
    <w:name w:val="数字编号列项（二级）"/>
    <w:qFormat/>
    <w:uiPriority w:val="0"/>
    <w:pPr>
      <w:tabs>
        <w:tab w:val="left" w:pos="1259"/>
      </w:tabs>
      <w:ind w:left="1259" w:hanging="420"/>
      <w:jc w:val="both"/>
    </w:pPr>
    <w:rPr>
      <w:rFonts w:ascii="宋体" w:hAnsi="Times New Roman" w:eastAsia="宋体" w:cs="Times New Roman"/>
      <w:kern w:val="0"/>
      <w:sz w:val="21"/>
      <w:szCs w:val="20"/>
      <w:lang w:val="en-US" w:eastAsia="zh-CN" w:bidi="ar-SA"/>
    </w:rPr>
  </w:style>
  <w:style w:type="paragraph" w:customStyle="1" w:styleId="30">
    <w:name w:val="编号列项（三级）"/>
    <w:qFormat/>
    <w:uiPriority w:val="0"/>
    <w:pPr>
      <w:tabs>
        <w:tab w:val="left" w:pos="0"/>
      </w:tabs>
      <w:ind w:left="1678" w:hanging="419"/>
    </w:pPr>
    <w:rPr>
      <w:rFonts w:ascii="宋体" w:hAnsi="Times New Roman" w:eastAsia="宋体" w:cs="Times New Roman"/>
      <w:kern w:val="0"/>
      <w:sz w:val="21"/>
      <w:szCs w:val="20"/>
      <w:lang w:val="en-US" w:eastAsia="zh-CN" w:bidi="ar-SA"/>
    </w:rPr>
  </w:style>
  <w:style w:type="paragraph" w:customStyle="1" w:styleId="31">
    <w:name w:val="纯文本1"/>
    <w:basedOn w:val="1"/>
    <w:qFormat/>
    <w:uiPriority w:val="0"/>
    <w:rPr>
      <w:rFonts w:ascii="宋体" w:hAnsi="Courier New" w:cs="Courier New"/>
      <w:kern w:val="0"/>
      <w:sz w:val="20"/>
      <w:szCs w:val="21"/>
    </w:rPr>
  </w:style>
  <w:style w:type="paragraph" w:customStyle="1" w:styleId="32">
    <w:name w:val="标准文件_章标题"/>
    <w:next w:val="23"/>
    <w:qFormat/>
    <w:uiPriority w:val="0"/>
    <w:pPr>
      <w:widowControl/>
      <w:numPr>
        <w:ilvl w:val="1"/>
        <w:numId w:val="2"/>
      </w:numPr>
      <w:suppressAutoHyphens/>
      <w:bidi w:val="0"/>
      <w:spacing w:before="100" w:after="100"/>
      <w:jc w:val="both"/>
      <w:outlineLvl w:val="0"/>
    </w:pPr>
    <w:rPr>
      <w:rFonts w:ascii="黑体" w:hAnsi="黑体" w:eastAsia="黑体" w:cs="Times New Roman"/>
      <w:color w:val="auto"/>
      <w:kern w:val="0"/>
      <w:sz w:val="21"/>
      <w:szCs w:val="20"/>
      <w:lang w:val="en-US" w:eastAsia="zh-CN" w:bidi="ar-SA"/>
    </w:rPr>
  </w:style>
  <w:style w:type="paragraph" w:customStyle="1" w:styleId="33">
    <w:name w:val="标准文件_术语条一"/>
    <w:basedOn w:val="34"/>
    <w:next w:val="23"/>
    <w:qFormat/>
    <w:uiPriority w:val="0"/>
    <w:pPr>
      <w:tabs>
        <w:tab w:val="left" w:pos="0"/>
      </w:tabs>
    </w:pPr>
  </w:style>
  <w:style w:type="paragraph" w:customStyle="1" w:styleId="34">
    <w:name w:val="标准文件_一级无标题"/>
    <w:basedOn w:val="35"/>
    <w:qFormat/>
    <w:uiPriority w:val="0"/>
    <w:pPr>
      <w:tabs>
        <w:tab w:val="left" w:pos="0"/>
      </w:tabs>
      <w:spacing w:before="0" w:after="0"/>
      <w:outlineLvl w:val="9"/>
    </w:pPr>
    <w:rPr>
      <w:rFonts w:ascii="宋体" w:hAnsi="宋体" w:eastAsia="宋体"/>
    </w:rPr>
  </w:style>
  <w:style w:type="paragraph" w:customStyle="1" w:styleId="35">
    <w:name w:val="标准文件_一级条标题"/>
    <w:basedOn w:val="32"/>
    <w:next w:val="23"/>
    <w:qFormat/>
    <w:uiPriority w:val="0"/>
    <w:pPr>
      <w:spacing w:before="50" w:after="50"/>
      <w:outlineLvl w:val="1"/>
    </w:pPr>
  </w:style>
  <w:style w:type="paragraph" w:customStyle="1" w:styleId="36">
    <w:name w:val="标准文件_字母编号列项（一级）"/>
    <w:qFormat/>
    <w:uiPriority w:val="0"/>
    <w:pPr>
      <w:widowControl/>
      <w:numPr>
        <w:ilvl w:val="0"/>
        <w:numId w:val="3"/>
      </w:numPr>
      <w:suppressAutoHyphens/>
      <w:bidi w:val="0"/>
      <w:spacing w:before="0" w:after="0"/>
      <w:jc w:val="both"/>
    </w:pPr>
    <w:rPr>
      <w:rFonts w:ascii="宋体" w:hAnsi="宋体" w:eastAsia="宋体" w:cs="Times New Roman"/>
      <w:color w:val="auto"/>
      <w:kern w:val="0"/>
      <w:sz w:val="21"/>
      <w:szCs w:val="20"/>
      <w:lang w:val="en-US" w:eastAsia="zh-CN" w:bidi="ar-SA"/>
    </w:rPr>
  </w:style>
  <w:style w:type="paragraph" w:customStyle="1" w:styleId="37">
    <w:name w:val="标准文件_正文表标题"/>
    <w:next w:val="23"/>
    <w:qFormat/>
    <w:uiPriority w:val="0"/>
    <w:pPr>
      <w:widowControl/>
      <w:numPr>
        <w:ilvl w:val="0"/>
        <w:numId w:val="4"/>
      </w:numPr>
      <w:suppressAutoHyphens/>
      <w:bidi w:val="0"/>
      <w:spacing w:before="50" w:after="50"/>
      <w:jc w:val="center"/>
    </w:pPr>
    <w:rPr>
      <w:rFonts w:ascii="黑体" w:hAnsi="黑体" w:eastAsia="黑体" w:cs="Times New Roman"/>
      <w:color w:val="auto"/>
      <w:kern w:val="0"/>
      <w:sz w:val="21"/>
      <w:szCs w:val="20"/>
      <w:lang w:val="en-US" w:eastAsia="zh-CN" w:bidi="ar-SA"/>
    </w:rPr>
  </w:style>
  <w:style w:type="paragraph" w:customStyle="1" w:styleId="38">
    <w:name w:val="标准文件_表格"/>
    <w:basedOn w:val="23"/>
    <w:qFormat/>
    <w:uiPriority w:val="0"/>
    <w:pPr>
      <w:ind w:firstLine="0"/>
      <w:jc w:val="center"/>
    </w:pPr>
    <w:rPr>
      <w:sz w:val="18"/>
    </w:rPr>
  </w:style>
  <w:style w:type="paragraph" w:customStyle="1" w:styleId="39">
    <w:name w:val="标准文件_二级无标题"/>
    <w:basedOn w:val="40"/>
    <w:qFormat/>
    <w:uiPriority w:val="0"/>
    <w:pPr>
      <w:tabs>
        <w:tab w:val="left" w:pos="0"/>
      </w:tabs>
      <w:spacing w:before="0" w:after="0"/>
      <w:outlineLvl w:val="9"/>
    </w:pPr>
    <w:rPr>
      <w:rFonts w:ascii="宋体" w:hAnsi="宋体" w:eastAsia="宋体"/>
    </w:rPr>
  </w:style>
  <w:style w:type="paragraph" w:customStyle="1" w:styleId="40">
    <w:name w:val="标准文件_二级条标题"/>
    <w:next w:val="23"/>
    <w:qFormat/>
    <w:uiPriority w:val="0"/>
    <w:pPr>
      <w:widowControl w:val="0"/>
      <w:numPr>
        <w:ilvl w:val="3"/>
        <w:numId w:val="2"/>
      </w:numPr>
      <w:suppressAutoHyphens/>
      <w:bidi w:val="0"/>
      <w:spacing w:before="50" w:after="50"/>
      <w:jc w:val="both"/>
      <w:outlineLvl w:val="2"/>
    </w:pPr>
    <w:rPr>
      <w:rFonts w:ascii="黑体" w:hAnsi="黑体" w:eastAsia="黑体" w:cs="Times New Roman"/>
      <w:color w:val="auto"/>
      <w:kern w:val="0"/>
      <w:sz w:val="21"/>
      <w:szCs w:val="20"/>
      <w:lang w:val="en-US" w:eastAsia="zh-CN" w:bidi="ar-SA"/>
    </w:rPr>
  </w:style>
  <w:style w:type="paragraph" w:customStyle="1" w:styleId="41">
    <w:name w:val="标准文件_三级无标题"/>
    <w:basedOn w:val="42"/>
    <w:qFormat/>
    <w:uiPriority w:val="0"/>
    <w:pPr>
      <w:tabs>
        <w:tab w:val="left" w:pos="0"/>
      </w:tabs>
      <w:spacing w:before="0" w:after="0"/>
      <w:outlineLvl w:val="9"/>
    </w:pPr>
    <w:rPr>
      <w:rFonts w:ascii="宋体" w:hAnsi="宋体" w:eastAsia="宋体"/>
    </w:rPr>
  </w:style>
  <w:style w:type="paragraph" w:customStyle="1" w:styleId="42">
    <w:name w:val="标准文件_三级条标题"/>
    <w:basedOn w:val="40"/>
    <w:next w:val="23"/>
    <w:qFormat/>
    <w:uiPriority w:val="0"/>
    <w:pPr>
      <w:widowControl/>
      <w:outlineLvl w:val="3"/>
    </w:pPr>
  </w:style>
  <w:style w:type="paragraph" w:customStyle="1" w:styleId="43">
    <w:name w:val="标准文件_注："/>
    <w:next w:val="23"/>
    <w:qFormat/>
    <w:uiPriority w:val="0"/>
    <w:pPr>
      <w:widowControl w:val="0"/>
      <w:numPr>
        <w:ilvl w:val="0"/>
        <w:numId w:val="5"/>
      </w:numPr>
      <w:suppressAutoHyphens/>
      <w:bidi w:val="0"/>
      <w:spacing w:before="0" w:after="0"/>
      <w:jc w:val="both"/>
    </w:pPr>
    <w:rPr>
      <w:rFonts w:ascii="宋体" w:hAnsi="宋体" w:eastAsia="宋体" w:cs="Times New Roman"/>
      <w:color w:val="auto"/>
      <w:kern w:val="0"/>
      <w:sz w:val="18"/>
      <w:szCs w:val="1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40</Pages>
  <Words>2994</Words>
  <Characters>3285</Characters>
  <Lines>30</Lines>
  <Paragraphs>8</Paragraphs>
  <TotalTime>77</TotalTime>
  <ScaleCrop>false</ScaleCrop>
  <LinksUpToDate>false</LinksUpToDate>
  <CharactersWithSpaces>3323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2023-07-21T16:10:00Z</dcterms:created>
  <dc:creator>zhengy</dc:creator>
  <cp:lastModifiedBy>孙丽娟</cp:lastModifiedBy>
  <cp:lastPrinted>2022-04-07T09:55:00Z</cp:lastPrinted>
  <dcterms:modified xsi:type="dcterms:W3CDTF">2026-10-12T02:02:10Z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6FFC04145546491DB7D2D3493A8A3C6F_13</vt:lpwstr>
  </property>
  <property fmtid="{D5CDD505-2E9C-101B-9397-08002B2CF9AE}" pid="4" name="KSOTemplateDocerSaveRecord">
    <vt:lpwstr>eyJoZGlkIjoiMDMzM2I2ZjVkNDIwNzNhM2UwYWY0ZDY5NjRiOWM4MTgiLCJ1c2VySWQiOiI2NDg5MjQ4NDUifQ==</vt:lpwstr>
  </property>
</Properties>
</file>