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B21A2">
      <w:pPr>
        <w:autoSpaceDE w:val="0"/>
        <w:autoSpaceDN w:val="0"/>
        <w:adjustRightInd w:val="0"/>
        <w:ind w:firstLine="602"/>
        <w:jc w:val="center"/>
        <w:outlineLvl w:val="0"/>
        <w:rPr>
          <w:rFonts w:ascii="黑体" w:hAnsi="黑体" w:eastAsia="黑体"/>
          <w:b/>
          <w:bCs/>
          <w:sz w:val="30"/>
          <w:szCs w:val="30"/>
        </w:rPr>
      </w:pPr>
      <w:bookmarkStart w:id="0" w:name="OLE_LINK1"/>
      <w:bookmarkStart w:id="1" w:name="OLE_LINK2"/>
    </w:p>
    <w:p w14:paraId="3550DFBD">
      <w:pPr>
        <w:autoSpaceDE w:val="0"/>
        <w:autoSpaceDN w:val="0"/>
        <w:adjustRightInd w:val="0"/>
        <w:jc w:val="both"/>
        <w:outlineLvl w:val="0"/>
        <w:rPr>
          <w:rFonts w:ascii="黑体" w:hAnsi="黑体" w:eastAsia="黑体"/>
          <w:b/>
          <w:bCs/>
          <w:sz w:val="30"/>
          <w:szCs w:val="30"/>
        </w:rPr>
      </w:pPr>
    </w:p>
    <w:p w14:paraId="60563A2F">
      <w:pPr>
        <w:autoSpaceDE w:val="0"/>
        <w:autoSpaceDN w:val="0"/>
        <w:adjustRightInd w:val="0"/>
        <w:ind w:firstLine="602"/>
        <w:jc w:val="center"/>
        <w:outlineLvl w:val="0"/>
        <w:rPr>
          <w:rFonts w:ascii="黑体" w:hAnsi="黑体" w:eastAsia="黑体"/>
          <w:b/>
          <w:bCs/>
          <w:sz w:val="30"/>
          <w:szCs w:val="30"/>
        </w:rPr>
      </w:pPr>
    </w:p>
    <w:p w14:paraId="15A41824">
      <w:pPr>
        <w:autoSpaceDE w:val="0"/>
        <w:autoSpaceDN w:val="0"/>
        <w:adjustRightInd w:val="0"/>
        <w:ind w:firstLine="602"/>
        <w:jc w:val="center"/>
        <w:outlineLvl w:val="0"/>
        <w:rPr>
          <w:rFonts w:ascii="黑体" w:hAnsi="黑体" w:eastAsia="黑体"/>
          <w:b/>
          <w:bCs/>
          <w:sz w:val="30"/>
          <w:szCs w:val="30"/>
        </w:rPr>
      </w:pPr>
    </w:p>
    <w:p w14:paraId="2A6E7864">
      <w:pPr>
        <w:autoSpaceDE w:val="0"/>
        <w:autoSpaceDN w:val="0"/>
        <w:adjustRightInd w:val="0"/>
        <w:ind w:firstLine="0" w:firstLineChars="0"/>
        <w:outlineLvl w:val="0"/>
        <w:rPr>
          <w:rFonts w:ascii="黑体" w:hAnsi="黑体" w:eastAsia="黑体"/>
          <w:b/>
          <w:bCs/>
          <w:sz w:val="30"/>
          <w:szCs w:val="30"/>
        </w:rPr>
      </w:pPr>
    </w:p>
    <w:p w14:paraId="17E01D90">
      <w:pPr>
        <w:autoSpaceDE w:val="0"/>
        <w:autoSpaceDN w:val="0"/>
        <w:adjustRightInd w:val="0"/>
        <w:ind w:firstLine="602"/>
        <w:jc w:val="center"/>
        <w:outlineLvl w:val="0"/>
        <w:rPr>
          <w:rFonts w:ascii="黑体" w:hAnsi="黑体" w:eastAsia="黑体"/>
          <w:b/>
          <w:bCs/>
          <w:sz w:val="30"/>
          <w:szCs w:val="30"/>
        </w:rPr>
      </w:pPr>
    </w:p>
    <w:p w14:paraId="5D5CB989">
      <w:pPr>
        <w:autoSpaceDE w:val="0"/>
        <w:autoSpaceDN w:val="0"/>
        <w:adjustRightInd w:val="0"/>
        <w:ind w:firstLine="602"/>
        <w:jc w:val="center"/>
        <w:outlineLvl w:val="0"/>
        <w:rPr>
          <w:rFonts w:ascii="黑体" w:hAnsi="黑体" w:eastAsia="黑体"/>
          <w:b/>
          <w:bCs/>
          <w:sz w:val="30"/>
          <w:szCs w:val="30"/>
        </w:rPr>
      </w:pPr>
    </w:p>
    <w:p w14:paraId="25D6BE1E">
      <w:pPr>
        <w:pStyle w:val="16"/>
        <w:framePr w:w="0" w:hRule="auto" w:wrap="auto" w:vAnchor="margin" w:hAnchor="text" w:xAlign="left" w:yAlign="inline"/>
        <w:spacing w:line="300" w:lineRule="auto"/>
        <w:rPr>
          <w:rFonts w:ascii="宋体" w:hAnsi="宋体"/>
          <w:bCs/>
          <w:sz w:val="44"/>
          <w:szCs w:val="44"/>
        </w:rPr>
      </w:pPr>
      <w:r>
        <w:rPr>
          <w:rFonts w:hint="eastAsia" w:hAnsi="黑体"/>
          <w:bCs/>
          <w:sz w:val="44"/>
          <w:szCs w:val="44"/>
        </w:rPr>
        <w:t>中年人群亚健康状态治未病临床干预指南</w:t>
      </w:r>
      <w:r>
        <w:rPr>
          <w:rFonts w:hint="eastAsia" w:ascii="宋体" w:hAnsi="宋体"/>
          <w:bCs/>
          <w:sz w:val="44"/>
          <w:szCs w:val="44"/>
        </w:rPr>
        <w:t>(征求</w:t>
      </w:r>
      <w:r>
        <w:rPr>
          <w:rFonts w:ascii="宋体" w:hAnsi="宋体"/>
          <w:bCs/>
          <w:sz w:val="44"/>
          <w:szCs w:val="44"/>
        </w:rPr>
        <w:t>意见稿</w:t>
      </w:r>
      <w:r>
        <w:rPr>
          <w:rFonts w:hint="eastAsia" w:ascii="宋体" w:hAnsi="宋体"/>
          <w:bCs/>
          <w:sz w:val="44"/>
          <w:szCs w:val="44"/>
        </w:rPr>
        <w:t>)</w:t>
      </w:r>
    </w:p>
    <w:p w14:paraId="32C27136">
      <w:pPr>
        <w:autoSpaceDE w:val="0"/>
        <w:autoSpaceDN w:val="0"/>
        <w:adjustRightInd w:val="0"/>
        <w:ind w:firstLine="880"/>
        <w:outlineLvl w:val="0"/>
        <w:rPr>
          <w:rFonts w:ascii="黑体" w:hAnsi="黑体" w:eastAsia="黑体"/>
          <w:bCs/>
          <w:sz w:val="44"/>
          <w:szCs w:val="44"/>
        </w:rPr>
      </w:pPr>
      <w:r>
        <w:rPr>
          <w:rFonts w:hint="eastAsia" w:ascii="黑体" w:hAnsi="黑体" w:eastAsia="黑体"/>
          <w:bCs/>
          <w:sz w:val="44"/>
          <w:szCs w:val="44"/>
        </w:rPr>
        <w:t xml:space="preserve">         编制说明</w:t>
      </w:r>
    </w:p>
    <w:p w14:paraId="2B6A9507">
      <w:pPr>
        <w:autoSpaceDE w:val="0"/>
        <w:autoSpaceDN w:val="0"/>
        <w:adjustRightInd w:val="0"/>
        <w:ind w:firstLine="602"/>
        <w:jc w:val="center"/>
        <w:outlineLvl w:val="0"/>
        <w:rPr>
          <w:rFonts w:ascii="黑体" w:hAnsi="黑体" w:eastAsia="黑体"/>
          <w:b/>
          <w:bCs/>
          <w:sz w:val="30"/>
          <w:szCs w:val="30"/>
        </w:rPr>
      </w:pPr>
    </w:p>
    <w:p w14:paraId="0082C42F">
      <w:pPr>
        <w:autoSpaceDE w:val="0"/>
        <w:autoSpaceDN w:val="0"/>
        <w:adjustRightInd w:val="0"/>
        <w:ind w:firstLine="602"/>
        <w:jc w:val="center"/>
        <w:outlineLvl w:val="0"/>
        <w:rPr>
          <w:rFonts w:ascii="黑体" w:hAnsi="黑体" w:eastAsia="黑体"/>
          <w:b/>
          <w:bCs/>
          <w:sz w:val="30"/>
          <w:szCs w:val="30"/>
        </w:rPr>
      </w:pPr>
    </w:p>
    <w:p w14:paraId="23D55024">
      <w:pPr>
        <w:autoSpaceDE w:val="0"/>
        <w:autoSpaceDN w:val="0"/>
        <w:adjustRightInd w:val="0"/>
        <w:ind w:firstLine="602"/>
        <w:jc w:val="center"/>
        <w:outlineLvl w:val="0"/>
        <w:rPr>
          <w:rFonts w:ascii="黑体" w:hAnsi="黑体" w:eastAsia="黑体"/>
          <w:b/>
          <w:bCs/>
          <w:sz w:val="30"/>
          <w:szCs w:val="30"/>
        </w:rPr>
      </w:pPr>
    </w:p>
    <w:p w14:paraId="06B222D0">
      <w:pPr>
        <w:autoSpaceDE w:val="0"/>
        <w:autoSpaceDN w:val="0"/>
        <w:adjustRightInd w:val="0"/>
        <w:ind w:firstLine="0" w:firstLineChars="0"/>
        <w:outlineLvl w:val="0"/>
        <w:rPr>
          <w:rFonts w:ascii="黑体" w:hAnsi="黑体" w:eastAsia="黑体"/>
          <w:b/>
          <w:bCs/>
          <w:sz w:val="30"/>
          <w:szCs w:val="30"/>
        </w:rPr>
      </w:pPr>
    </w:p>
    <w:p w14:paraId="313AE0E4">
      <w:pPr>
        <w:autoSpaceDE w:val="0"/>
        <w:autoSpaceDN w:val="0"/>
        <w:adjustRightInd w:val="0"/>
        <w:ind w:firstLine="0" w:firstLineChars="0"/>
        <w:outlineLvl w:val="0"/>
        <w:rPr>
          <w:rFonts w:ascii="黑体" w:hAnsi="黑体" w:eastAsia="黑体"/>
          <w:b/>
          <w:bCs/>
          <w:sz w:val="30"/>
          <w:szCs w:val="30"/>
        </w:rPr>
      </w:pPr>
    </w:p>
    <w:p w14:paraId="144CCF47">
      <w:pPr>
        <w:autoSpaceDE w:val="0"/>
        <w:autoSpaceDN w:val="0"/>
        <w:adjustRightInd w:val="0"/>
        <w:ind w:firstLine="0" w:firstLineChars="0"/>
        <w:outlineLvl w:val="0"/>
        <w:rPr>
          <w:rFonts w:ascii="黑体" w:hAnsi="黑体" w:eastAsia="黑体"/>
          <w:b/>
          <w:bCs/>
          <w:sz w:val="30"/>
          <w:szCs w:val="30"/>
        </w:rPr>
      </w:pPr>
    </w:p>
    <w:p w14:paraId="20714D88">
      <w:pPr>
        <w:autoSpaceDE w:val="0"/>
        <w:autoSpaceDN w:val="0"/>
        <w:adjustRightInd w:val="0"/>
        <w:ind w:firstLine="560"/>
        <w:jc w:val="center"/>
        <w:outlineLvl w:val="0"/>
        <w:rPr>
          <w:rFonts w:hint="eastAsia"/>
        </w:rPr>
      </w:pPr>
    </w:p>
    <w:p w14:paraId="1B673A42">
      <w:pPr>
        <w:autoSpaceDE w:val="0"/>
        <w:autoSpaceDN w:val="0"/>
        <w:adjustRightInd w:val="0"/>
        <w:ind w:firstLine="560"/>
        <w:jc w:val="center"/>
        <w:outlineLvl w:val="0"/>
        <w:rPr>
          <w:rFonts w:hint="eastAsia"/>
        </w:rPr>
      </w:pPr>
      <w:r>
        <w:rPr>
          <w:rFonts w:hint="eastAsia"/>
        </w:rPr>
        <w:t>中年人群亚健康状态治未病临床干预指南起草工作组</w:t>
      </w:r>
    </w:p>
    <w:p w14:paraId="148B3F84">
      <w:pPr>
        <w:autoSpaceDE w:val="0"/>
        <w:autoSpaceDN w:val="0"/>
        <w:adjustRightInd w:val="0"/>
        <w:ind w:firstLine="560"/>
        <w:jc w:val="center"/>
        <w:outlineLvl w:val="0"/>
        <w:rPr>
          <w:rFonts w:hint="eastAsia"/>
        </w:rPr>
      </w:pPr>
      <w:r>
        <w:rPr>
          <w:rFonts w:hint="eastAsia"/>
        </w:rPr>
        <w:t>202</w:t>
      </w:r>
      <w:r>
        <w:rPr>
          <w:rFonts w:hint="eastAsia"/>
          <w:lang w:val="en-US" w:eastAsia="zh-CN"/>
        </w:rPr>
        <w:t>6</w:t>
      </w:r>
      <w:r>
        <w:rPr>
          <w:rFonts w:hint="eastAsia"/>
        </w:rPr>
        <w:t>年</w:t>
      </w:r>
      <w:r>
        <w:rPr>
          <w:rFonts w:hint="eastAsia"/>
          <w:lang w:val="en-US" w:eastAsia="zh-CN"/>
        </w:rPr>
        <w:t>4</w:t>
      </w:r>
      <w:r>
        <w:rPr>
          <w:rFonts w:hint="eastAsia"/>
        </w:rPr>
        <w:t>月</w:t>
      </w:r>
    </w:p>
    <w:p w14:paraId="109FB1DE">
      <w:pPr>
        <w:autoSpaceDE w:val="0"/>
        <w:autoSpaceDN w:val="0"/>
        <w:adjustRightInd w:val="0"/>
        <w:ind w:firstLine="480"/>
        <w:jc w:val="center"/>
        <w:outlineLvl w:val="0"/>
        <w:rPr>
          <w:rFonts w:ascii="汉仪中黑简" w:eastAsia="汉仪中黑简"/>
          <w:b/>
          <w:sz w:val="36"/>
        </w:rPr>
      </w:pPr>
      <w:r>
        <w:rPr>
          <w:rFonts w:ascii="黑体" w:hAnsi="黑体" w:eastAsia="黑体"/>
          <w:bCs/>
          <w:sz w:val="24"/>
        </w:rPr>
        <w:br w:type="page"/>
      </w:r>
      <w:bookmarkEnd w:id="0"/>
      <w:bookmarkEnd w:id="1"/>
    </w:p>
    <w:p w14:paraId="6D85529F">
      <w:pPr>
        <w:autoSpaceDE w:val="0"/>
        <w:autoSpaceDN w:val="0"/>
        <w:adjustRightInd w:val="0"/>
        <w:ind w:firstLine="560"/>
        <w:jc w:val="left"/>
        <w:outlineLvl w:val="0"/>
        <w:rPr>
          <w:rFonts w:ascii="黑体" w:hAnsi="黑体" w:eastAsia="黑体"/>
          <w:szCs w:val="28"/>
        </w:rPr>
      </w:pPr>
      <w:r>
        <w:rPr>
          <w:rFonts w:ascii="黑体" w:hAnsi="黑体" w:eastAsia="黑体"/>
          <w:szCs w:val="28"/>
        </w:rPr>
        <w:t>一、工作简况</w:t>
      </w:r>
    </w:p>
    <w:p w14:paraId="789BE80C">
      <w:pPr>
        <w:autoSpaceDE w:val="0"/>
        <w:autoSpaceDN w:val="0"/>
        <w:adjustRightInd w:val="0"/>
        <w:ind w:firstLine="562"/>
        <w:jc w:val="left"/>
        <w:rPr>
          <w:rFonts w:ascii="宋体" w:hAnsi="宋体"/>
          <w:b/>
          <w:szCs w:val="28"/>
        </w:rPr>
      </w:pPr>
      <w:r>
        <w:rPr>
          <w:rFonts w:hint="eastAsia" w:ascii="宋体" w:hAnsi="宋体"/>
          <w:b/>
          <w:szCs w:val="28"/>
        </w:rPr>
        <w:t xml:space="preserve">1. </w:t>
      </w:r>
      <w:r>
        <w:rPr>
          <w:rFonts w:ascii="宋体" w:hAnsi="宋体"/>
          <w:b/>
          <w:szCs w:val="28"/>
        </w:rPr>
        <w:t>任务来源</w:t>
      </w:r>
    </w:p>
    <w:p w14:paraId="3B87FFA7">
      <w:pPr>
        <w:ind w:firstLine="420" w:firstLineChars="150"/>
        <w:jc w:val="left"/>
        <w:rPr>
          <w:rFonts w:hint="eastAsia" w:ascii="宋体"/>
        </w:rPr>
      </w:pPr>
      <w:r>
        <w:rPr>
          <w:rFonts w:hint="eastAsia" w:ascii="宋体"/>
        </w:rPr>
        <w:t>本团体标准项目《中年人群亚健康状态治未病临床干预指南》由中国</w:t>
      </w:r>
      <w:r>
        <w:rPr>
          <w:rFonts w:hint="eastAsia" w:ascii="宋体"/>
          <w:lang w:val="en-US" w:eastAsia="zh-CN"/>
        </w:rPr>
        <w:t>中医药研究促进会</w:t>
      </w:r>
      <w:r>
        <w:rPr>
          <w:rFonts w:hint="eastAsia" w:ascii="宋体"/>
        </w:rPr>
        <w:t>于202</w:t>
      </w:r>
      <w:r>
        <w:rPr>
          <w:rFonts w:hint="eastAsia" w:ascii="宋体"/>
          <w:lang w:val="en-US" w:eastAsia="zh-CN"/>
        </w:rPr>
        <w:t>6</w:t>
      </w:r>
      <w:r>
        <w:rPr>
          <w:rFonts w:hint="eastAsia" w:ascii="宋体"/>
        </w:rPr>
        <w:t>年</w:t>
      </w:r>
      <w:r>
        <w:rPr>
          <w:rFonts w:hint="eastAsia" w:ascii="宋体"/>
          <w:lang w:val="en-US" w:eastAsia="zh-CN"/>
        </w:rPr>
        <w:t>4月 22</w:t>
      </w:r>
      <w:r>
        <w:rPr>
          <w:rFonts w:hint="eastAsia" w:ascii="宋体"/>
        </w:rPr>
        <w:t>日审核批准立项并发布团体标准立项公告，本团体标准（以下简称本标准）由</w:t>
      </w:r>
      <w:r>
        <w:rPr>
          <w:rFonts w:hint="eastAsia" w:ascii="宋体"/>
          <w:lang w:val="en-US" w:eastAsia="zh-CN"/>
        </w:rPr>
        <w:t>北京中医药大学东方医院</w:t>
      </w:r>
      <w:r>
        <w:rPr>
          <w:rFonts w:hint="eastAsia" w:ascii="宋体"/>
        </w:rPr>
        <w:t>提出，由中国</w:t>
      </w:r>
      <w:r>
        <w:rPr>
          <w:rFonts w:hint="eastAsia" w:ascii="宋体"/>
          <w:lang w:val="en-US" w:eastAsia="zh-CN"/>
        </w:rPr>
        <w:t>中医药研究促进会</w:t>
      </w:r>
      <w:r>
        <w:rPr>
          <w:rFonts w:hint="eastAsia" w:ascii="宋体"/>
        </w:rPr>
        <w:t>归口。</w:t>
      </w:r>
    </w:p>
    <w:p w14:paraId="582ABAA0">
      <w:pPr>
        <w:autoSpaceDE w:val="0"/>
        <w:autoSpaceDN w:val="0"/>
        <w:adjustRightInd w:val="0"/>
        <w:ind w:firstLine="562"/>
        <w:jc w:val="left"/>
        <w:rPr>
          <w:rFonts w:hint="eastAsia" w:ascii="宋体" w:hAnsi="宋体"/>
          <w:b/>
          <w:szCs w:val="28"/>
        </w:rPr>
      </w:pPr>
      <w:r>
        <w:rPr>
          <w:rFonts w:hint="eastAsia" w:ascii="宋体" w:hAnsi="宋体"/>
          <w:b/>
          <w:szCs w:val="28"/>
        </w:rPr>
        <w:t>2. 编制背景和意义</w:t>
      </w:r>
    </w:p>
    <w:p w14:paraId="40550BFC">
      <w:pPr>
        <w:ind w:firstLine="420" w:firstLineChars="150"/>
        <w:jc w:val="left"/>
        <w:rPr>
          <w:rFonts w:hint="eastAsia" w:ascii="宋体"/>
          <w:lang w:eastAsia="zh-CN"/>
        </w:rPr>
      </w:pPr>
      <w:r>
        <w:rPr>
          <w:rFonts w:hint="eastAsia" w:ascii="宋体"/>
          <w:lang w:eastAsia="zh-CN"/>
        </w:rPr>
        <w:t>亚健康状态是指人体处于健康和疾病之间的一种特殊状态，表现为一定时间内活力降低、功能和适应能力减退的症状，但不符合现代医学有关疾病的临床诊断标准。世界卫生组织将健康定义为"一种在身体、心理和社会适应方面的完好状态，而不仅仅是没有疾病"，这一定义为理解亚健康提供了重要框架。中年人群作为社会的中坚力量，承担着家庭与事业的双重压力，是亚健康状态的高发群体。流行病学调查显示，我国中年人群亚健康发生率已达60%以上，且呈逐年上升趋势，严重影响个体生活质量和社会生产力。</w:t>
      </w:r>
    </w:p>
    <w:p w14:paraId="53C41BE9">
      <w:pPr>
        <w:ind w:firstLine="420" w:firstLineChars="150"/>
        <w:jc w:val="left"/>
        <w:rPr>
          <w:rFonts w:hint="eastAsia" w:ascii="宋体"/>
          <w:lang w:eastAsia="zh-CN"/>
        </w:rPr>
      </w:pPr>
      <w:r>
        <w:rPr>
          <w:rFonts w:hint="eastAsia" w:ascii="宋体"/>
          <w:lang w:eastAsia="zh-CN"/>
        </w:rPr>
        <w:t>中医药学“治未病”思想源于《黄帝内经》，历经数千年发展，形成了“未病先防、既病防变、瘥后防复”的完整理论体系，与当代健康管理理念高度契合。中医强调"形神合一"的整体观，注重体质辨识与个体化干预，在调理亚健康状态方面具有独特优势。然而，当前中年亚健康状态的中医干预尚缺乏统一规范，存在诊断标准不一、辨证分型混乱、干预措施缺乏循证依据等问题，制约了中医药在健康管理领域的推广应用。</w:t>
      </w:r>
    </w:p>
    <w:p w14:paraId="3A30E956">
      <w:pPr>
        <w:ind w:firstLine="420" w:firstLineChars="150"/>
        <w:jc w:val="left"/>
        <w:rPr>
          <w:rFonts w:hint="eastAsia" w:ascii="宋体"/>
        </w:rPr>
      </w:pPr>
      <w:r>
        <w:rPr>
          <w:rFonts w:hint="eastAsia" w:ascii="宋体"/>
          <w:lang w:eastAsia="zh-CN"/>
        </w:rPr>
        <w:t>制定本标准旨在建立科学、规范、可操作的中年亚健康状态中医治未病干预技术方案，为医疗机构、健康管理机构及基层卫生单位提供技术参考，促进中医药治未病服务的标准化、规范化发展，提升中年人群健康水平，助力“健康中国”战略实施。</w:t>
      </w:r>
    </w:p>
    <w:p w14:paraId="4DB4D983">
      <w:pPr>
        <w:ind w:firstLine="422" w:firstLineChars="150"/>
        <w:jc w:val="left"/>
        <w:rPr>
          <w:rFonts w:ascii="宋体" w:hAnsi="宋体"/>
          <w:b/>
          <w:szCs w:val="28"/>
        </w:rPr>
      </w:pPr>
      <w:r>
        <w:rPr>
          <w:rFonts w:hint="eastAsia" w:ascii="宋体" w:hAnsi="宋体"/>
          <w:b/>
          <w:szCs w:val="28"/>
        </w:rPr>
        <w:t>3</w:t>
      </w:r>
      <w:r>
        <w:rPr>
          <w:rFonts w:ascii="宋体" w:hAnsi="宋体"/>
          <w:b/>
          <w:szCs w:val="28"/>
        </w:rPr>
        <w:t>. 工作过程</w:t>
      </w:r>
      <w:r>
        <w:rPr>
          <w:rFonts w:hint="eastAsia" w:ascii="宋体" w:hAnsi="宋体"/>
          <w:b/>
          <w:szCs w:val="28"/>
        </w:rPr>
        <w:t>及安排</w:t>
      </w:r>
    </w:p>
    <w:p w14:paraId="7D5C568D">
      <w:pPr>
        <w:autoSpaceDE w:val="0"/>
        <w:autoSpaceDN w:val="0"/>
        <w:adjustRightInd w:val="0"/>
        <w:ind w:firstLine="560"/>
        <w:jc w:val="left"/>
        <w:rPr>
          <w:rFonts w:ascii="宋体" w:hAnsi="宋体"/>
          <w:szCs w:val="28"/>
        </w:rPr>
      </w:pPr>
      <w:r>
        <w:rPr>
          <w:rFonts w:hint="eastAsia" w:ascii="宋体" w:hAnsi="宋体"/>
          <w:szCs w:val="28"/>
        </w:rPr>
        <w:t>1）标准立项</w:t>
      </w:r>
    </w:p>
    <w:p w14:paraId="4A953EB0">
      <w:pPr>
        <w:pStyle w:val="18"/>
        <w:snapToGrid w:val="0"/>
        <w:ind w:firstLine="560"/>
        <w:rPr>
          <w:rFonts w:ascii="Times New Roman" w:hAnsi="宋体" w:eastAsia="宋体" w:cs="Times New Roman"/>
          <w:kern w:val="2"/>
          <w:sz w:val="28"/>
          <w:szCs w:val="21"/>
          <w:lang w:val="en-US" w:eastAsia="zh-CN" w:bidi="ar-SA"/>
        </w:rPr>
      </w:pPr>
      <w:r>
        <w:rPr>
          <w:rFonts w:hint="eastAsia" w:ascii="Times New Roman" w:hAnsi="宋体" w:eastAsia="宋体" w:cs="Times New Roman"/>
          <w:kern w:val="2"/>
          <w:sz w:val="28"/>
          <w:szCs w:val="21"/>
          <w:lang w:val="en-US" w:eastAsia="zh-CN" w:bidi="ar-SA"/>
        </w:rPr>
        <w:t>202</w:t>
      </w:r>
      <w:r>
        <w:rPr>
          <w:rFonts w:hint="eastAsia" w:hAnsi="宋体" w:cs="Times New Roman"/>
          <w:kern w:val="2"/>
          <w:sz w:val="28"/>
          <w:szCs w:val="21"/>
          <w:lang w:val="en-US" w:eastAsia="zh-CN" w:bidi="ar-SA"/>
        </w:rPr>
        <w:t>6</w:t>
      </w:r>
      <w:r>
        <w:rPr>
          <w:rFonts w:hint="eastAsia" w:ascii="Times New Roman" w:hAnsi="宋体" w:eastAsia="宋体" w:cs="Times New Roman"/>
          <w:kern w:val="2"/>
          <w:sz w:val="28"/>
          <w:szCs w:val="21"/>
          <w:lang w:val="en-US" w:eastAsia="zh-CN" w:bidi="ar-SA"/>
        </w:rPr>
        <w:t>年</w:t>
      </w:r>
      <w:r>
        <w:rPr>
          <w:rFonts w:hint="eastAsia" w:hAnsi="宋体" w:cs="Times New Roman"/>
          <w:kern w:val="2"/>
          <w:sz w:val="28"/>
          <w:szCs w:val="21"/>
          <w:lang w:val="en-US" w:eastAsia="zh-CN" w:bidi="ar-SA"/>
        </w:rPr>
        <w:t>2月起</w:t>
      </w:r>
      <w:r>
        <w:rPr>
          <w:rFonts w:hint="eastAsia" w:ascii="Times New Roman" w:hAnsi="宋体" w:eastAsia="宋体" w:cs="Times New Roman"/>
          <w:kern w:val="2"/>
          <w:sz w:val="28"/>
          <w:szCs w:val="21"/>
          <w:lang w:val="en-US" w:eastAsia="zh-CN" w:bidi="ar-SA"/>
        </w:rPr>
        <w:t>，通过开展大量文献分析、理论研究，</w:t>
      </w:r>
      <w:r>
        <w:rPr>
          <w:rFonts w:hint="eastAsia" w:hAnsi="宋体" w:cs="Times New Roman"/>
          <w:kern w:val="2"/>
          <w:sz w:val="28"/>
          <w:szCs w:val="21"/>
          <w:lang w:val="en-US" w:eastAsia="zh-CN" w:bidi="ar-SA"/>
        </w:rPr>
        <w:t>北京中医药大学东方医院刘洋教授牵头</w:t>
      </w:r>
      <w:r>
        <w:rPr>
          <w:rFonts w:hint="eastAsia" w:ascii="Times New Roman" w:hAnsi="宋体" w:eastAsia="宋体" w:cs="Times New Roman"/>
          <w:kern w:val="2"/>
          <w:sz w:val="28"/>
          <w:szCs w:val="21"/>
          <w:lang w:val="en-US" w:eastAsia="zh-CN" w:bidi="ar-SA"/>
        </w:rPr>
        <w:t>完成了《</w:t>
      </w:r>
      <w:sdt>
        <w:sdtPr>
          <w:tag w:val="NEW_STAND_NAME"/>
          <w:id w:val="147451031"/>
          <w:placeholder>
            <w:docPart w:val="{8d811923-60d8-45dc-a70e-7bbbfbb2c1ca}"/>
          </w:placeholder>
        </w:sdtPr>
        <w:sdtEndPr>
          <w:rPr>
            <w:rFonts w:hint="eastAsia"/>
          </w:rPr>
        </w:sdtEndPr>
        <w:sdtContent>
          <w:r>
            <w:rPr>
              <w:rFonts w:hint="eastAsia"/>
              <w:lang w:val="en-US" w:eastAsia="zh-CN"/>
            </w:rPr>
            <w:t>中年人群亚健康状态治未病临床干预指南</w:t>
          </w:r>
        </w:sdtContent>
      </w:sdt>
      <w:r>
        <w:rPr>
          <w:rFonts w:hint="eastAsia" w:ascii="Times New Roman" w:hAnsi="宋体" w:eastAsia="宋体" w:cs="Times New Roman"/>
          <w:kern w:val="2"/>
          <w:sz w:val="28"/>
          <w:szCs w:val="21"/>
          <w:lang w:val="en-US" w:eastAsia="zh-CN" w:bidi="ar-SA"/>
        </w:rPr>
        <w:t>》项目立项申请工作，</w:t>
      </w:r>
      <w:r>
        <w:rPr>
          <w:rFonts w:hint="eastAsia" w:ascii="宋体"/>
        </w:rPr>
        <w:t>中国</w:t>
      </w:r>
      <w:r>
        <w:rPr>
          <w:rFonts w:hint="eastAsia" w:ascii="宋体"/>
          <w:lang w:val="en-US" w:eastAsia="zh-CN"/>
        </w:rPr>
        <w:t>中医药研究促进会</w:t>
      </w:r>
      <w:r>
        <w:rPr>
          <w:rFonts w:ascii="Times New Roman" w:hAnsi="宋体" w:eastAsia="宋体" w:cs="Times New Roman"/>
          <w:kern w:val="2"/>
          <w:sz w:val="28"/>
          <w:szCs w:val="21"/>
          <w:lang w:val="en-US" w:eastAsia="zh-CN" w:bidi="ar-SA"/>
        </w:rPr>
        <w:t>组织了团体标准立项</w:t>
      </w:r>
      <w:r>
        <w:rPr>
          <w:rFonts w:hint="eastAsia" w:ascii="Times New Roman" w:hAnsi="宋体" w:eastAsia="宋体" w:cs="Times New Roman"/>
          <w:kern w:val="2"/>
          <w:sz w:val="28"/>
          <w:szCs w:val="21"/>
          <w:lang w:val="en-US" w:eastAsia="zh-CN" w:bidi="ar-SA"/>
        </w:rPr>
        <w:t>评审</w:t>
      </w:r>
      <w:r>
        <w:rPr>
          <w:rFonts w:ascii="Times New Roman" w:hAnsi="宋体" w:eastAsia="宋体" w:cs="Times New Roman"/>
          <w:kern w:val="2"/>
          <w:sz w:val="28"/>
          <w:szCs w:val="21"/>
          <w:lang w:val="en-US" w:eastAsia="zh-CN" w:bidi="ar-SA"/>
        </w:rPr>
        <w:t>，经专家评议、研究论证，</w:t>
      </w:r>
      <w:r>
        <w:rPr>
          <w:rFonts w:hint="eastAsia" w:ascii="Times New Roman" w:hAnsi="宋体" w:eastAsia="宋体" w:cs="Times New Roman"/>
          <w:kern w:val="2"/>
          <w:sz w:val="28"/>
          <w:szCs w:val="21"/>
          <w:lang w:val="en-US" w:eastAsia="zh-CN" w:bidi="ar-SA"/>
        </w:rPr>
        <w:t>经</w:t>
      </w:r>
      <w:r>
        <w:rPr>
          <w:rFonts w:hint="eastAsia" w:ascii="宋体"/>
        </w:rPr>
        <w:t>中国</w:t>
      </w:r>
      <w:r>
        <w:rPr>
          <w:rFonts w:hint="eastAsia" w:ascii="宋体"/>
          <w:lang w:val="en-US" w:eastAsia="zh-CN"/>
        </w:rPr>
        <w:t>中医药研究促进会</w:t>
      </w:r>
      <w:r>
        <w:rPr>
          <w:rFonts w:hint="eastAsia" w:ascii="Times New Roman" w:hAnsi="宋体" w:eastAsia="宋体" w:cs="Times New Roman"/>
          <w:kern w:val="2"/>
          <w:sz w:val="28"/>
          <w:szCs w:val="21"/>
          <w:lang w:val="en-US" w:eastAsia="zh-CN" w:bidi="ar-SA"/>
        </w:rPr>
        <w:t>立项评估</w:t>
      </w:r>
      <w:r>
        <w:rPr>
          <w:rFonts w:ascii="Times New Roman" w:hAnsi="宋体" w:eastAsia="宋体" w:cs="Times New Roman"/>
          <w:kern w:val="2"/>
          <w:sz w:val="28"/>
          <w:szCs w:val="21"/>
          <w:lang w:val="en-US" w:eastAsia="zh-CN" w:bidi="ar-SA"/>
        </w:rPr>
        <w:t>通过</w:t>
      </w:r>
      <w:r>
        <w:rPr>
          <w:rFonts w:hint="eastAsia" w:ascii="Times New Roman" w:hAnsi="宋体" w:eastAsia="宋体" w:cs="Times New Roman"/>
          <w:kern w:val="2"/>
          <w:sz w:val="28"/>
          <w:szCs w:val="21"/>
          <w:lang w:val="en-US" w:eastAsia="zh-CN" w:bidi="ar-SA"/>
        </w:rPr>
        <w:t>，于202</w:t>
      </w:r>
      <w:r>
        <w:rPr>
          <w:rFonts w:hint="eastAsia" w:hAnsi="宋体" w:cs="Times New Roman"/>
          <w:kern w:val="2"/>
          <w:sz w:val="28"/>
          <w:szCs w:val="21"/>
          <w:lang w:val="en-US" w:eastAsia="zh-CN" w:bidi="ar-SA"/>
        </w:rPr>
        <w:t>6</w:t>
      </w:r>
      <w:r>
        <w:rPr>
          <w:rFonts w:hint="eastAsia" w:ascii="Times New Roman" w:hAnsi="宋体" w:eastAsia="宋体" w:cs="Times New Roman"/>
          <w:kern w:val="2"/>
          <w:sz w:val="28"/>
          <w:szCs w:val="21"/>
          <w:lang w:val="en-US" w:eastAsia="zh-CN" w:bidi="ar-SA"/>
        </w:rPr>
        <w:t>年</w:t>
      </w:r>
      <w:r>
        <w:rPr>
          <w:rFonts w:hint="eastAsia" w:hAnsi="宋体" w:cs="Times New Roman"/>
          <w:kern w:val="2"/>
          <w:sz w:val="28"/>
          <w:szCs w:val="21"/>
          <w:lang w:val="en-US" w:eastAsia="zh-CN" w:bidi="ar-SA"/>
        </w:rPr>
        <w:t>4</w:t>
      </w:r>
      <w:r>
        <w:rPr>
          <w:rFonts w:hint="eastAsia" w:ascii="Times New Roman" w:hAnsi="宋体" w:eastAsia="宋体" w:cs="Times New Roman"/>
          <w:kern w:val="2"/>
          <w:sz w:val="28"/>
          <w:szCs w:val="21"/>
          <w:lang w:val="en-US" w:eastAsia="zh-CN" w:bidi="ar-SA"/>
        </w:rPr>
        <w:t>月</w:t>
      </w:r>
      <w:r>
        <w:rPr>
          <w:rFonts w:hint="eastAsia" w:hAnsi="宋体" w:cs="Times New Roman"/>
          <w:kern w:val="2"/>
          <w:sz w:val="28"/>
          <w:szCs w:val="21"/>
          <w:lang w:val="en-US" w:eastAsia="zh-CN" w:bidi="ar-SA"/>
        </w:rPr>
        <w:t>13</w:t>
      </w:r>
      <w:r>
        <w:rPr>
          <w:rFonts w:hint="eastAsia" w:ascii="Times New Roman" w:hAnsi="宋体" w:eastAsia="宋体" w:cs="Times New Roman"/>
          <w:kern w:val="2"/>
          <w:sz w:val="28"/>
          <w:szCs w:val="21"/>
          <w:lang w:val="en-US" w:eastAsia="zh-CN" w:bidi="ar-SA"/>
        </w:rPr>
        <w:t>日发文批准团体标准立项。</w:t>
      </w:r>
    </w:p>
    <w:p w14:paraId="38E8F184">
      <w:pPr>
        <w:autoSpaceDE w:val="0"/>
        <w:autoSpaceDN w:val="0"/>
        <w:adjustRightInd w:val="0"/>
        <w:ind w:firstLine="560"/>
        <w:jc w:val="left"/>
        <w:rPr>
          <w:rFonts w:ascii="宋体" w:hAnsi="宋体"/>
          <w:szCs w:val="28"/>
        </w:rPr>
      </w:pPr>
      <w:r>
        <w:rPr>
          <w:rFonts w:hint="eastAsia" w:ascii="宋体" w:hAnsi="宋体"/>
          <w:szCs w:val="28"/>
        </w:rPr>
        <w:t>2）标准起草阶段</w:t>
      </w:r>
    </w:p>
    <w:p w14:paraId="098168DC">
      <w:pPr>
        <w:numPr>
          <w:ilvl w:val="0"/>
          <w:numId w:val="0"/>
        </w:numPr>
        <w:autoSpaceDE w:val="0"/>
        <w:autoSpaceDN w:val="0"/>
        <w:adjustRightInd w:val="0"/>
        <w:ind w:firstLine="560" w:firstLineChars="200"/>
        <w:jc w:val="left"/>
        <w:rPr>
          <w:rFonts w:hint="eastAsia" w:eastAsia="宋体"/>
          <w:lang w:eastAsia="zh-CN"/>
        </w:rPr>
      </w:pPr>
      <w:r>
        <w:rPr>
          <w:rFonts w:hint="eastAsia" w:ascii="宋体" w:hAnsi="宋体"/>
          <w:szCs w:val="28"/>
        </w:rPr>
        <w:t>202</w:t>
      </w:r>
      <w:r>
        <w:rPr>
          <w:rFonts w:hint="eastAsia" w:ascii="宋体" w:hAnsi="宋体"/>
          <w:szCs w:val="28"/>
          <w:lang w:val="en-US" w:eastAsia="zh-CN"/>
        </w:rPr>
        <w:t>6</w:t>
      </w:r>
      <w:r>
        <w:rPr>
          <w:rFonts w:hint="eastAsia" w:ascii="Times New Roman" w:hAnsi="宋体" w:eastAsia="宋体" w:cs="Times New Roman"/>
          <w:kern w:val="2"/>
          <w:sz w:val="28"/>
          <w:szCs w:val="21"/>
          <w:lang w:val="en-US" w:eastAsia="zh-CN" w:bidi="ar-SA"/>
        </w:rPr>
        <w:t>年</w:t>
      </w:r>
      <w:r>
        <w:rPr>
          <w:rFonts w:hint="eastAsia" w:hAnsi="宋体" w:cs="Times New Roman"/>
          <w:kern w:val="2"/>
          <w:sz w:val="28"/>
          <w:szCs w:val="21"/>
          <w:lang w:val="en-US" w:eastAsia="zh-CN" w:bidi="ar-SA"/>
        </w:rPr>
        <w:t>4月</w:t>
      </w:r>
      <w:r>
        <w:rPr>
          <w:rFonts w:hint="eastAsia" w:ascii="Times New Roman" w:hAnsi="宋体" w:eastAsia="宋体" w:cs="Times New Roman"/>
          <w:kern w:val="2"/>
          <w:sz w:val="28"/>
          <w:szCs w:val="21"/>
          <w:lang w:val="en-US" w:eastAsia="zh-CN" w:bidi="ar-SA"/>
        </w:rPr>
        <w:t>，由</w:t>
      </w:r>
      <w:r>
        <w:rPr>
          <w:rFonts w:hint="eastAsia" w:hAnsi="宋体" w:cs="Times New Roman"/>
          <w:kern w:val="2"/>
          <w:sz w:val="28"/>
          <w:szCs w:val="21"/>
          <w:lang w:val="en-US" w:eastAsia="zh-CN" w:bidi="ar-SA"/>
        </w:rPr>
        <w:t>北京中医药大学东方医院</w:t>
      </w:r>
      <w:r>
        <w:rPr>
          <w:rFonts w:hint="eastAsia" w:ascii="Times New Roman" w:hAnsi="宋体" w:eastAsia="宋体" w:cs="Times New Roman"/>
          <w:kern w:val="2"/>
          <w:sz w:val="28"/>
          <w:szCs w:val="21"/>
          <w:lang w:val="en-US" w:eastAsia="zh-CN" w:bidi="ar-SA"/>
        </w:rPr>
        <w:t>组织召开</w:t>
      </w:r>
      <w:r>
        <w:rPr>
          <w:rFonts w:ascii="Times New Roman" w:hAnsi="宋体" w:eastAsia="宋体" w:cs="Times New Roman"/>
          <w:kern w:val="2"/>
          <w:sz w:val="28"/>
          <w:szCs w:val="21"/>
          <w:lang w:val="en-US" w:eastAsia="zh-CN" w:bidi="ar-SA"/>
        </w:rPr>
        <w:t>了</w:t>
      </w:r>
      <w:r>
        <w:rPr>
          <w:rFonts w:hint="eastAsia" w:ascii="Times New Roman" w:hAnsi="宋体" w:eastAsia="宋体" w:cs="Times New Roman"/>
          <w:kern w:val="2"/>
          <w:sz w:val="28"/>
          <w:szCs w:val="21"/>
          <w:lang w:val="en-US" w:eastAsia="zh-CN" w:bidi="ar-SA"/>
        </w:rPr>
        <w:t>本项目团体</w:t>
      </w:r>
      <w:r>
        <w:rPr>
          <w:rFonts w:ascii="Times New Roman" w:hAnsi="宋体" w:eastAsia="宋体" w:cs="Times New Roman"/>
          <w:kern w:val="2"/>
          <w:sz w:val="28"/>
          <w:szCs w:val="21"/>
          <w:lang w:val="en-US" w:eastAsia="zh-CN" w:bidi="ar-SA"/>
        </w:rPr>
        <w:t>标准启动会，会议</w:t>
      </w:r>
      <w:r>
        <w:rPr>
          <w:rFonts w:hint="eastAsia" w:ascii="Times New Roman" w:hAnsi="宋体" w:eastAsia="宋体" w:cs="Times New Roman"/>
          <w:kern w:val="2"/>
          <w:sz w:val="28"/>
          <w:szCs w:val="21"/>
          <w:lang w:val="en-US" w:eastAsia="zh-CN" w:bidi="ar-SA"/>
        </w:rPr>
        <w:t>上</w:t>
      </w:r>
      <w:r>
        <w:rPr>
          <w:rFonts w:ascii="Times New Roman" w:hAnsi="宋体" w:eastAsia="宋体" w:cs="Times New Roman"/>
          <w:kern w:val="2"/>
          <w:sz w:val="28"/>
          <w:szCs w:val="21"/>
          <w:lang w:val="en-US" w:eastAsia="zh-CN" w:bidi="ar-SA"/>
        </w:rPr>
        <w:t>成立了</w:t>
      </w:r>
      <w:r>
        <w:rPr>
          <w:rFonts w:hint="eastAsia" w:hAnsi="宋体" w:cs="Times New Roman"/>
          <w:kern w:val="2"/>
          <w:sz w:val="28"/>
          <w:szCs w:val="21"/>
          <w:lang w:val="en-US" w:eastAsia="zh-CN" w:bidi="ar-SA"/>
        </w:rPr>
        <w:t>由北京中医药大学东方医院、呼和浩特市中医蒙医医院、北京中医药大学东直门医院</w:t>
      </w:r>
      <w:r>
        <w:rPr>
          <w:rFonts w:hint="eastAsia" w:ascii="Times New Roman" w:hAnsi="宋体" w:eastAsia="宋体" w:cs="Times New Roman"/>
          <w:kern w:val="2"/>
          <w:sz w:val="28"/>
          <w:szCs w:val="21"/>
          <w:lang w:val="en-US" w:eastAsia="zh-CN" w:bidi="ar-SA"/>
        </w:rPr>
        <w:t>等单位组成的标准起草工作组，会议经与会单位充分研讨</w:t>
      </w:r>
      <w:r>
        <w:rPr>
          <w:rFonts w:hint="eastAsia" w:hAnsi="宋体" w:cs="Times New Roman"/>
          <w:kern w:val="2"/>
          <w:sz w:val="28"/>
          <w:szCs w:val="21"/>
          <w:lang w:val="en-US" w:eastAsia="zh-CN" w:bidi="ar-SA"/>
        </w:rPr>
        <w:t>，</w:t>
      </w:r>
      <w:r>
        <w:rPr>
          <w:rFonts w:hint="eastAsia" w:ascii="Times New Roman" w:hAnsi="宋体" w:eastAsia="宋体" w:cs="Times New Roman"/>
          <w:kern w:val="2"/>
          <w:sz w:val="28"/>
          <w:szCs w:val="21"/>
          <w:lang w:val="en-US" w:eastAsia="zh-CN" w:bidi="ar-SA"/>
        </w:rPr>
        <w:t>确定</w:t>
      </w:r>
      <w:r>
        <w:rPr>
          <w:rFonts w:hint="eastAsia" w:hAnsi="宋体" w:cs="Times New Roman"/>
          <w:kern w:val="2"/>
          <w:sz w:val="28"/>
          <w:szCs w:val="21"/>
          <w:lang w:val="en-US" w:eastAsia="zh-CN" w:bidi="ar-SA"/>
        </w:rPr>
        <w:t>参考立项评审会专家意见，将</w:t>
      </w:r>
      <w:r>
        <w:rPr>
          <w:rFonts w:hint="eastAsia" w:ascii="Times New Roman" w:hAnsi="宋体" w:eastAsia="宋体" w:cs="Times New Roman"/>
          <w:kern w:val="2"/>
          <w:sz w:val="28"/>
          <w:szCs w:val="21"/>
          <w:lang w:val="en-US" w:eastAsia="zh-CN" w:bidi="ar-SA"/>
        </w:rPr>
        <w:t>本标准的项目名称修改</w:t>
      </w:r>
      <w:r>
        <w:rPr>
          <w:rFonts w:hint="eastAsia" w:hAnsi="宋体" w:cs="Times New Roman"/>
          <w:kern w:val="2"/>
          <w:sz w:val="28"/>
          <w:szCs w:val="21"/>
          <w:lang w:val="en-US" w:eastAsia="zh-CN" w:bidi="ar-SA"/>
        </w:rPr>
        <w:t>为</w:t>
      </w:r>
      <w:sdt>
        <w:sdtPr>
          <w:tag w:val="NEW_STAND_NAME"/>
          <w:id w:val="147462978"/>
          <w:placeholder>
            <w:docPart w:val="{9ea1a64b-2b95-4173-94e7-efeee05de541}"/>
          </w:placeholder>
        </w:sdtPr>
        <w:sdtEndPr>
          <w:rPr>
            <w:rFonts w:hint="eastAsia"/>
          </w:rPr>
        </w:sdtEndPr>
        <w:sdtContent>
          <w:r>
            <w:rPr>
              <w:rFonts w:hint="eastAsia"/>
              <w:lang w:val="en-US" w:eastAsia="zh-CN"/>
            </w:rPr>
            <w:t>《</w:t>
          </w:r>
          <w:sdt>
            <w:sdtPr>
              <w:rPr>
                <w:rFonts w:hint="eastAsia"/>
              </w:rPr>
              <w:tag w:val="NEW_STAND_NAME"/>
              <w:id w:val="147483236"/>
              <w:placeholder>
                <w:docPart w:val="{72b26b1f-5984-4f1c-9e59-ac3dd71b705b}"/>
              </w:placeholder>
            </w:sdtPr>
            <w:sdtEndPr>
              <w:rPr>
                <w:rFonts w:hint="eastAsia"/>
              </w:rPr>
            </w:sdtEndPr>
            <w:sdtContent>
              <w:r>
                <w:rPr>
                  <w:rFonts w:hint="eastAsia"/>
                  <w:lang w:val="en-US" w:eastAsia="zh-CN"/>
                </w:rPr>
                <w:t>中年人群亚健康状态治未病临床干预指南</w:t>
              </w:r>
            </w:sdtContent>
          </w:sdt>
        </w:sdtContent>
      </w:sdt>
      <w:r>
        <w:rPr>
          <w:rFonts w:hint="eastAsia" w:ascii="宋体"/>
          <w:lang w:val="en-US" w:eastAsia="zh-CN"/>
        </w:rPr>
        <w:t>》，并明确了本指南的</w:t>
      </w:r>
      <w:r>
        <w:rPr>
          <w:rFonts w:hint="eastAsia" w:ascii="Times New Roman" w:hAnsi="宋体" w:eastAsia="宋体" w:cs="Times New Roman"/>
          <w:kern w:val="2"/>
          <w:sz w:val="28"/>
          <w:szCs w:val="21"/>
          <w:lang w:val="en-US" w:eastAsia="zh-CN" w:bidi="ar-SA"/>
        </w:rPr>
        <w:t>主要内容及框架结构。</w:t>
      </w:r>
    </w:p>
    <w:p w14:paraId="406EDD85">
      <w:pPr>
        <w:numPr>
          <w:ilvl w:val="0"/>
          <w:numId w:val="0"/>
        </w:numPr>
        <w:adjustRightInd w:val="0"/>
        <w:snapToGrid w:val="0"/>
        <w:spacing w:line="360" w:lineRule="auto"/>
        <w:ind w:firstLine="560" w:firstLineChars="200"/>
        <w:rPr>
          <w:rFonts w:hint="eastAsia" w:ascii="Helvetica" w:hAnsi="Helvetica" w:cs="Helvetica"/>
          <w:color w:val="000000"/>
          <w:kern w:val="2"/>
          <w:sz w:val="28"/>
          <w:szCs w:val="24"/>
          <w:lang w:val="en-US" w:eastAsia="zh-CN" w:bidi="ar-SA"/>
        </w:rPr>
      </w:pPr>
      <w:r>
        <w:rPr>
          <w:rFonts w:hint="eastAsia" w:ascii="Helvetica" w:hAnsi="Helvetica" w:eastAsia="宋体" w:cs="Helvetica"/>
          <w:color w:val="000000"/>
          <w:kern w:val="2"/>
          <w:sz w:val="28"/>
          <w:szCs w:val="24"/>
          <w:lang w:val="en-US" w:eastAsia="zh-CN" w:bidi="ar-SA"/>
        </w:rPr>
        <w:t>标准启动会后标准起草组</w:t>
      </w:r>
      <w:r>
        <w:rPr>
          <w:rFonts w:ascii="Helvetica" w:hAnsi="Helvetica" w:eastAsia="宋体" w:cs="Helvetica"/>
          <w:color w:val="000000"/>
          <w:kern w:val="2"/>
          <w:sz w:val="28"/>
          <w:szCs w:val="24"/>
          <w:lang w:val="en-US" w:eastAsia="zh-CN" w:bidi="ar-SA"/>
        </w:rPr>
        <w:t>开展了标准</w:t>
      </w:r>
      <w:r>
        <w:rPr>
          <w:rFonts w:hint="eastAsia" w:ascii="Helvetica" w:hAnsi="Helvetica" w:eastAsia="宋体" w:cs="Helvetica"/>
          <w:color w:val="000000"/>
          <w:kern w:val="2"/>
          <w:sz w:val="28"/>
          <w:szCs w:val="24"/>
          <w:lang w:val="en-US" w:eastAsia="zh-CN" w:bidi="ar-SA"/>
        </w:rPr>
        <w:t>文本</w:t>
      </w:r>
      <w:r>
        <w:rPr>
          <w:rFonts w:ascii="Helvetica" w:hAnsi="Helvetica" w:eastAsia="宋体" w:cs="Helvetica"/>
          <w:color w:val="000000"/>
          <w:kern w:val="2"/>
          <w:sz w:val="28"/>
          <w:szCs w:val="24"/>
          <w:lang w:val="en-US" w:eastAsia="zh-CN" w:bidi="ar-SA"/>
        </w:rPr>
        <w:t>的</w:t>
      </w:r>
      <w:r>
        <w:rPr>
          <w:rFonts w:hint="eastAsia" w:ascii="Helvetica" w:hAnsi="Helvetica" w:eastAsia="宋体" w:cs="Helvetica"/>
          <w:color w:val="000000"/>
          <w:kern w:val="2"/>
          <w:sz w:val="28"/>
          <w:szCs w:val="24"/>
          <w:lang w:val="en-US" w:eastAsia="zh-CN" w:bidi="ar-SA"/>
        </w:rPr>
        <w:t>相关文献</w:t>
      </w:r>
      <w:r>
        <w:rPr>
          <w:rFonts w:ascii="Helvetica" w:hAnsi="Helvetica" w:eastAsia="宋体" w:cs="Helvetica"/>
          <w:color w:val="000000"/>
          <w:kern w:val="2"/>
          <w:sz w:val="28"/>
          <w:szCs w:val="24"/>
          <w:lang w:val="en-US" w:eastAsia="zh-CN" w:bidi="ar-SA"/>
        </w:rPr>
        <w:t>采集</w:t>
      </w:r>
      <w:r>
        <w:rPr>
          <w:rFonts w:hint="eastAsia" w:ascii="Helvetica" w:hAnsi="Helvetica" w:eastAsia="宋体" w:cs="Helvetica"/>
          <w:color w:val="000000"/>
          <w:kern w:val="2"/>
          <w:sz w:val="28"/>
          <w:szCs w:val="24"/>
          <w:lang w:val="en-US" w:eastAsia="zh-CN" w:bidi="ar-SA"/>
        </w:rPr>
        <w:t>分析</w:t>
      </w:r>
      <w:r>
        <w:rPr>
          <w:rFonts w:hint="eastAsia" w:ascii="Helvetica" w:hAnsi="Helvetica" w:cs="Helvetica"/>
          <w:color w:val="000000"/>
          <w:kern w:val="2"/>
          <w:sz w:val="28"/>
          <w:szCs w:val="24"/>
          <w:lang w:val="en-US" w:eastAsia="zh-CN" w:bidi="ar-SA"/>
        </w:rPr>
        <w:t>，系统梳理了国内外中年亚健康领域的中医治未病研究进展、临床实践经验以及相关政策法规与标准规范。在此基础上，结合立项评审专家意见和启动会确定的框架结构，起草组成员分工协作，初步完成了《中年人群亚健康状态治未病临床干预指南》的草案初稿。初稿涵盖了范围、术语定义、诊断标准、辨证分型等核心技术内容，力求全面、系统地体现中医治未病理论在中年亚健康干预中的应用。</w:t>
      </w:r>
    </w:p>
    <w:p w14:paraId="640603E0">
      <w:pPr>
        <w:numPr>
          <w:ilvl w:val="0"/>
          <w:numId w:val="0"/>
        </w:numPr>
        <w:adjustRightInd w:val="0"/>
        <w:snapToGrid w:val="0"/>
        <w:spacing w:line="360" w:lineRule="auto"/>
        <w:ind w:firstLine="560" w:firstLineChars="200"/>
        <w:rPr>
          <w:rFonts w:ascii="Helvetica" w:hAnsi="Helvetica" w:eastAsia="宋体" w:cs="Helvetica"/>
          <w:color w:val="000000"/>
          <w:kern w:val="2"/>
          <w:sz w:val="28"/>
          <w:szCs w:val="24"/>
          <w:lang w:val="en-US" w:eastAsia="zh-CN" w:bidi="ar-SA"/>
        </w:rPr>
      </w:pPr>
      <w:r>
        <w:rPr>
          <w:rFonts w:hint="eastAsia" w:ascii="Helvetica" w:hAnsi="Helvetica" w:eastAsia="宋体" w:cs="Helvetica"/>
          <w:color w:val="000000"/>
          <w:kern w:val="2"/>
          <w:sz w:val="28"/>
          <w:szCs w:val="24"/>
          <w:lang w:val="en-US" w:eastAsia="zh-CN" w:bidi="ar-SA"/>
        </w:rPr>
        <w:t>标准编制期间召开</w:t>
      </w:r>
      <w:r>
        <w:rPr>
          <w:rFonts w:hint="eastAsia" w:ascii="Helvetica" w:hAnsi="Helvetica" w:cs="Helvetica"/>
          <w:color w:val="000000"/>
          <w:kern w:val="2"/>
          <w:sz w:val="28"/>
          <w:szCs w:val="24"/>
          <w:lang w:val="en-US" w:eastAsia="zh-CN" w:bidi="ar-SA"/>
        </w:rPr>
        <w:t>了</w:t>
      </w:r>
      <w:r>
        <w:rPr>
          <w:rFonts w:hint="eastAsia" w:ascii="Helvetica" w:hAnsi="Helvetica" w:eastAsia="宋体" w:cs="Helvetica"/>
          <w:color w:val="000000"/>
          <w:kern w:val="2"/>
          <w:sz w:val="28"/>
          <w:szCs w:val="24"/>
          <w:lang w:val="en-US" w:eastAsia="zh-CN" w:bidi="ar-SA"/>
        </w:rPr>
        <w:t>标准</w:t>
      </w:r>
      <w:r>
        <w:rPr>
          <w:rFonts w:ascii="Helvetica" w:hAnsi="Helvetica" w:eastAsia="宋体" w:cs="Helvetica"/>
          <w:color w:val="000000"/>
          <w:kern w:val="2"/>
          <w:sz w:val="28"/>
          <w:szCs w:val="24"/>
          <w:lang w:val="en-US" w:eastAsia="zh-CN" w:bidi="ar-SA"/>
        </w:rPr>
        <w:t>起草工作</w:t>
      </w:r>
      <w:r>
        <w:rPr>
          <w:rFonts w:hint="eastAsia" w:ascii="Helvetica" w:hAnsi="Helvetica" w:eastAsia="宋体" w:cs="Helvetica"/>
          <w:color w:val="000000"/>
          <w:kern w:val="2"/>
          <w:sz w:val="28"/>
          <w:szCs w:val="24"/>
          <w:lang w:val="en-US" w:eastAsia="zh-CN" w:bidi="ar-SA"/>
        </w:rPr>
        <w:t>会议，对草案初稿进行逐章逐节的细致审阅和修改，重点围绕内容的科学性、准确性、实用性以及表述的规范性展开深入讨论，对存在争议或需要进一步明确的条款进行反复推敲和完善，形成了标准征求意见稿初稿及编制说明</w:t>
      </w:r>
      <w:r>
        <w:rPr>
          <w:rFonts w:ascii="Helvetica" w:hAnsi="Helvetica" w:eastAsia="宋体" w:cs="Helvetica"/>
          <w:color w:val="000000"/>
          <w:kern w:val="2"/>
          <w:sz w:val="28"/>
          <w:szCs w:val="24"/>
          <w:lang w:val="en-US" w:eastAsia="zh-CN" w:bidi="ar-SA"/>
        </w:rPr>
        <w:t>等附件，提交</w:t>
      </w:r>
      <w:r>
        <w:rPr>
          <w:rFonts w:hint="eastAsia" w:ascii="Helvetica" w:hAnsi="Helvetica" w:eastAsia="宋体" w:cs="Helvetica"/>
          <w:color w:val="000000"/>
          <w:kern w:val="2"/>
          <w:sz w:val="28"/>
          <w:szCs w:val="24"/>
          <w:lang w:val="en-US" w:eastAsia="zh-CN" w:bidi="ar-SA"/>
        </w:rPr>
        <w:t>中国中医药研究促进会</w:t>
      </w:r>
      <w:r>
        <w:rPr>
          <w:rFonts w:ascii="Helvetica" w:hAnsi="Helvetica" w:eastAsia="宋体" w:cs="Helvetica"/>
          <w:color w:val="000000"/>
          <w:kern w:val="2"/>
          <w:sz w:val="28"/>
          <w:szCs w:val="24"/>
          <w:lang w:val="en-US" w:eastAsia="zh-CN" w:bidi="ar-SA"/>
        </w:rPr>
        <w:t>对外征求意见。</w:t>
      </w:r>
    </w:p>
    <w:p w14:paraId="1DEFC95C">
      <w:pPr>
        <w:ind w:firstLine="560"/>
        <w:rPr>
          <w:rFonts w:ascii="宋体" w:hAnsi="宋体"/>
          <w:szCs w:val="28"/>
        </w:rPr>
      </w:pPr>
      <w:r>
        <w:rPr>
          <w:rFonts w:hint="eastAsia" w:ascii="宋体" w:hAnsi="宋体"/>
          <w:szCs w:val="28"/>
        </w:rPr>
        <w:t>3）征求意见阶段</w:t>
      </w:r>
    </w:p>
    <w:p w14:paraId="761DDCE8">
      <w:pPr>
        <w:ind w:firstLine="560"/>
        <w:rPr>
          <w:rFonts w:ascii="宋体" w:hAnsi="宋体"/>
          <w:szCs w:val="28"/>
        </w:rPr>
      </w:pPr>
      <w:r>
        <w:rPr>
          <w:rFonts w:ascii="宋体" w:hAnsi="宋体"/>
          <w:szCs w:val="28"/>
        </w:rPr>
        <w:t>…</w:t>
      </w:r>
    </w:p>
    <w:p w14:paraId="6B6D40CB">
      <w:pPr>
        <w:ind w:firstLine="560"/>
        <w:rPr>
          <w:rFonts w:ascii="宋体" w:hAnsi="宋体"/>
          <w:szCs w:val="28"/>
        </w:rPr>
      </w:pPr>
      <w:r>
        <w:rPr>
          <w:rFonts w:hint="eastAsia" w:ascii="宋体" w:hAnsi="宋体"/>
          <w:szCs w:val="28"/>
        </w:rPr>
        <w:t>4）</w:t>
      </w:r>
      <w:r>
        <w:rPr>
          <w:rFonts w:hint="eastAsia" w:ascii="Times New Roman" w:hAnsi="宋体" w:eastAsia="宋体" w:cs="Times New Roman"/>
          <w:kern w:val="2"/>
          <w:sz w:val="28"/>
          <w:szCs w:val="21"/>
          <w:lang w:val="en-US" w:eastAsia="zh-CN" w:bidi="ar-SA"/>
        </w:rPr>
        <w:t>专家审查与报批阶段</w:t>
      </w:r>
    </w:p>
    <w:p w14:paraId="62949E19">
      <w:pPr>
        <w:ind w:firstLine="560"/>
        <w:rPr>
          <w:rFonts w:ascii="宋体" w:hAnsi="宋体"/>
          <w:szCs w:val="28"/>
        </w:rPr>
      </w:pPr>
      <w:r>
        <w:rPr>
          <w:rFonts w:ascii="宋体" w:hAnsi="宋体"/>
          <w:szCs w:val="28"/>
        </w:rPr>
        <w:t>…</w:t>
      </w:r>
    </w:p>
    <w:p w14:paraId="1814E8A4">
      <w:pPr>
        <w:ind w:firstLine="560"/>
        <w:rPr>
          <w:rFonts w:hint="eastAsia" w:ascii="宋体" w:hAnsi="宋体"/>
          <w:szCs w:val="28"/>
        </w:rPr>
      </w:pPr>
      <w:r>
        <w:rPr>
          <w:rFonts w:hint="eastAsia" w:ascii="宋体" w:hAnsi="宋体"/>
          <w:szCs w:val="28"/>
        </w:rPr>
        <w:t>5）标准报批</w:t>
      </w:r>
    </w:p>
    <w:p w14:paraId="086E3A73">
      <w:pPr>
        <w:ind w:firstLine="560"/>
        <w:rPr>
          <w:rFonts w:ascii="宋体" w:hAnsi="宋体"/>
          <w:szCs w:val="28"/>
        </w:rPr>
      </w:pPr>
      <w:r>
        <w:rPr>
          <w:rFonts w:hint="eastAsia" w:ascii="宋体" w:hAnsi="宋体"/>
          <w:szCs w:val="28"/>
        </w:rPr>
        <w:t>…</w:t>
      </w:r>
    </w:p>
    <w:p w14:paraId="2B2194AA">
      <w:pPr>
        <w:ind w:firstLine="560"/>
        <w:rPr>
          <w:rFonts w:hint="default" w:eastAsia="宋体"/>
          <w:highlight w:val="none"/>
          <w:lang w:val="en-US" w:eastAsia="zh-CN"/>
        </w:rPr>
      </w:pPr>
      <w:r>
        <w:rPr>
          <w:rFonts w:hint="eastAsia"/>
          <w:highlight w:val="none"/>
        </w:rPr>
        <w:t xml:space="preserve">4. </w:t>
      </w:r>
      <w:r>
        <w:rPr>
          <w:rFonts w:hint="eastAsia"/>
          <w:b/>
          <w:highlight w:val="none"/>
        </w:rPr>
        <w:t>起草单位</w:t>
      </w:r>
      <w:r>
        <w:rPr>
          <w:rFonts w:hint="eastAsia"/>
          <w:b/>
          <w:highlight w:val="none"/>
          <w:lang w:val="en-US" w:eastAsia="zh-CN"/>
        </w:rPr>
        <w:t>及参与专家</w:t>
      </w:r>
    </w:p>
    <w:p w14:paraId="0B687E24">
      <w:pPr>
        <w:rPr>
          <w:rFonts w:hint="default" w:eastAsia="宋体"/>
          <w:sz w:val="28"/>
          <w:szCs w:val="28"/>
          <w:highlight w:val="none"/>
          <w:lang w:val="en-US" w:eastAsia="zh-CN"/>
        </w:rPr>
      </w:pPr>
      <w:r>
        <w:rPr>
          <w:rFonts w:hint="eastAsia"/>
          <w:highlight w:val="none"/>
        </w:rPr>
        <w:t>1）本标准</w:t>
      </w:r>
      <w:r>
        <w:rPr>
          <w:rFonts w:hint="eastAsia"/>
          <w:highlight w:val="none"/>
          <w:lang w:val="en-US" w:eastAsia="zh-CN"/>
        </w:rPr>
        <w:t>发起</w:t>
      </w:r>
      <w:r>
        <w:rPr>
          <w:highlight w:val="none"/>
        </w:rPr>
        <w:t>单位</w:t>
      </w:r>
      <w:r>
        <w:rPr>
          <w:rFonts w:hint="eastAsia"/>
          <w:highlight w:val="none"/>
          <w:lang w:val="en-US" w:eastAsia="zh-CN"/>
        </w:rPr>
        <w:t>为</w:t>
      </w:r>
      <w:r>
        <w:rPr>
          <w:rFonts w:hint="eastAsia"/>
          <w:sz w:val="28"/>
          <w:szCs w:val="28"/>
          <w:highlight w:val="none"/>
          <w:lang w:val="en-US" w:eastAsia="zh-CN"/>
        </w:rPr>
        <w:t>北京中医药大学东方医院。</w:t>
      </w:r>
    </w:p>
    <w:p w14:paraId="52DC121B">
      <w:pPr>
        <w:bidi w:val="0"/>
        <w:rPr>
          <w:rFonts w:hint="eastAsia" w:eastAsia="宋体"/>
          <w:highlight w:val="none"/>
          <w:lang w:val="en-US" w:eastAsia="zh-CN"/>
        </w:rPr>
      </w:pPr>
      <w:r>
        <w:rPr>
          <w:rFonts w:hint="eastAsia"/>
          <w:highlight w:val="none"/>
        </w:rPr>
        <w:t>2）</w:t>
      </w:r>
      <w:r>
        <w:rPr>
          <w:rFonts w:hint="eastAsia" w:eastAsia="宋体"/>
          <w:highlight w:val="none"/>
        </w:rPr>
        <w:t>本标准主要起草人</w:t>
      </w:r>
      <w:r>
        <w:rPr>
          <w:rFonts w:hint="eastAsia" w:eastAsia="宋体"/>
          <w:highlight w:val="none"/>
          <w:lang w:val="en-US" w:eastAsia="zh-CN"/>
        </w:rPr>
        <w:t>包括刘洋</w:t>
      </w:r>
      <w:r>
        <w:rPr>
          <w:rFonts w:hint="eastAsia" w:eastAsia="宋体"/>
          <w:highlight w:val="none"/>
        </w:rPr>
        <w:t>（</w:t>
      </w:r>
      <w:r>
        <w:rPr>
          <w:rFonts w:hint="eastAsia" w:eastAsia="宋体"/>
          <w:highlight w:val="none"/>
          <w:lang w:val="en-US" w:eastAsia="zh-CN"/>
        </w:rPr>
        <w:t>北京中医药大学东方医院</w:t>
      </w:r>
      <w:r>
        <w:rPr>
          <w:rFonts w:hint="eastAsia" w:eastAsia="宋体"/>
          <w:highlight w:val="none"/>
        </w:rPr>
        <w:t>）、</w:t>
      </w:r>
      <w:r>
        <w:rPr>
          <w:rFonts w:hint="eastAsia" w:eastAsia="宋体"/>
          <w:highlight w:val="none"/>
          <w:lang w:val="en-US" w:eastAsia="zh-CN"/>
        </w:rPr>
        <w:t>吴梦玮</w:t>
      </w:r>
      <w:r>
        <w:rPr>
          <w:rFonts w:hint="eastAsia" w:eastAsia="宋体"/>
          <w:highlight w:val="none"/>
        </w:rPr>
        <w:t>（</w:t>
      </w:r>
      <w:r>
        <w:rPr>
          <w:rFonts w:hint="eastAsia" w:eastAsia="宋体"/>
          <w:highlight w:val="none"/>
          <w:lang w:val="en-US" w:eastAsia="zh-CN"/>
        </w:rPr>
        <w:t>北京中医药大学东方医院</w:t>
      </w:r>
      <w:r>
        <w:rPr>
          <w:rFonts w:hint="eastAsia" w:eastAsia="宋体"/>
          <w:highlight w:val="none"/>
        </w:rPr>
        <w:t>）、</w:t>
      </w:r>
      <w:r>
        <w:rPr>
          <w:rFonts w:hint="eastAsia" w:eastAsia="宋体"/>
          <w:highlight w:val="none"/>
          <w:lang w:val="en-US" w:eastAsia="zh-CN"/>
        </w:rPr>
        <w:t>朱晓</w:t>
      </w:r>
      <w:r>
        <w:rPr>
          <w:rFonts w:hint="eastAsia" w:eastAsia="宋体"/>
          <w:highlight w:val="none"/>
        </w:rPr>
        <w:t>（</w:t>
      </w:r>
      <w:r>
        <w:rPr>
          <w:rFonts w:hint="eastAsia" w:eastAsia="宋体"/>
          <w:highlight w:val="none"/>
          <w:lang w:val="en-US" w:eastAsia="zh-CN"/>
        </w:rPr>
        <w:t>呼和浩特市中医蒙医医院</w:t>
      </w:r>
      <w:r>
        <w:rPr>
          <w:rFonts w:hint="eastAsia"/>
          <w:highlight w:val="none"/>
          <w:lang w:val="en-US" w:eastAsia="zh-CN"/>
        </w:rPr>
        <w:t>（呼和浩特市中医蒙医医院）</w:t>
      </w:r>
      <w:r>
        <w:rPr>
          <w:rFonts w:hint="eastAsia" w:eastAsia="宋体"/>
          <w:highlight w:val="none"/>
        </w:rPr>
        <w:t>）、周浩</w:t>
      </w:r>
      <w:r>
        <w:rPr>
          <w:rFonts w:hint="eastAsia" w:eastAsia="宋体"/>
          <w:highlight w:val="none"/>
          <w:lang w:eastAsia="zh-CN"/>
        </w:rPr>
        <w:t>（四川省中西医结合医院）</w:t>
      </w:r>
      <w:r>
        <w:rPr>
          <w:rFonts w:hint="eastAsia" w:eastAsia="宋体"/>
          <w:highlight w:val="none"/>
        </w:rPr>
        <w:t>、徐燕芳</w:t>
      </w:r>
      <w:r>
        <w:rPr>
          <w:rFonts w:hint="eastAsia" w:eastAsia="宋体"/>
          <w:highlight w:val="none"/>
          <w:lang w:eastAsia="zh-CN"/>
        </w:rPr>
        <w:t>（</w:t>
      </w:r>
      <w:r>
        <w:rPr>
          <w:rFonts w:hint="eastAsia" w:eastAsia="宋体"/>
          <w:highlight w:val="none"/>
          <w:lang w:val="en-US" w:eastAsia="zh-CN"/>
        </w:rPr>
        <w:t>杭州市临安区中医院</w:t>
      </w:r>
      <w:r>
        <w:rPr>
          <w:rFonts w:hint="eastAsia" w:eastAsia="宋体"/>
          <w:highlight w:val="none"/>
          <w:lang w:eastAsia="zh-CN"/>
        </w:rPr>
        <w:t>）</w:t>
      </w:r>
      <w:r>
        <w:rPr>
          <w:rFonts w:hint="eastAsia" w:eastAsia="宋体"/>
          <w:highlight w:val="none"/>
        </w:rPr>
        <w:t>、徐海</w:t>
      </w:r>
      <w:r>
        <w:rPr>
          <w:rFonts w:hint="eastAsia" w:eastAsia="宋体"/>
          <w:highlight w:val="none"/>
          <w:lang w:eastAsia="zh-CN"/>
        </w:rPr>
        <w:t>（</w:t>
      </w:r>
      <w:r>
        <w:rPr>
          <w:rFonts w:hint="eastAsia" w:eastAsia="宋体"/>
          <w:highlight w:val="none"/>
          <w:lang w:val="en-US" w:eastAsia="zh-CN"/>
        </w:rPr>
        <w:t>新疆维吾尔自治区人民医院白鸟湖医院</w:t>
      </w:r>
      <w:r>
        <w:rPr>
          <w:rFonts w:hint="eastAsia" w:eastAsia="宋体"/>
          <w:highlight w:val="none"/>
          <w:lang w:eastAsia="zh-CN"/>
        </w:rPr>
        <w:t>）</w:t>
      </w:r>
      <w:r>
        <w:rPr>
          <w:rFonts w:hint="eastAsia" w:eastAsia="宋体"/>
          <w:highlight w:val="none"/>
        </w:rPr>
        <w:t>、李伯群</w:t>
      </w:r>
      <w:r>
        <w:rPr>
          <w:rFonts w:hint="eastAsia" w:eastAsia="宋体"/>
          <w:highlight w:val="none"/>
          <w:lang w:eastAsia="zh-CN"/>
        </w:rPr>
        <w:t>（</w:t>
      </w:r>
      <w:r>
        <w:rPr>
          <w:rFonts w:hint="eastAsia" w:eastAsia="宋体"/>
          <w:highlight w:val="none"/>
          <w:lang w:val="en-US" w:eastAsia="zh-CN"/>
        </w:rPr>
        <w:t>郑州大学第二附属医院</w:t>
      </w:r>
      <w:r>
        <w:rPr>
          <w:rFonts w:hint="eastAsia" w:eastAsia="宋体"/>
          <w:highlight w:val="none"/>
          <w:lang w:eastAsia="zh-CN"/>
        </w:rPr>
        <w:t>）</w:t>
      </w:r>
      <w:r>
        <w:rPr>
          <w:rFonts w:hint="eastAsia" w:eastAsia="宋体"/>
          <w:highlight w:val="none"/>
        </w:rPr>
        <w:t>、李春丽</w:t>
      </w:r>
      <w:r>
        <w:rPr>
          <w:rFonts w:hint="eastAsia" w:eastAsia="宋体"/>
          <w:highlight w:val="none"/>
          <w:lang w:eastAsia="zh-CN"/>
        </w:rPr>
        <w:t>（</w:t>
      </w:r>
      <w:r>
        <w:rPr>
          <w:rFonts w:hint="eastAsia" w:eastAsia="宋体"/>
          <w:highlight w:val="none"/>
          <w:lang w:val="en-US" w:eastAsia="zh-CN"/>
        </w:rPr>
        <w:t>新疆维吾尔自治区人民医院</w:t>
      </w:r>
      <w:r>
        <w:rPr>
          <w:rFonts w:hint="eastAsia" w:eastAsia="宋体"/>
          <w:highlight w:val="none"/>
          <w:lang w:eastAsia="zh-CN"/>
        </w:rPr>
        <w:t>）</w:t>
      </w:r>
      <w:r>
        <w:rPr>
          <w:rFonts w:hint="eastAsia" w:eastAsia="宋体"/>
          <w:highlight w:val="none"/>
        </w:rPr>
        <w:t>、赵洪霄</w:t>
      </w:r>
      <w:r>
        <w:rPr>
          <w:rFonts w:hint="eastAsia" w:eastAsia="宋体"/>
          <w:highlight w:val="none"/>
          <w:lang w:eastAsia="zh-CN"/>
        </w:rPr>
        <w:t>（</w:t>
      </w:r>
      <w:r>
        <w:rPr>
          <w:rFonts w:hint="eastAsia" w:ascii="宋体" w:hAnsi="宋体" w:eastAsia="宋体" w:cs="宋体"/>
          <w:sz w:val="28"/>
          <w:szCs w:val="28"/>
        </w:rPr>
        <w:t>新疆维吾尔自治区人民医院</w:t>
      </w:r>
      <w:r>
        <w:rPr>
          <w:rFonts w:hint="eastAsia" w:eastAsia="宋体"/>
          <w:highlight w:val="none"/>
          <w:lang w:eastAsia="zh-CN"/>
        </w:rPr>
        <w:t>）</w:t>
      </w:r>
      <w:r>
        <w:rPr>
          <w:rFonts w:hint="eastAsia" w:eastAsia="宋体"/>
          <w:highlight w:val="none"/>
        </w:rPr>
        <w:t>、王萌萌</w:t>
      </w:r>
      <w:r>
        <w:rPr>
          <w:rFonts w:hint="eastAsia" w:eastAsia="宋体"/>
          <w:highlight w:val="none"/>
          <w:lang w:eastAsia="zh-CN"/>
        </w:rPr>
        <w:t>（</w:t>
      </w:r>
      <w:r>
        <w:rPr>
          <w:rFonts w:hint="eastAsia" w:eastAsia="宋体"/>
          <w:highlight w:val="none"/>
          <w:lang w:val="en-US" w:eastAsia="zh-CN"/>
        </w:rPr>
        <w:t>天津市第一中心医院</w:t>
      </w:r>
      <w:r>
        <w:rPr>
          <w:rFonts w:hint="eastAsia" w:eastAsia="宋体"/>
          <w:highlight w:val="none"/>
          <w:lang w:eastAsia="zh-CN"/>
        </w:rPr>
        <w:t>）</w:t>
      </w:r>
      <w:r>
        <w:rPr>
          <w:rFonts w:hint="eastAsia" w:eastAsia="宋体"/>
          <w:highlight w:val="none"/>
        </w:rPr>
        <w:t>、于国泳</w:t>
      </w:r>
      <w:r>
        <w:rPr>
          <w:rFonts w:hint="eastAsia" w:eastAsia="宋体"/>
          <w:highlight w:val="none"/>
          <w:lang w:eastAsia="zh-CN"/>
        </w:rPr>
        <w:t>（</w:t>
      </w:r>
      <w:r>
        <w:rPr>
          <w:rFonts w:hint="eastAsia" w:eastAsia="宋体"/>
          <w:highlight w:val="none"/>
          <w:lang w:val="en-US" w:eastAsia="zh-CN"/>
        </w:rPr>
        <w:t>北京中医药大学东直门医院</w:t>
      </w:r>
      <w:r>
        <w:rPr>
          <w:rFonts w:hint="eastAsia" w:eastAsia="宋体"/>
          <w:highlight w:val="none"/>
          <w:lang w:eastAsia="zh-CN"/>
        </w:rPr>
        <w:t>）</w:t>
      </w:r>
      <w:r>
        <w:rPr>
          <w:rFonts w:hint="eastAsia" w:eastAsia="宋体"/>
          <w:highlight w:val="none"/>
        </w:rPr>
        <w:t>、毕明辉</w:t>
      </w:r>
      <w:r>
        <w:rPr>
          <w:rFonts w:hint="eastAsia" w:eastAsia="宋体"/>
          <w:highlight w:val="none"/>
          <w:lang w:eastAsia="zh-CN"/>
        </w:rPr>
        <w:t>（</w:t>
      </w:r>
      <w:r>
        <w:rPr>
          <w:rFonts w:hint="eastAsia" w:eastAsia="宋体"/>
          <w:highlight w:val="none"/>
          <w:lang w:val="en-US" w:eastAsia="zh-CN"/>
        </w:rPr>
        <w:t>厦门市中医院</w:t>
      </w:r>
      <w:r>
        <w:rPr>
          <w:rFonts w:hint="eastAsia" w:eastAsia="宋体"/>
          <w:highlight w:val="none"/>
          <w:lang w:eastAsia="zh-CN"/>
        </w:rPr>
        <w:t>）</w:t>
      </w:r>
      <w:r>
        <w:rPr>
          <w:rFonts w:hint="eastAsia" w:eastAsia="宋体"/>
          <w:highlight w:val="none"/>
        </w:rPr>
        <w:t>、李金亭</w:t>
      </w:r>
      <w:r>
        <w:rPr>
          <w:rFonts w:hint="eastAsia" w:eastAsia="宋体"/>
          <w:highlight w:val="none"/>
          <w:lang w:eastAsia="zh-CN"/>
        </w:rPr>
        <w:t>（</w:t>
      </w:r>
      <w:r>
        <w:rPr>
          <w:rFonts w:hint="eastAsia" w:eastAsia="宋体"/>
          <w:highlight w:val="none"/>
          <w:lang w:val="en-US" w:eastAsia="zh-CN"/>
        </w:rPr>
        <w:t>天津市中西医结合医院（天津市南开医院）</w:t>
      </w:r>
      <w:r>
        <w:rPr>
          <w:rFonts w:hint="eastAsia" w:eastAsia="宋体"/>
          <w:highlight w:val="none"/>
          <w:lang w:eastAsia="zh-CN"/>
        </w:rPr>
        <w:t>）</w:t>
      </w:r>
      <w:r>
        <w:rPr>
          <w:rFonts w:hint="eastAsia" w:eastAsia="宋体"/>
          <w:highlight w:val="none"/>
        </w:rPr>
        <w:t>、林雅静</w:t>
      </w:r>
      <w:r>
        <w:rPr>
          <w:rFonts w:hint="eastAsia" w:eastAsia="宋体"/>
          <w:highlight w:val="none"/>
          <w:lang w:eastAsia="zh-CN"/>
        </w:rPr>
        <w:t>（</w:t>
      </w:r>
      <w:r>
        <w:rPr>
          <w:rFonts w:hint="eastAsia" w:eastAsia="宋体"/>
          <w:highlight w:val="none"/>
          <w:lang w:val="en-US" w:eastAsia="zh-CN"/>
        </w:rPr>
        <w:t>张家口市中医院</w:t>
      </w:r>
      <w:r>
        <w:rPr>
          <w:rFonts w:hint="eastAsia" w:eastAsia="宋体"/>
          <w:highlight w:val="none"/>
          <w:lang w:eastAsia="zh-CN"/>
        </w:rPr>
        <w:t>）</w:t>
      </w:r>
      <w:r>
        <w:rPr>
          <w:rFonts w:hint="eastAsia" w:eastAsia="宋体"/>
          <w:highlight w:val="none"/>
        </w:rPr>
        <w:t>、黄祖波</w:t>
      </w:r>
      <w:r>
        <w:rPr>
          <w:rFonts w:hint="eastAsia" w:eastAsia="宋体"/>
          <w:highlight w:val="none"/>
          <w:lang w:eastAsia="zh-CN"/>
        </w:rPr>
        <w:t>（</w:t>
      </w:r>
      <w:r>
        <w:rPr>
          <w:rFonts w:hint="eastAsia" w:eastAsia="宋体"/>
          <w:highlight w:val="none"/>
          <w:lang w:val="en-US" w:eastAsia="zh-CN"/>
        </w:rPr>
        <w:t>四川省中西医结合医院</w:t>
      </w:r>
      <w:r>
        <w:rPr>
          <w:rFonts w:hint="eastAsia" w:eastAsia="宋体"/>
          <w:highlight w:val="none"/>
          <w:lang w:eastAsia="zh-CN"/>
        </w:rPr>
        <w:t>）</w:t>
      </w:r>
      <w:r>
        <w:rPr>
          <w:rFonts w:hint="eastAsia" w:eastAsia="宋体"/>
          <w:highlight w:val="none"/>
        </w:rPr>
        <w:t>、李敏</w:t>
      </w:r>
      <w:r>
        <w:rPr>
          <w:rFonts w:hint="eastAsia" w:eastAsia="宋体"/>
          <w:highlight w:val="none"/>
          <w:lang w:eastAsia="zh-CN"/>
        </w:rPr>
        <w:t>（</w:t>
      </w:r>
      <w:r>
        <w:rPr>
          <w:rFonts w:hint="eastAsia" w:eastAsia="宋体"/>
          <w:highlight w:val="none"/>
          <w:lang w:val="en-US" w:eastAsia="zh-CN"/>
        </w:rPr>
        <w:t>齐齐哈尔市第一医院</w:t>
      </w:r>
      <w:r>
        <w:rPr>
          <w:rFonts w:hint="eastAsia" w:eastAsia="宋体"/>
          <w:highlight w:val="none"/>
          <w:lang w:eastAsia="zh-CN"/>
        </w:rPr>
        <w:t>）</w:t>
      </w:r>
      <w:r>
        <w:rPr>
          <w:rFonts w:hint="eastAsia" w:eastAsia="宋体"/>
          <w:highlight w:val="none"/>
        </w:rPr>
        <w:t>、何闽</w:t>
      </w:r>
      <w:r>
        <w:rPr>
          <w:rFonts w:hint="eastAsia" w:eastAsia="宋体"/>
          <w:highlight w:val="none"/>
          <w:lang w:eastAsia="zh-CN"/>
        </w:rPr>
        <w:t>（</w:t>
      </w:r>
      <w:r>
        <w:rPr>
          <w:rFonts w:hint="eastAsia" w:eastAsia="宋体"/>
          <w:highlight w:val="none"/>
          <w:lang w:val="en-US" w:eastAsia="zh-CN"/>
        </w:rPr>
        <w:t>福建省石狮市医院</w:t>
      </w:r>
      <w:r>
        <w:rPr>
          <w:rFonts w:hint="eastAsia" w:eastAsia="宋体"/>
          <w:highlight w:val="none"/>
          <w:lang w:eastAsia="zh-CN"/>
        </w:rPr>
        <w:t>）</w:t>
      </w:r>
      <w:r>
        <w:rPr>
          <w:rFonts w:hint="eastAsia" w:eastAsia="宋体"/>
          <w:highlight w:val="none"/>
        </w:rPr>
        <w:t>、严兴茂</w:t>
      </w:r>
      <w:r>
        <w:rPr>
          <w:rFonts w:hint="eastAsia" w:eastAsia="宋体"/>
          <w:highlight w:val="none"/>
          <w:lang w:eastAsia="zh-CN"/>
        </w:rPr>
        <w:t>（</w:t>
      </w:r>
      <w:r>
        <w:rPr>
          <w:rFonts w:hint="eastAsia" w:eastAsia="宋体"/>
          <w:highlight w:val="none"/>
          <w:lang w:val="en-US" w:eastAsia="zh-CN"/>
        </w:rPr>
        <w:t>遵义市中医院</w:t>
      </w:r>
      <w:r>
        <w:rPr>
          <w:rFonts w:hint="eastAsia"/>
          <w:highlight w:val="none"/>
          <w:lang w:val="en-US" w:eastAsia="zh-CN"/>
        </w:rPr>
        <w:t>（遵义医药高等专科学校附属中医院）</w:t>
      </w:r>
      <w:r>
        <w:rPr>
          <w:rFonts w:hint="eastAsia" w:eastAsia="宋体"/>
          <w:highlight w:val="none"/>
          <w:lang w:eastAsia="zh-CN"/>
        </w:rPr>
        <w:t>）</w:t>
      </w:r>
      <w:r>
        <w:rPr>
          <w:rFonts w:hint="eastAsia" w:eastAsia="宋体"/>
          <w:highlight w:val="none"/>
        </w:rPr>
        <w:t>、余波</w:t>
      </w:r>
      <w:r>
        <w:rPr>
          <w:rFonts w:hint="eastAsia" w:eastAsia="宋体"/>
          <w:highlight w:val="none"/>
          <w:lang w:eastAsia="zh-CN"/>
        </w:rPr>
        <w:t>（南京市中医院）</w:t>
      </w:r>
      <w:r>
        <w:rPr>
          <w:rFonts w:hint="eastAsia" w:eastAsia="宋体"/>
          <w:highlight w:val="none"/>
        </w:rPr>
        <w:t>、吕品</w:t>
      </w:r>
      <w:r>
        <w:rPr>
          <w:rFonts w:hint="eastAsia" w:eastAsia="宋体"/>
          <w:highlight w:val="none"/>
          <w:lang w:eastAsia="zh-CN"/>
        </w:rPr>
        <w:t>（</w:t>
      </w:r>
      <w:r>
        <w:rPr>
          <w:rFonts w:hint="eastAsia" w:eastAsia="宋体"/>
          <w:highlight w:val="none"/>
          <w:lang w:val="en-US" w:eastAsia="zh-CN"/>
        </w:rPr>
        <w:t>中国中医科学院广安门医院</w:t>
      </w:r>
      <w:r>
        <w:rPr>
          <w:rFonts w:hint="eastAsia" w:eastAsia="宋体"/>
          <w:highlight w:val="none"/>
          <w:lang w:eastAsia="zh-CN"/>
        </w:rPr>
        <w:t>）</w:t>
      </w:r>
      <w:r>
        <w:rPr>
          <w:rFonts w:hint="eastAsia" w:eastAsia="宋体"/>
          <w:highlight w:val="none"/>
        </w:rPr>
        <w:t>、林翠茹</w:t>
      </w:r>
      <w:r>
        <w:rPr>
          <w:rFonts w:hint="eastAsia"/>
          <w:highlight w:val="none"/>
          <w:lang w:eastAsia="zh-CN"/>
        </w:rPr>
        <w:t>（天津中医药大学第二附属医院）</w:t>
      </w:r>
      <w:r>
        <w:rPr>
          <w:rFonts w:hint="eastAsia" w:eastAsia="宋体"/>
          <w:highlight w:val="none"/>
          <w:lang w:eastAsia="zh-CN"/>
        </w:rPr>
        <w:t>、</w:t>
      </w:r>
      <w:r>
        <w:rPr>
          <w:rFonts w:hint="eastAsia"/>
          <w:highlight w:val="none"/>
          <w:lang w:eastAsia="zh-CN"/>
        </w:rPr>
        <w:t>曹春梅（</w:t>
      </w:r>
      <w:r>
        <w:rPr>
          <w:rFonts w:hint="eastAsia" w:eastAsia="宋体"/>
          <w:highlight w:val="none"/>
          <w:lang w:eastAsia="zh-CN"/>
        </w:rPr>
        <w:t>韶关市中医院</w:t>
      </w:r>
      <w:r>
        <w:rPr>
          <w:rFonts w:hint="eastAsia"/>
          <w:highlight w:val="none"/>
          <w:lang w:eastAsia="zh-CN"/>
        </w:rPr>
        <w:t>）、</w:t>
      </w:r>
      <w:r>
        <w:rPr>
          <w:rFonts w:hint="eastAsia" w:eastAsia="宋体"/>
          <w:highlight w:val="none"/>
          <w:lang w:eastAsia="zh-CN"/>
        </w:rPr>
        <w:t>曲靖（湖南省中西医结合医院（湖南省中医药研究院附属医院））</w:t>
      </w:r>
      <w:r>
        <w:rPr>
          <w:rFonts w:hint="eastAsia"/>
          <w:highlight w:val="none"/>
          <w:lang w:eastAsia="zh-CN"/>
        </w:rPr>
        <w:t>、</w:t>
      </w:r>
      <w:r>
        <w:rPr>
          <w:rFonts w:hint="eastAsia" w:eastAsia="宋体"/>
          <w:highlight w:val="none"/>
        </w:rPr>
        <w:t>王赫麟</w:t>
      </w:r>
      <w:r>
        <w:rPr>
          <w:rFonts w:hint="eastAsia" w:eastAsia="宋体"/>
          <w:highlight w:val="none"/>
          <w:lang w:eastAsia="zh-CN"/>
        </w:rPr>
        <w:t>（</w:t>
      </w:r>
      <w:r>
        <w:rPr>
          <w:rFonts w:hint="eastAsia"/>
          <w:highlight w:val="none"/>
          <w:lang w:val="en-US" w:eastAsia="zh-CN"/>
        </w:rPr>
        <w:t>北京市东城区</w:t>
      </w:r>
      <w:r>
        <w:rPr>
          <w:rFonts w:hint="eastAsia" w:eastAsia="宋体"/>
          <w:highlight w:val="none"/>
          <w:lang w:val="en-US" w:eastAsia="zh-CN"/>
        </w:rPr>
        <w:t>东花市社区卫生服务中心</w:t>
      </w:r>
      <w:r>
        <w:rPr>
          <w:rFonts w:hint="eastAsia" w:eastAsia="宋体"/>
          <w:highlight w:val="none"/>
          <w:lang w:eastAsia="zh-CN"/>
        </w:rPr>
        <w:t>）</w:t>
      </w:r>
      <w:r>
        <w:rPr>
          <w:rFonts w:hint="eastAsia" w:eastAsia="宋体"/>
          <w:highlight w:val="none"/>
        </w:rPr>
        <w:t>等。</w:t>
      </w:r>
    </w:p>
    <w:p w14:paraId="06F5397C">
      <w:pPr>
        <w:autoSpaceDE w:val="0"/>
        <w:autoSpaceDN w:val="0"/>
        <w:adjustRightInd w:val="0"/>
        <w:ind w:firstLine="560"/>
        <w:jc w:val="left"/>
        <w:outlineLvl w:val="0"/>
        <w:rPr>
          <w:rFonts w:ascii="黑体" w:hAnsi="黑体" w:eastAsia="黑体"/>
          <w:szCs w:val="28"/>
        </w:rPr>
      </w:pPr>
      <w:r>
        <w:rPr>
          <w:rFonts w:ascii="黑体" w:hAnsi="黑体" w:eastAsia="黑体"/>
          <w:szCs w:val="28"/>
        </w:rPr>
        <w:t>二、标准技术内容</w:t>
      </w:r>
    </w:p>
    <w:p w14:paraId="2E75395A">
      <w:pPr>
        <w:ind w:firstLine="562"/>
        <w:rPr>
          <w:rFonts w:ascii="宋体" w:hAnsi="宋体"/>
          <w:b/>
          <w:szCs w:val="28"/>
        </w:rPr>
      </w:pPr>
      <w:r>
        <w:rPr>
          <w:rFonts w:hint="eastAsia" w:ascii="宋体" w:hAnsi="宋体"/>
          <w:b/>
          <w:szCs w:val="28"/>
        </w:rPr>
        <w:t>1.标准编制文件依据</w:t>
      </w:r>
    </w:p>
    <w:p w14:paraId="487E51F8">
      <w:pPr>
        <w:keepNext w:val="0"/>
        <w:keepLines w:val="0"/>
        <w:pageBreakBefore w:val="0"/>
        <w:widowControl w:val="0"/>
        <w:kinsoku/>
        <w:wordWrap/>
        <w:overflowPunct/>
        <w:topLinePunct w:val="0"/>
        <w:autoSpaceDE/>
        <w:autoSpaceDN/>
        <w:bidi w:val="0"/>
        <w:adjustRightInd w:val="0"/>
        <w:snapToGrid w:val="0"/>
        <w:spacing w:before="192" w:beforeLines="50"/>
        <w:ind w:firstLine="560"/>
        <w:textAlignment w:val="auto"/>
        <w:rPr>
          <w:rFonts w:hint="eastAsia" w:eastAsia="宋体"/>
          <w:lang w:val="en-US" w:eastAsia="zh-CN"/>
        </w:rPr>
      </w:pPr>
      <w:r>
        <w:rPr>
          <w:rFonts w:hint="eastAsia" w:eastAsia="宋体"/>
          <w:lang w:val="en-US" w:eastAsia="zh-CN"/>
        </w:rPr>
        <w:t>本标准为新制定标准，标准编制时主要依据：本标准草案的编写格式按照新发布的GB/T 1.1-2020《标准化工作导则 第1部分：标准化文件的结构和起草规则》起草。</w:t>
      </w:r>
    </w:p>
    <w:p w14:paraId="19D72A1E">
      <w:pPr>
        <w:autoSpaceDE w:val="0"/>
        <w:autoSpaceDN w:val="0"/>
        <w:adjustRightInd w:val="0"/>
        <w:ind w:firstLine="562"/>
        <w:jc w:val="left"/>
        <w:rPr>
          <w:rFonts w:ascii="宋体" w:hAnsi="宋体"/>
          <w:b/>
          <w:szCs w:val="28"/>
        </w:rPr>
      </w:pPr>
      <w:r>
        <w:rPr>
          <w:rFonts w:hint="eastAsia" w:ascii="宋体" w:hAnsi="宋体"/>
          <w:b/>
          <w:szCs w:val="28"/>
        </w:rPr>
        <w:t>2.技术内容说明</w:t>
      </w:r>
    </w:p>
    <w:p w14:paraId="716EC5ED">
      <w:pPr>
        <w:autoSpaceDE w:val="0"/>
        <w:autoSpaceDN w:val="0"/>
        <w:adjustRightInd w:val="0"/>
        <w:ind w:firstLine="562"/>
        <w:jc w:val="left"/>
        <w:rPr>
          <w:rFonts w:hint="eastAsia" w:ascii="宋体" w:hAnsi="宋体"/>
          <w:b/>
          <w:szCs w:val="28"/>
        </w:rPr>
      </w:pPr>
      <w:r>
        <w:rPr>
          <w:rFonts w:hint="eastAsia" w:ascii="宋体" w:hAnsi="宋体"/>
          <w:b/>
          <w:szCs w:val="28"/>
        </w:rPr>
        <w:t>2.1 范围</w:t>
      </w:r>
    </w:p>
    <w:p w14:paraId="39E8E412">
      <w:pPr>
        <w:keepNext w:val="0"/>
        <w:keepLines w:val="0"/>
        <w:pageBreakBefore w:val="0"/>
        <w:widowControl w:val="0"/>
        <w:kinsoku/>
        <w:wordWrap/>
        <w:overflowPunct/>
        <w:topLinePunct w:val="0"/>
        <w:autoSpaceDE/>
        <w:autoSpaceDN/>
        <w:bidi w:val="0"/>
        <w:adjustRightInd w:val="0"/>
        <w:snapToGrid w:val="0"/>
        <w:spacing w:before="192" w:beforeLines="50"/>
        <w:ind w:firstLine="560"/>
        <w:textAlignment w:val="auto"/>
        <w:rPr>
          <w:rFonts w:hint="eastAsia" w:eastAsia="宋体"/>
          <w:lang w:val="en-US" w:eastAsia="zh-CN"/>
        </w:rPr>
      </w:pPr>
      <w:r>
        <w:rPr>
          <w:rFonts w:hint="eastAsia" w:eastAsia="宋体"/>
          <w:lang w:val="en-US" w:eastAsia="zh-CN"/>
        </w:rPr>
        <w:t>本标准规定了中年亚健康状态中医治未病干预的术语和定义、诊断标准、辨证分型、</w:t>
      </w:r>
      <w:r>
        <w:rPr>
          <w:rFonts w:hint="eastAsia"/>
          <w:lang w:val="en-US" w:eastAsia="zh-CN"/>
        </w:rPr>
        <w:t>中医治未病</w:t>
      </w:r>
      <w:r>
        <w:rPr>
          <w:rFonts w:hint="eastAsia" w:eastAsia="宋体"/>
          <w:lang w:val="en-US" w:eastAsia="zh-CN"/>
        </w:rPr>
        <w:t>干预原则与方法、干预效果评价</w:t>
      </w:r>
      <w:r>
        <w:rPr>
          <w:rFonts w:hint="eastAsia"/>
          <w:lang w:val="en-US" w:eastAsia="zh-CN"/>
        </w:rPr>
        <w:t>等</w:t>
      </w:r>
      <w:r>
        <w:rPr>
          <w:rFonts w:hint="eastAsia" w:eastAsia="宋体"/>
          <w:lang w:val="en-US" w:eastAsia="zh-CN"/>
        </w:rPr>
        <w:t>。</w:t>
      </w:r>
    </w:p>
    <w:p w14:paraId="603E489A">
      <w:pPr>
        <w:keepNext w:val="0"/>
        <w:keepLines w:val="0"/>
        <w:pageBreakBefore w:val="0"/>
        <w:widowControl w:val="0"/>
        <w:kinsoku/>
        <w:wordWrap/>
        <w:overflowPunct/>
        <w:topLinePunct w:val="0"/>
        <w:autoSpaceDE/>
        <w:autoSpaceDN/>
        <w:bidi w:val="0"/>
        <w:adjustRightInd w:val="0"/>
        <w:snapToGrid w:val="0"/>
        <w:spacing w:before="192" w:beforeLines="50"/>
        <w:ind w:firstLine="560"/>
        <w:textAlignment w:val="auto"/>
        <w:rPr>
          <w:rFonts w:hint="eastAsia" w:eastAsia="宋体"/>
          <w:lang w:val="en-US" w:eastAsia="zh-CN"/>
        </w:rPr>
      </w:pPr>
      <w:r>
        <w:rPr>
          <w:rFonts w:hint="eastAsia" w:eastAsia="宋体"/>
          <w:lang w:val="en-US" w:eastAsia="zh-CN"/>
        </w:rPr>
        <w:t>本标准适用于各级各类医疗卫生机构、健康管理机构、社区卫生服务中心（站）等从事中医治未病工作的医师、健康管理师及相关专业人员对中年亚健康人群进行中医治未病干预时使用。</w:t>
      </w:r>
    </w:p>
    <w:p w14:paraId="7F0C3A20">
      <w:pPr>
        <w:pStyle w:val="18"/>
        <w:numPr>
          <w:ilvl w:val="1"/>
          <w:numId w:val="2"/>
        </w:numPr>
        <w:autoSpaceDE w:val="0"/>
        <w:autoSpaceDN w:val="0"/>
        <w:adjustRightInd w:val="0"/>
        <w:ind w:firstLineChars="0"/>
        <w:jc w:val="left"/>
        <w:rPr>
          <w:rFonts w:ascii="宋体" w:hAnsi="宋体"/>
          <w:b/>
          <w:szCs w:val="28"/>
        </w:rPr>
      </w:pPr>
      <w:r>
        <w:rPr>
          <w:rFonts w:hint="eastAsia" w:ascii="宋体" w:hAnsi="宋体"/>
          <w:b/>
          <w:szCs w:val="28"/>
        </w:rPr>
        <w:t xml:space="preserve"> 术语定义</w:t>
      </w:r>
    </w:p>
    <w:p w14:paraId="18734F38">
      <w:pPr>
        <w:keepNext w:val="0"/>
        <w:keepLines w:val="0"/>
        <w:pageBreakBefore w:val="0"/>
        <w:widowControl w:val="0"/>
        <w:kinsoku/>
        <w:wordWrap/>
        <w:overflowPunct/>
        <w:topLinePunct w:val="0"/>
        <w:autoSpaceDE/>
        <w:autoSpaceDN/>
        <w:bidi w:val="0"/>
        <w:adjustRightInd w:val="0"/>
        <w:snapToGrid w:val="0"/>
        <w:spacing w:before="192" w:beforeLines="50"/>
        <w:ind w:firstLine="560"/>
        <w:textAlignment w:val="auto"/>
        <w:rPr>
          <w:rFonts w:hint="eastAsia" w:eastAsia="宋体"/>
          <w:lang w:val="en-US" w:eastAsia="zh-CN"/>
        </w:rPr>
      </w:pPr>
      <w:r>
        <w:rPr>
          <w:rFonts w:hint="eastAsia" w:eastAsia="宋体"/>
          <w:lang w:val="en-US" w:eastAsia="zh-CN"/>
        </w:rPr>
        <w:t>本标准对中年亚健康状态、中医治未病等关键术语进行了界定和表述，确保标准的准确性和一致性。</w:t>
      </w:r>
    </w:p>
    <w:p w14:paraId="696BF228">
      <w:pPr>
        <w:tabs>
          <w:tab w:val="left" w:pos="1275"/>
        </w:tabs>
        <w:ind w:firstLine="562"/>
        <w:rPr>
          <w:rFonts w:hint="default" w:asciiTheme="minorEastAsia" w:hAnsiTheme="minorEastAsia" w:eastAsiaTheme="minorEastAsia"/>
          <w:b/>
          <w:lang w:val="en-US" w:eastAsia="zh-CN"/>
        </w:rPr>
      </w:pPr>
      <w:r>
        <w:rPr>
          <w:rFonts w:hint="eastAsia" w:asciiTheme="minorEastAsia" w:hAnsiTheme="minorEastAsia" w:eastAsiaTheme="minorEastAsia"/>
          <w:b/>
          <w:lang w:val="en-US" w:eastAsia="zh-CN"/>
        </w:rPr>
        <w:t>3</w:t>
      </w:r>
      <w:r>
        <w:rPr>
          <w:rFonts w:hint="eastAsia" w:asciiTheme="minorEastAsia" w:hAnsiTheme="minorEastAsia" w:eastAsiaTheme="minorEastAsia"/>
          <w:b/>
        </w:rPr>
        <w:t xml:space="preserve"> </w:t>
      </w:r>
      <w:r>
        <w:rPr>
          <w:rFonts w:hint="eastAsia" w:asciiTheme="minorEastAsia" w:hAnsiTheme="minorEastAsia" w:eastAsiaTheme="minorEastAsia"/>
          <w:b/>
          <w:lang w:val="en-US" w:eastAsia="zh-CN"/>
        </w:rPr>
        <w:t>诊断标准</w:t>
      </w:r>
    </w:p>
    <w:p w14:paraId="1EFD7542">
      <w:pPr>
        <w:numPr>
          <w:ilvl w:val="0"/>
          <w:numId w:val="0"/>
        </w:numPr>
        <w:adjustRightInd w:val="0"/>
        <w:snapToGrid w:val="0"/>
        <w:spacing w:line="360" w:lineRule="auto"/>
        <w:ind w:firstLine="560" w:firstLineChars="200"/>
        <w:rPr>
          <w:rFonts w:hint="eastAsia" w:ascii="宋体" w:hAnsi="宋体" w:eastAsia="仿宋"/>
          <w:szCs w:val="21"/>
          <w:lang w:eastAsia="zh-CN"/>
        </w:rPr>
      </w:pPr>
      <w:r>
        <w:rPr>
          <w:rFonts w:hint="eastAsia" w:eastAsia="宋体"/>
          <w:lang w:val="en-US" w:eastAsia="zh-CN"/>
        </w:rPr>
        <w:t>明确了中年亚健康状态的诊断标准，</w:t>
      </w:r>
      <w:r>
        <w:rPr>
          <w:rFonts w:hint="eastAsia"/>
          <w:lang w:val="en-US" w:eastAsia="zh-CN"/>
        </w:rPr>
        <w:t>具体包含三个层面：一是躯体症状维度，需满足疲劳乏力、睡眠障碍、头晕头痛、腰酸背痛等；二是心理与社会适应维度，存在情绪低落、焦虑易怒、注意力不集中或社交能力下降等表现；以上至少两项症状持续存在3个月以上；三是排除标准，需排除器质性疾病、精神类疾病及其他明确病因导致的不适状态。诊断过程中需结合中医四诊（望、闻、问、切）获取的舌象、脉象等信息进行综合判定，确保诊断结果的准确性与针对性</w:t>
      </w:r>
      <w:r>
        <w:rPr>
          <w:rFonts w:hint="eastAsia" w:eastAsia="宋体"/>
          <w:lang w:val="en-US" w:eastAsia="zh-CN"/>
        </w:rPr>
        <w:t>。</w:t>
      </w:r>
    </w:p>
    <w:p w14:paraId="196B1FB4">
      <w:pPr>
        <w:tabs>
          <w:tab w:val="left" w:pos="1275"/>
        </w:tabs>
        <w:ind w:firstLine="560" w:firstLineChars="0"/>
        <w:rPr>
          <w:rFonts w:hint="default"/>
          <w:position w:val="-24"/>
          <w:lang w:val="en-US" w:eastAsia="zh-CN"/>
        </w:rPr>
      </w:pPr>
      <w:r>
        <w:rPr>
          <w:rFonts w:hint="eastAsia" w:asciiTheme="minorEastAsia" w:hAnsiTheme="minorEastAsia" w:eastAsiaTheme="minorEastAsia"/>
          <w:b/>
          <w:lang w:val="en-US" w:eastAsia="zh-CN"/>
        </w:rPr>
        <w:t>4. 干预原则和方法</w:t>
      </w:r>
    </w:p>
    <w:p w14:paraId="191420AB">
      <w:pPr>
        <w:adjustRightInd/>
        <w:spacing w:before="120" w:after="120" w:line="360" w:lineRule="auto"/>
        <w:ind w:left="0"/>
        <w:jc w:val="left"/>
        <w:outlineLvl w:val="1"/>
        <w:rPr>
          <w:rFonts w:hint="eastAsia" w:eastAsia="宋体"/>
          <w:lang w:val="en-US" w:eastAsia="zh-CN"/>
        </w:rPr>
      </w:pPr>
      <w:r>
        <w:rPr>
          <w:rFonts w:hint="eastAsia" w:eastAsia="宋体"/>
          <w:lang w:val="en-US" w:eastAsia="zh-CN"/>
        </w:rPr>
        <w:t>提出了针对中年亚健康状态的中医干预原则，</w:t>
      </w:r>
      <w:r>
        <w:rPr>
          <w:rFonts w:hint="eastAsia"/>
          <w:lang w:val="en-US" w:eastAsia="zh-CN"/>
        </w:rPr>
        <w:t>包括</w:t>
      </w:r>
      <w:r>
        <w:rPr>
          <w:rFonts w:hint="eastAsia" w:eastAsia="宋体"/>
          <w:lang w:val="en-US" w:eastAsia="zh-CN"/>
        </w:rPr>
        <w:t>整体调理，辨证施护</w:t>
      </w:r>
      <w:bookmarkStart w:id="2" w:name="_Toc18992"/>
      <w:bookmarkStart w:id="3" w:name="heading_23"/>
      <w:r>
        <w:rPr>
          <w:rFonts w:hint="eastAsia" w:eastAsia="宋体"/>
          <w:lang w:val="en-US" w:eastAsia="zh-CN"/>
        </w:rPr>
        <w:t>；未病先防，重心前移</w:t>
      </w:r>
      <w:bookmarkEnd w:id="2"/>
      <w:bookmarkEnd w:id="3"/>
      <w:bookmarkStart w:id="4" w:name="heading_24"/>
      <w:bookmarkStart w:id="5" w:name="_Toc7205"/>
      <w:r>
        <w:rPr>
          <w:rFonts w:hint="eastAsia" w:eastAsia="宋体"/>
          <w:lang w:val="en-US" w:eastAsia="zh-CN"/>
        </w:rPr>
        <w:t>；标本兼顾，扶正祛邪</w:t>
      </w:r>
      <w:bookmarkEnd w:id="4"/>
      <w:bookmarkEnd w:id="5"/>
      <w:bookmarkStart w:id="6" w:name="heading_25"/>
      <w:bookmarkStart w:id="7" w:name="_Toc30200"/>
      <w:r>
        <w:rPr>
          <w:rFonts w:hint="eastAsia" w:eastAsia="宋体"/>
          <w:lang w:val="en-US" w:eastAsia="zh-CN"/>
        </w:rPr>
        <w:t>；循序渐进，长期坚持</w:t>
      </w:r>
      <w:bookmarkEnd w:id="6"/>
      <w:bookmarkEnd w:id="7"/>
      <w:bookmarkStart w:id="8" w:name="_Toc30107"/>
      <w:bookmarkStart w:id="9" w:name="heading_26"/>
      <w:r>
        <w:rPr>
          <w:rFonts w:hint="eastAsia" w:eastAsia="宋体"/>
          <w:lang w:val="en-US" w:eastAsia="zh-CN"/>
        </w:rPr>
        <w:t>；中西医结合，优势互补</w:t>
      </w:r>
      <w:bookmarkEnd w:id="8"/>
      <w:bookmarkEnd w:id="9"/>
      <w:r>
        <w:rPr>
          <w:rFonts w:hint="eastAsia" w:eastAsia="宋体"/>
          <w:lang w:val="en-US" w:eastAsia="zh-CN"/>
        </w:rPr>
        <w:t>。同时，提供了</w:t>
      </w:r>
      <w:r>
        <w:rPr>
          <w:rFonts w:hint="eastAsia"/>
          <w:lang w:val="en-US" w:eastAsia="zh-CN"/>
        </w:rPr>
        <w:t>中医治未病具体</w:t>
      </w:r>
      <w:r>
        <w:rPr>
          <w:rFonts w:hint="eastAsia" w:eastAsia="宋体"/>
          <w:lang w:val="en-US" w:eastAsia="zh-CN"/>
        </w:rPr>
        <w:t>干预方法，如中药调理、</w:t>
      </w:r>
      <w:r>
        <w:rPr>
          <w:rFonts w:hint="eastAsia"/>
          <w:lang w:val="en-US" w:eastAsia="zh-CN"/>
        </w:rPr>
        <w:t>中医适宜技术干预</w:t>
      </w:r>
      <w:r>
        <w:rPr>
          <w:rFonts w:hint="eastAsia" w:eastAsia="宋体"/>
          <w:lang w:val="en-US" w:eastAsia="zh-CN"/>
        </w:rPr>
        <w:t>、情志调节、运动养生等。</w:t>
      </w:r>
    </w:p>
    <w:p w14:paraId="5869BE62">
      <w:pPr>
        <w:autoSpaceDE w:val="0"/>
        <w:autoSpaceDN w:val="0"/>
        <w:adjustRightInd w:val="0"/>
        <w:ind w:firstLine="560"/>
        <w:jc w:val="left"/>
        <w:outlineLvl w:val="0"/>
        <w:rPr>
          <w:rFonts w:hint="eastAsia" w:ascii="黑体" w:hAnsi="黑体" w:eastAsia="黑体"/>
          <w:szCs w:val="28"/>
          <w:lang w:val="en-US" w:eastAsia="zh-CN"/>
        </w:rPr>
      </w:pPr>
      <w:r>
        <w:rPr>
          <w:rFonts w:ascii="黑体" w:hAnsi="黑体" w:eastAsia="黑体"/>
          <w:szCs w:val="28"/>
        </w:rPr>
        <w:t>三、</w:t>
      </w:r>
      <w:r>
        <w:rPr>
          <w:rFonts w:hint="eastAsia" w:ascii="黑体" w:hAnsi="黑体" w:eastAsia="黑体"/>
          <w:szCs w:val="28"/>
        </w:rPr>
        <w:t>标准预期的社会</w:t>
      </w:r>
      <w:r>
        <w:rPr>
          <w:rFonts w:hint="eastAsia" w:ascii="黑体" w:hAnsi="黑体" w:eastAsia="黑体"/>
          <w:szCs w:val="28"/>
          <w:lang w:val="en-US" w:eastAsia="zh-CN"/>
        </w:rPr>
        <w:t>效益</w:t>
      </w:r>
    </w:p>
    <w:p w14:paraId="2A9E0203">
      <w:pPr>
        <w:numPr>
          <w:ilvl w:val="0"/>
          <w:numId w:val="0"/>
        </w:numPr>
        <w:autoSpaceDE w:val="0"/>
        <w:autoSpaceDN w:val="0"/>
        <w:adjustRightInd w:val="0"/>
        <w:ind w:firstLine="560" w:firstLineChars="200"/>
        <w:jc w:val="left"/>
        <w:rPr>
          <w:rFonts w:hint="eastAsia" w:ascii="Times New Roman" w:hAnsi="Times New Roman" w:eastAsia="宋体" w:cs="Times New Roman"/>
          <w:kern w:val="2"/>
          <w:position w:val="-24"/>
          <w:sz w:val="28"/>
          <w:szCs w:val="24"/>
          <w:lang w:val="en-US" w:eastAsia="zh-CN" w:bidi="ar-SA"/>
        </w:rPr>
      </w:pPr>
      <w:r>
        <w:rPr>
          <w:rFonts w:hint="eastAsia" w:ascii="Times New Roman" w:hAnsi="Times New Roman" w:eastAsia="宋体" w:cs="Times New Roman"/>
          <w:kern w:val="2"/>
          <w:position w:val="-24"/>
          <w:sz w:val="28"/>
          <w:szCs w:val="24"/>
          <w:lang w:val="en-US" w:eastAsia="zh-CN" w:bidi="ar-SA"/>
        </w:rPr>
        <w:t>本标准的制定与实施，将进一步健全中医治未病标准体系，填补我国中年亚健康中医标准化干预领域的空白，显著提升基层医疗机构与健康管理机构的服务能力与规范化水平，推动中医适宜技术广泛普及与高效应用，有效降低中年人群慢性病发病风险，节约社会医疗资源、提升全民健康素养与生活质量，助力我国中医治未病健康服务产业实现规范化、科学化、高质量发展。</w:t>
      </w:r>
    </w:p>
    <w:p w14:paraId="3F832C17">
      <w:pPr>
        <w:numPr>
          <w:ilvl w:val="0"/>
          <w:numId w:val="0"/>
        </w:numPr>
        <w:autoSpaceDE w:val="0"/>
        <w:autoSpaceDN w:val="0"/>
        <w:adjustRightInd w:val="0"/>
        <w:ind w:firstLine="560" w:firstLineChars="200"/>
        <w:jc w:val="left"/>
        <w:rPr>
          <w:rFonts w:hint="eastAsia" w:ascii="黑体" w:hAnsi="黑体" w:eastAsia="黑体"/>
          <w:szCs w:val="28"/>
        </w:rPr>
      </w:pPr>
      <w:r>
        <w:rPr>
          <w:rFonts w:hint="eastAsia" w:ascii="黑体" w:hAnsi="黑体" w:eastAsia="黑体"/>
          <w:szCs w:val="28"/>
          <w:lang w:val="en-US" w:eastAsia="zh-CN"/>
        </w:rPr>
        <w:t>四</w:t>
      </w:r>
      <w:r>
        <w:rPr>
          <w:rFonts w:ascii="黑体" w:hAnsi="黑体" w:eastAsia="黑体"/>
          <w:szCs w:val="28"/>
        </w:rPr>
        <w:t>、</w:t>
      </w:r>
      <w:r>
        <w:rPr>
          <w:rFonts w:hint="eastAsia" w:ascii="黑体" w:hAnsi="黑体" w:eastAsia="黑体"/>
          <w:szCs w:val="28"/>
        </w:rPr>
        <w:t>采用国际标准或国外文件的程度及水平的简要说明</w:t>
      </w:r>
    </w:p>
    <w:p w14:paraId="34399646">
      <w:pPr>
        <w:ind w:firstLine="560"/>
        <w:rPr>
          <w:rFonts w:hint="eastAsia"/>
          <w:szCs w:val="28"/>
          <w:lang w:val="en-US" w:eastAsia="zh-CN"/>
        </w:rPr>
      </w:pPr>
      <w:r>
        <w:rPr>
          <w:rFonts w:hint="eastAsia"/>
          <w:szCs w:val="28"/>
          <w:lang w:val="en-US" w:eastAsia="zh-CN"/>
        </w:rPr>
        <w:t>无。</w:t>
      </w:r>
    </w:p>
    <w:p w14:paraId="73E25090">
      <w:pPr>
        <w:autoSpaceDE w:val="0"/>
        <w:autoSpaceDN w:val="0"/>
        <w:adjustRightInd w:val="0"/>
        <w:ind w:firstLine="560"/>
        <w:jc w:val="left"/>
        <w:outlineLvl w:val="0"/>
        <w:rPr>
          <w:rFonts w:ascii="黑体" w:hAnsi="黑体" w:eastAsia="黑体"/>
          <w:szCs w:val="28"/>
        </w:rPr>
      </w:pPr>
      <w:r>
        <w:rPr>
          <w:rFonts w:ascii="黑体" w:hAnsi="黑体" w:eastAsia="黑体"/>
          <w:szCs w:val="28"/>
        </w:rPr>
        <w:t>五、重大分歧意见的处理经过和依据</w:t>
      </w:r>
    </w:p>
    <w:p w14:paraId="002D577A">
      <w:pPr>
        <w:autoSpaceDE w:val="0"/>
        <w:autoSpaceDN w:val="0"/>
        <w:adjustRightInd w:val="0"/>
        <w:ind w:firstLine="560"/>
        <w:jc w:val="left"/>
        <w:rPr>
          <w:rFonts w:ascii="宋体" w:hAnsi="宋体"/>
          <w:szCs w:val="28"/>
        </w:rPr>
      </w:pPr>
      <w:r>
        <w:rPr>
          <w:rFonts w:hint="eastAsia" w:ascii="宋体" w:hAnsi="宋体"/>
          <w:szCs w:val="28"/>
        </w:rPr>
        <w:t>本标准在制定过程中无重大分歧性意见。</w:t>
      </w:r>
    </w:p>
    <w:p w14:paraId="2CF81D9B">
      <w:pPr>
        <w:ind w:firstLine="560"/>
        <w:rPr>
          <w:rFonts w:ascii="黑体" w:hAnsi="黑体" w:eastAsia="黑体"/>
          <w:bCs/>
          <w:szCs w:val="28"/>
        </w:rPr>
      </w:pPr>
      <w:r>
        <w:rPr>
          <w:rFonts w:hint="eastAsia" w:ascii="黑体" w:hAnsi="黑体" w:eastAsia="黑体"/>
          <w:bCs/>
          <w:szCs w:val="28"/>
        </w:rPr>
        <w:t>六、涉及专利的有关说明</w:t>
      </w:r>
    </w:p>
    <w:p w14:paraId="594C8D91">
      <w:pPr>
        <w:ind w:firstLine="560"/>
        <w:rPr>
          <w:szCs w:val="28"/>
        </w:rPr>
      </w:pPr>
      <w:r>
        <w:rPr>
          <w:rFonts w:hint="eastAsia"/>
          <w:szCs w:val="28"/>
        </w:rPr>
        <w:t>本标准不涉及专利。</w:t>
      </w:r>
    </w:p>
    <w:p w14:paraId="63ED3EE6">
      <w:pPr>
        <w:autoSpaceDE w:val="0"/>
        <w:autoSpaceDN w:val="0"/>
        <w:adjustRightInd w:val="0"/>
        <w:ind w:firstLine="560"/>
        <w:jc w:val="left"/>
        <w:outlineLvl w:val="0"/>
        <w:rPr>
          <w:rFonts w:ascii="黑体" w:hAnsi="黑体" w:eastAsia="黑体"/>
          <w:szCs w:val="28"/>
        </w:rPr>
      </w:pPr>
      <w:r>
        <w:rPr>
          <w:rFonts w:hint="eastAsia" w:ascii="黑体" w:hAnsi="黑体" w:eastAsia="黑体"/>
          <w:szCs w:val="28"/>
          <w:lang w:val="en-US" w:eastAsia="zh-CN"/>
        </w:rPr>
        <w:t>七</w:t>
      </w:r>
      <w:r>
        <w:rPr>
          <w:rFonts w:ascii="黑体" w:hAnsi="黑体" w:eastAsia="黑体"/>
          <w:szCs w:val="28"/>
        </w:rPr>
        <w:t>、其</w:t>
      </w:r>
      <w:r>
        <w:rPr>
          <w:rFonts w:hint="eastAsia" w:ascii="黑体" w:hAnsi="黑体" w:eastAsia="黑体"/>
          <w:szCs w:val="28"/>
        </w:rPr>
        <w:t>他</w:t>
      </w:r>
      <w:r>
        <w:rPr>
          <w:rFonts w:ascii="黑体" w:hAnsi="黑体" w:eastAsia="黑体"/>
          <w:szCs w:val="28"/>
        </w:rPr>
        <w:t>应予说明的事项</w:t>
      </w:r>
    </w:p>
    <w:p w14:paraId="75A673A9">
      <w:pPr>
        <w:autoSpaceDE w:val="0"/>
        <w:autoSpaceDN w:val="0"/>
        <w:adjustRightInd w:val="0"/>
        <w:ind w:firstLine="560"/>
        <w:jc w:val="left"/>
        <w:rPr>
          <w:rFonts w:ascii="宋体" w:hAnsi="宋体"/>
          <w:szCs w:val="28"/>
        </w:rPr>
      </w:pPr>
      <w:r>
        <w:rPr>
          <w:rFonts w:hint="eastAsia" w:ascii="宋体" w:hAnsi="宋体"/>
          <w:szCs w:val="28"/>
        </w:rPr>
        <w:t>无。</w:t>
      </w:r>
      <w:bookmarkStart w:id="10" w:name="_GoBack"/>
      <w:bookmarkEnd w:id="10"/>
    </w:p>
    <w:sectPr>
      <w:headerReference r:id="rId7" w:type="first"/>
      <w:footerReference r:id="rId10" w:type="first"/>
      <w:headerReference r:id="rId5" w:type="default"/>
      <w:footerReference r:id="rId8" w:type="default"/>
      <w:headerReference r:id="rId6" w:type="even"/>
      <w:footerReference r:id="rId9" w:type="even"/>
      <w:pgSz w:w="9923" w:h="15593"/>
      <w:pgMar w:top="1440" w:right="1080" w:bottom="1440" w:left="1080" w:header="156" w:footer="597" w:gutter="0"/>
      <w:pgNumType w:start="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仪中黑简">
    <w:altName w:val="黑体"/>
    <w:panose1 w:val="02010600000101010101"/>
    <w:charset w:val="86"/>
    <w:family w:val="modern"/>
    <w:pitch w:val="default"/>
    <w:sig w:usb0="00000000" w:usb1="00000000" w:usb2="00000002"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C012C">
    <w:pPr>
      <w:pStyle w:val="5"/>
      <w:ind w:firstLine="360"/>
      <w:jc w:val="center"/>
    </w:pPr>
    <w:r>
      <w:fldChar w:fldCharType="begin"/>
    </w:r>
    <w:r>
      <w:instrText xml:space="preserve">PAGE   \* MERGEFORMAT</w:instrText>
    </w:r>
    <w:r>
      <w:fldChar w:fldCharType="separate"/>
    </w:r>
    <w:r>
      <w:rPr>
        <w:lang w:val="zh-CN"/>
      </w:rPr>
      <w:t>9</w:t>
    </w:r>
    <w:r>
      <w:fldChar w:fldCharType="end"/>
    </w:r>
  </w:p>
  <w:p w14:paraId="08B5778D">
    <w:pPr>
      <w:pStyle w:val="5"/>
      <w:tabs>
        <w:tab w:val="right" w:pos="8789"/>
        <w:tab w:val="center" w:pos="8931"/>
        <w:tab w:val="clear" w:pos="4153"/>
        <w:tab w:val="clear" w:pos="8306"/>
      </w:tabs>
      <w:ind w:right="-285"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6EA5C">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86194">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A10AE">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D2865">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8C0EF">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C50F90"/>
    <w:multiLevelType w:val="multilevel"/>
    <w:tmpl w:val="44C50F90"/>
    <w:lvl w:ilvl="0" w:tentative="0">
      <w:start w:val="1"/>
      <w:numFmt w:val="lowerLetter"/>
      <w:pStyle w:val="25"/>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default" w:ascii="宋体" w:hAnsi="宋体"/>
      </w:rPr>
    </w:lvl>
    <w:lvl w:ilvl="4" w:tentative="0">
      <w:start w:val="1"/>
      <w:numFmt w:val="lowerLetter"/>
      <w:lvlText w:val="%5)"/>
      <w:lvlJc w:val="left"/>
      <w:pPr>
        <w:tabs>
          <w:tab w:val="left" w:pos="1271"/>
        </w:tabs>
        <w:ind w:left="1271" w:hanging="419"/>
      </w:pPr>
      <w:rPr>
        <w:rFonts w:hint="default" w:ascii="宋体" w:hAnsi="宋体"/>
      </w:rPr>
    </w:lvl>
    <w:lvl w:ilvl="5" w:tentative="0">
      <w:start w:val="1"/>
      <w:numFmt w:val="lowerRoman"/>
      <w:lvlText w:val="%6."/>
      <w:lvlJc w:val="right"/>
      <w:pPr>
        <w:tabs>
          <w:tab w:val="left" w:pos="2942"/>
        </w:tabs>
        <w:ind w:left="2937" w:hanging="420"/>
      </w:pPr>
      <w:rPr>
        <w:rFonts w:hint="default" w:ascii="宋体" w:hAnsi="宋体"/>
      </w:rPr>
    </w:lvl>
    <w:lvl w:ilvl="6" w:tentative="0">
      <w:start w:val="1"/>
      <w:numFmt w:val="decimal"/>
      <w:lvlText w:val="%7."/>
      <w:lvlJc w:val="left"/>
      <w:pPr>
        <w:tabs>
          <w:tab w:val="left" w:pos="3362"/>
        </w:tabs>
        <w:ind w:left="3356" w:hanging="414"/>
      </w:pPr>
      <w:rPr>
        <w:rFonts w:hint="default" w:ascii="宋体" w:hAnsi="宋体"/>
      </w:rPr>
    </w:lvl>
    <w:lvl w:ilvl="7" w:tentative="0">
      <w:start w:val="1"/>
      <w:numFmt w:val="lowerLetter"/>
      <w:lvlText w:val="%8)"/>
      <w:lvlJc w:val="left"/>
      <w:pPr>
        <w:tabs>
          <w:tab w:val="left" w:pos="3781"/>
        </w:tabs>
        <w:ind w:left="3776" w:hanging="414"/>
      </w:pPr>
      <w:rPr>
        <w:rFonts w:hint="default" w:ascii="宋体" w:hAnsi="宋体"/>
      </w:rPr>
    </w:lvl>
    <w:lvl w:ilvl="8" w:tentative="0">
      <w:start w:val="1"/>
      <w:numFmt w:val="lowerRoman"/>
      <w:lvlText w:val="%9."/>
      <w:lvlJc w:val="right"/>
      <w:pPr>
        <w:tabs>
          <w:tab w:val="left" w:pos="4201"/>
        </w:tabs>
        <w:ind w:left="4201" w:hanging="420"/>
      </w:pPr>
      <w:rPr>
        <w:rFonts w:hint="default" w:ascii="宋体" w:hAnsi="宋体"/>
      </w:rPr>
    </w:lvl>
  </w:abstractNum>
  <w:abstractNum w:abstractNumId="1">
    <w:nsid w:val="7801133A"/>
    <w:multiLevelType w:val="multilevel"/>
    <w:tmpl w:val="7801133A"/>
    <w:lvl w:ilvl="0" w:tentative="0">
      <w:start w:val="2"/>
      <w:numFmt w:val="decimal"/>
      <w:lvlText w:val="%1"/>
      <w:lvlJc w:val="left"/>
      <w:pPr>
        <w:ind w:left="432" w:hanging="432"/>
      </w:pPr>
      <w:rPr>
        <w:rFonts w:hint="default"/>
      </w:rPr>
    </w:lvl>
    <w:lvl w:ilvl="1" w:tentative="0">
      <w:start w:val="2"/>
      <w:numFmt w:val="decimal"/>
      <w:lvlText w:val="%1.%2"/>
      <w:lvlJc w:val="left"/>
      <w:pPr>
        <w:ind w:left="992" w:hanging="432"/>
      </w:pPr>
      <w:rPr>
        <w:rFonts w:hint="default"/>
      </w:rPr>
    </w:lvl>
    <w:lvl w:ilvl="2" w:tentative="0">
      <w:start w:val="1"/>
      <w:numFmt w:val="decimal"/>
      <w:lvlText w:val="%1.%2.%3"/>
      <w:lvlJc w:val="left"/>
      <w:pPr>
        <w:ind w:left="1840" w:hanging="720"/>
      </w:pPr>
      <w:rPr>
        <w:rFonts w:hint="default"/>
      </w:rPr>
    </w:lvl>
    <w:lvl w:ilvl="3" w:tentative="0">
      <w:start w:val="1"/>
      <w:numFmt w:val="decimal"/>
      <w:lvlText w:val="%1.%2.%3.%4"/>
      <w:lvlJc w:val="left"/>
      <w:pPr>
        <w:ind w:left="2760" w:hanging="1080"/>
      </w:pPr>
      <w:rPr>
        <w:rFonts w:hint="default"/>
      </w:rPr>
    </w:lvl>
    <w:lvl w:ilvl="4" w:tentative="0">
      <w:start w:val="1"/>
      <w:numFmt w:val="decimal"/>
      <w:lvlText w:val="%1.%2.%3.%4.%5"/>
      <w:lvlJc w:val="left"/>
      <w:pPr>
        <w:ind w:left="3320" w:hanging="1080"/>
      </w:pPr>
      <w:rPr>
        <w:rFonts w:hint="default"/>
      </w:rPr>
    </w:lvl>
    <w:lvl w:ilvl="5" w:tentative="0">
      <w:start w:val="1"/>
      <w:numFmt w:val="decimal"/>
      <w:lvlText w:val="%1.%2.%3.%4.%5.%6"/>
      <w:lvlJc w:val="left"/>
      <w:pPr>
        <w:ind w:left="4240" w:hanging="1440"/>
      </w:pPr>
      <w:rPr>
        <w:rFonts w:hint="default"/>
      </w:rPr>
    </w:lvl>
    <w:lvl w:ilvl="6" w:tentative="0">
      <w:start w:val="1"/>
      <w:numFmt w:val="decimal"/>
      <w:lvlText w:val="%1.%2.%3.%4.%5.%6.%7"/>
      <w:lvlJc w:val="left"/>
      <w:pPr>
        <w:ind w:left="4800" w:hanging="1440"/>
      </w:pPr>
      <w:rPr>
        <w:rFonts w:hint="default"/>
      </w:rPr>
    </w:lvl>
    <w:lvl w:ilvl="7" w:tentative="0">
      <w:start w:val="1"/>
      <w:numFmt w:val="decimal"/>
      <w:lvlText w:val="%1.%2.%3.%4.%5.%6.%7.%8"/>
      <w:lvlJc w:val="left"/>
      <w:pPr>
        <w:ind w:left="5720" w:hanging="1800"/>
      </w:pPr>
      <w:rPr>
        <w:rFonts w:hint="default"/>
      </w:rPr>
    </w:lvl>
    <w:lvl w:ilvl="8" w:tentative="0">
      <w:start w:val="1"/>
      <w:numFmt w:val="decimal"/>
      <w:lvlText w:val="%1.%2.%3.%4.%5.%6.%7.%8.%9"/>
      <w:lvlJc w:val="left"/>
      <w:pPr>
        <w:ind w:left="628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4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hYzk2NjdkNzE3ZjM0MDllNTZkZTZlMGYzZGI1YjEifQ=="/>
  </w:docVars>
  <w:rsids>
    <w:rsidRoot w:val="00482ECF"/>
    <w:rsid w:val="000018F5"/>
    <w:rsid w:val="00004C42"/>
    <w:rsid w:val="0000543B"/>
    <w:rsid w:val="00016453"/>
    <w:rsid w:val="000200F3"/>
    <w:rsid w:val="000220CE"/>
    <w:rsid w:val="000255E9"/>
    <w:rsid w:val="00026DB9"/>
    <w:rsid w:val="00030A9B"/>
    <w:rsid w:val="000362DC"/>
    <w:rsid w:val="0004370A"/>
    <w:rsid w:val="00045124"/>
    <w:rsid w:val="000525B5"/>
    <w:rsid w:val="0005604C"/>
    <w:rsid w:val="00057818"/>
    <w:rsid w:val="000578DD"/>
    <w:rsid w:val="00057F8B"/>
    <w:rsid w:val="000604F8"/>
    <w:rsid w:val="00070873"/>
    <w:rsid w:val="0008403A"/>
    <w:rsid w:val="000860D1"/>
    <w:rsid w:val="000863A6"/>
    <w:rsid w:val="00086D5B"/>
    <w:rsid w:val="00090E72"/>
    <w:rsid w:val="00091034"/>
    <w:rsid w:val="0009233A"/>
    <w:rsid w:val="0009714B"/>
    <w:rsid w:val="000B0E53"/>
    <w:rsid w:val="000D164B"/>
    <w:rsid w:val="000E14E8"/>
    <w:rsid w:val="000E17DC"/>
    <w:rsid w:val="000E2719"/>
    <w:rsid w:val="000F160F"/>
    <w:rsid w:val="000F2D33"/>
    <w:rsid w:val="000F4ACB"/>
    <w:rsid w:val="000F5F2A"/>
    <w:rsid w:val="00100EB5"/>
    <w:rsid w:val="00102DAA"/>
    <w:rsid w:val="001058E3"/>
    <w:rsid w:val="00105A87"/>
    <w:rsid w:val="0011260B"/>
    <w:rsid w:val="00114046"/>
    <w:rsid w:val="001175A6"/>
    <w:rsid w:val="001204DA"/>
    <w:rsid w:val="0012170D"/>
    <w:rsid w:val="0012330F"/>
    <w:rsid w:val="00123476"/>
    <w:rsid w:val="00123496"/>
    <w:rsid w:val="00125B80"/>
    <w:rsid w:val="0013190B"/>
    <w:rsid w:val="001341D3"/>
    <w:rsid w:val="00134BC0"/>
    <w:rsid w:val="00135275"/>
    <w:rsid w:val="00136328"/>
    <w:rsid w:val="0014128C"/>
    <w:rsid w:val="001414F4"/>
    <w:rsid w:val="00143BD9"/>
    <w:rsid w:val="001510A6"/>
    <w:rsid w:val="00151CCE"/>
    <w:rsid w:val="00152D2B"/>
    <w:rsid w:val="001569C7"/>
    <w:rsid w:val="00166FB6"/>
    <w:rsid w:val="001672D0"/>
    <w:rsid w:val="001759EC"/>
    <w:rsid w:val="001820B4"/>
    <w:rsid w:val="001924EC"/>
    <w:rsid w:val="001A057D"/>
    <w:rsid w:val="001C2F2A"/>
    <w:rsid w:val="001E00EC"/>
    <w:rsid w:val="001E3EC7"/>
    <w:rsid w:val="001E62DE"/>
    <w:rsid w:val="001F0207"/>
    <w:rsid w:val="00201CB8"/>
    <w:rsid w:val="00203F74"/>
    <w:rsid w:val="00205899"/>
    <w:rsid w:val="0022372C"/>
    <w:rsid w:val="00223D2D"/>
    <w:rsid w:val="00250AA6"/>
    <w:rsid w:val="00253FEB"/>
    <w:rsid w:val="002547E1"/>
    <w:rsid w:val="00254B55"/>
    <w:rsid w:val="002566DA"/>
    <w:rsid w:val="00264450"/>
    <w:rsid w:val="00274B8C"/>
    <w:rsid w:val="00274FC3"/>
    <w:rsid w:val="002803A7"/>
    <w:rsid w:val="00280F4E"/>
    <w:rsid w:val="002818EB"/>
    <w:rsid w:val="00281F21"/>
    <w:rsid w:val="00283693"/>
    <w:rsid w:val="00284611"/>
    <w:rsid w:val="00294F6C"/>
    <w:rsid w:val="002A7B59"/>
    <w:rsid w:val="002B1C69"/>
    <w:rsid w:val="002B2E35"/>
    <w:rsid w:val="002C2493"/>
    <w:rsid w:val="002C60CF"/>
    <w:rsid w:val="002D6927"/>
    <w:rsid w:val="002D6A3B"/>
    <w:rsid w:val="002E0CF0"/>
    <w:rsid w:val="002E0D37"/>
    <w:rsid w:val="002E17CA"/>
    <w:rsid w:val="002E7039"/>
    <w:rsid w:val="002F6D71"/>
    <w:rsid w:val="003036DF"/>
    <w:rsid w:val="00303899"/>
    <w:rsid w:val="003145BF"/>
    <w:rsid w:val="003161F9"/>
    <w:rsid w:val="0032280D"/>
    <w:rsid w:val="003342B1"/>
    <w:rsid w:val="00340D06"/>
    <w:rsid w:val="00344A12"/>
    <w:rsid w:val="0035189D"/>
    <w:rsid w:val="003526BC"/>
    <w:rsid w:val="00353E31"/>
    <w:rsid w:val="00360711"/>
    <w:rsid w:val="003625B0"/>
    <w:rsid w:val="003670EC"/>
    <w:rsid w:val="00373454"/>
    <w:rsid w:val="00375BB0"/>
    <w:rsid w:val="00376C28"/>
    <w:rsid w:val="00384524"/>
    <w:rsid w:val="0039079C"/>
    <w:rsid w:val="00392B0E"/>
    <w:rsid w:val="0039676A"/>
    <w:rsid w:val="00396F3A"/>
    <w:rsid w:val="003A1046"/>
    <w:rsid w:val="003A1FA6"/>
    <w:rsid w:val="003B047B"/>
    <w:rsid w:val="003B1063"/>
    <w:rsid w:val="003B1212"/>
    <w:rsid w:val="003B1978"/>
    <w:rsid w:val="003B27FC"/>
    <w:rsid w:val="003B7BC9"/>
    <w:rsid w:val="003C3A5F"/>
    <w:rsid w:val="003C4419"/>
    <w:rsid w:val="003C50D2"/>
    <w:rsid w:val="003C668B"/>
    <w:rsid w:val="003D6793"/>
    <w:rsid w:val="003E0510"/>
    <w:rsid w:val="003E0983"/>
    <w:rsid w:val="003F0CEA"/>
    <w:rsid w:val="0040132E"/>
    <w:rsid w:val="00404210"/>
    <w:rsid w:val="00404F1D"/>
    <w:rsid w:val="004139C9"/>
    <w:rsid w:val="00416700"/>
    <w:rsid w:val="004206B1"/>
    <w:rsid w:val="00426492"/>
    <w:rsid w:val="00430BC2"/>
    <w:rsid w:val="00441C80"/>
    <w:rsid w:val="00441DD1"/>
    <w:rsid w:val="00443654"/>
    <w:rsid w:val="004457F4"/>
    <w:rsid w:val="00445B6D"/>
    <w:rsid w:val="004563D0"/>
    <w:rsid w:val="00457F30"/>
    <w:rsid w:val="00460A37"/>
    <w:rsid w:val="004658C3"/>
    <w:rsid w:val="0046704C"/>
    <w:rsid w:val="00467E6C"/>
    <w:rsid w:val="00471750"/>
    <w:rsid w:val="00474233"/>
    <w:rsid w:val="004752FD"/>
    <w:rsid w:val="00476F1C"/>
    <w:rsid w:val="00482ECF"/>
    <w:rsid w:val="00486D4D"/>
    <w:rsid w:val="00486F9A"/>
    <w:rsid w:val="004926F3"/>
    <w:rsid w:val="0049798F"/>
    <w:rsid w:val="004A49DD"/>
    <w:rsid w:val="004A7F68"/>
    <w:rsid w:val="004B0580"/>
    <w:rsid w:val="004B09FE"/>
    <w:rsid w:val="004B22FE"/>
    <w:rsid w:val="004B7B94"/>
    <w:rsid w:val="004C4A7B"/>
    <w:rsid w:val="004D1E4E"/>
    <w:rsid w:val="004D56C9"/>
    <w:rsid w:val="004E1DCF"/>
    <w:rsid w:val="004E470C"/>
    <w:rsid w:val="004E4AF5"/>
    <w:rsid w:val="004E7580"/>
    <w:rsid w:val="004E77C0"/>
    <w:rsid w:val="004F5AE1"/>
    <w:rsid w:val="004F6129"/>
    <w:rsid w:val="00504AC5"/>
    <w:rsid w:val="005127FD"/>
    <w:rsid w:val="00513501"/>
    <w:rsid w:val="0052058A"/>
    <w:rsid w:val="00520D20"/>
    <w:rsid w:val="00523217"/>
    <w:rsid w:val="00527833"/>
    <w:rsid w:val="00556F99"/>
    <w:rsid w:val="00563021"/>
    <w:rsid w:val="00564418"/>
    <w:rsid w:val="00565566"/>
    <w:rsid w:val="00566CE4"/>
    <w:rsid w:val="005704E9"/>
    <w:rsid w:val="00575673"/>
    <w:rsid w:val="0058480C"/>
    <w:rsid w:val="00587CC3"/>
    <w:rsid w:val="00595E6B"/>
    <w:rsid w:val="005A24D5"/>
    <w:rsid w:val="005A31A9"/>
    <w:rsid w:val="005A40B8"/>
    <w:rsid w:val="005B46BC"/>
    <w:rsid w:val="005B4AA9"/>
    <w:rsid w:val="005C5FE7"/>
    <w:rsid w:val="005D03BF"/>
    <w:rsid w:val="005D2662"/>
    <w:rsid w:val="005D56E7"/>
    <w:rsid w:val="005D6136"/>
    <w:rsid w:val="005E59F3"/>
    <w:rsid w:val="005F5939"/>
    <w:rsid w:val="00600655"/>
    <w:rsid w:val="006010BE"/>
    <w:rsid w:val="00610F27"/>
    <w:rsid w:val="00613225"/>
    <w:rsid w:val="0061507E"/>
    <w:rsid w:val="00633957"/>
    <w:rsid w:val="00641033"/>
    <w:rsid w:val="00651665"/>
    <w:rsid w:val="0065510C"/>
    <w:rsid w:val="0065637B"/>
    <w:rsid w:val="0066024E"/>
    <w:rsid w:val="00663706"/>
    <w:rsid w:val="00663AA2"/>
    <w:rsid w:val="006762D0"/>
    <w:rsid w:val="006839FE"/>
    <w:rsid w:val="00686322"/>
    <w:rsid w:val="00687D35"/>
    <w:rsid w:val="00692160"/>
    <w:rsid w:val="006930C3"/>
    <w:rsid w:val="0069793D"/>
    <w:rsid w:val="006A00F1"/>
    <w:rsid w:val="006A1B0F"/>
    <w:rsid w:val="006A7FEC"/>
    <w:rsid w:val="006B3600"/>
    <w:rsid w:val="006C0B9F"/>
    <w:rsid w:val="006C4CBA"/>
    <w:rsid w:val="006C4CE3"/>
    <w:rsid w:val="006D158B"/>
    <w:rsid w:val="006E18BF"/>
    <w:rsid w:val="006E209A"/>
    <w:rsid w:val="006F279C"/>
    <w:rsid w:val="006F39C1"/>
    <w:rsid w:val="00710105"/>
    <w:rsid w:val="00710280"/>
    <w:rsid w:val="00713619"/>
    <w:rsid w:val="007169ED"/>
    <w:rsid w:val="00721E22"/>
    <w:rsid w:val="007245F9"/>
    <w:rsid w:val="007258AD"/>
    <w:rsid w:val="00725BDE"/>
    <w:rsid w:val="007311F4"/>
    <w:rsid w:val="0073318D"/>
    <w:rsid w:val="00740603"/>
    <w:rsid w:val="007411FB"/>
    <w:rsid w:val="00750BB6"/>
    <w:rsid w:val="00752EA9"/>
    <w:rsid w:val="0076075F"/>
    <w:rsid w:val="00763410"/>
    <w:rsid w:val="007700DC"/>
    <w:rsid w:val="00773BB7"/>
    <w:rsid w:val="0077614F"/>
    <w:rsid w:val="0078171E"/>
    <w:rsid w:val="00787871"/>
    <w:rsid w:val="00795C69"/>
    <w:rsid w:val="007A72B9"/>
    <w:rsid w:val="007B0407"/>
    <w:rsid w:val="007B2707"/>
    <w:rsid w:val="007B43B9"/>
    <w:rsid w:val="007C0743"/>
    <w:rsid w:val="007D099E"/>
    <w:rsid w:val="007D5944"/>
    <w:rsid w:val="007D66B3"/>
    <w:rsid w:val="007E582D"/>
    <w:rsid w:val="007E7E83"/>
    <w:rsid w:val="007F2E43"/>
    <w:rsid w:val="007F6631"/>
    <w:rsid w:val="00801011"/>
    <w:rsid w:val="00811C98"/>
    <w:rsid w:val="00813E57"/>
    <w:rsid w:val="00815C6F"/>
    <w:rsid w:val="0082764E"/>
    <w:rsid w:val="00841310"/>
    <w:rsid w:val="008416E6"/>
    <w:rsid w:val="00845F19"/>
    <w:rsid w:val="008553A9"/>
    <w:rsid w:val="00861569"/>
    <w:rsid w:val="00881F84"/>
    <w:rsid w:val="00882626"/>
    <w:rsid w:val="00885BA8"/>
    <w:rsid w:val="00892CFE"/>
    <w:rsid w:val="008A1A5C"/>
    <w:rsid w:val="008B2458"/>
    <w:rsid w:val="008C3529"/>
    <w:rsid w:val="008C38D5"/>
    <w:rsid w:val="008C6737"/>
    <w:rsid w:val="008D0DBE"/>
    <w:rsid w:val="008D5A64"/>
    <w:rsid w:val="008D7176"/>
    <w:rsid w:val="00900515"/>
    <w:rsid w:val="00912865"/>
    <w:rsid w:val="00913348"/>
    <w:rsid w:val="00916853"/>
    <w:rsid w:val="00930C1F"/>
    <w:rsid w:val="009325E0"/>
    <w:rsid w:val="00936F01"/>
    <w:rsid w:val="00941A7E"/>
    <w:rsid w:val="009514F1"/>
    <w:rsid w:val="00952D75"/>
    <w:rsid w:val="00964E80"/>
    <w:rsid w:val="00971B3B"/>
    <w:rsid w:val="00972639"/>
    <w:rsid w:val="009747E5"/>
    <w:rsid w:val="00974D86"/>
    <w:rsid w:val="009827AD"/>
    <w:rsid w:val="00993336"/>
    <w:rsid w:val="009978A1"/>
    <w:rsid w:val="009A6E7A"/>
    <w:rsid w:val="009B0602"/>
    <w:rsid w:val="009C4061"/>
    <w:rsid w:val="009C7DEC"/>
    <w:rsid w:val="009D0EBA"/>
    <w:rsid w:val="009D289A"/>
    <w:rsid w:val="009D45C6"/>
    <w:rsid w:val="009D54A6"/>
    <w:rsid w:val="009D6A16"/>
    <w:rsid w:val="009D6BF6"/>
    <w:rsid w:val="009E1513"/>
    <w:rsid w:val="009E4637"/>
    <w:rsid w:val="009F5B6F"/>
    <w:rsid w:val="00A02387"/>
    <w:rsid w:val="00A04963"/>
    <w:rsid w:val="00A14931"/>
    <w:rsid w:val="00A1499D"/>
    <w:rsid w:val="00A15429"/>
    <w:rsid w:val="00A16307"/>
    <w:rsid w:val="00A16348"/>
    <w:rsid w:val="00A23941"/>
    <w:rsid w:val="00A308DA"/>
    <w:rsid w:val="00A405EB"/>
    <w:rsid w:val="00A4395A"/>
    <w:rsid w:val="00A468D6"/>
    <w:rsid w:val="00A603C9"/>
    <w:rsid w:val="00A63DC9"/>
    <w:rsid w:val="00A659F1"/>
    <w:rsid w:val="00A676E3"/>
    <w:rsid w:val="00A72EDA"/>
    <w:rsid w:val="00A80CD4"/>
    <w:rsid w:val="00A8117F"/>
    <w:rsid w:val="00A85C26"/>
    <w:rsid w:val="00A9195C"/>
    <w:rsid w:val="00AA0841"/>
    <w:rsid w:val="00AA1C23"/>
    <w:rsid w:val="00AB08C6"/>
    <w:rsid w:val="00AB1EA6"/>
    <w:rsid w:val="00AB4552"/>
    <w:rsid w:val="00AC31FE"/>
    <w:rsid w:val="00AD3486"/>
    <w:rsid w:val="00AD3A65"/>
    <w:rsid w:val="00AD7F4A"/>
    <w:rsid w:val="00AE3EF9"/>
    <w:rsid w:val="00AE5476"/>
    <w:rsid w:val="00AE7438"/>
    <w:rsid w:val="00AF640E"/>
    <w:rsid w:val="00AF6EAD"/>
    <w:rsid w:val="00B1373E"/>
    <w:rsid w:val="00B13D73"/>
    <w:rsid w:val="00B22BAF"/>
    <w:rsid w:val="00B42BDE"/>
    <w:rsid w:val="00B47671"/>
    <w:rsid w:val="00B557BC"/>
    <w:rsid w:val="00B64929"/>
    <w:rsid w:val="00B6725F"/>
    <w:rsid w:val="00B74A5A"/>
    <w:rsid w:val="00B762B4"/>
    <w:rsid w:val="00B80489"/>
    <w:rsid w:val="00B82A3E"/>
    <w:rsid w:val="00B82FFD"/>
    <w:rsid w:val="00B90F3D"/>
    <w:rsid w:val="00B90F52"/>
    <w:rsid w:val="00B924C5"/>
    <w:rsid w:val="00BA1B95"/>
    <w:rsid w:val="00BA22EA"/>
    <w:rsid w:val="00BA4B2E"/>
    <w:rsid w:val="00BA528C"/>
    <w:rsid w:val="00BA56A8"/>
    <w:rsid w:val="00BB7B0F"/>
    <w:rsid w:val="00BC2946"/>
    <w:rsid w:val="00BC371C"/>
    <w:rsid w:val="00BD215B"/>
    <w:rsid w:val="00BE3D3C"/>
    <w:rsid w:val="00BF1F33"/>
    <w:rsid w:val="00BF41EA"/>
    <w:rsid w:val="00BF7D86"/>
    <w:rsid w:val="00C017B7"/>
    <w:rsid w:val="00C07E47"/>
    <w:rsid w:val="00C128D3"/>
    <w:rsid w:val="00C1773F"/>
    <w:rsid w:val="00C2013A"/>
    <w:rsid w:val="00C22992"/>
    <w:rsid w:val="00C31684"/>
    <w:rsid w:val="00C31688"/>
    <w:rsid w:val="00C316AD"/>
    <w:rsid w:val="00C3288E"/>
    <w:rsid w:val="00C35A85"/>
    <w:rsid w:val="00C40DA4"/>
    <w:rsid w:val="00C426FB"/>
    <w:rsid w:val="00C53A19"/>
    <w:rsid w:val="00C5543F"/>
    <w:rsid w:val="00C57113"/>
    <w:rsid w:val="00C647EB"/>
    <w:rsid w:val="00C73E68"/>
    <w:rsid w:val="00C87FCB"/>
    <w:rsid w:val="00C93F45"/>
    <w:rsid w:val="00C958A3"/>
    <w:rsid w:val="00C97438"/>
    <w:rsid w:val="00CA3931"/>
    <w:rsid w:val="00CA406A"/>
    <w:rsid w:val="00CA744F"/>
    <w:rsid w:val="00CB346C"/>
    <w:rsid w:val="00CC12D3"/>
    <w:rsid w:val="00CC448D"/>
    <w:rsid w:val="00CC4531"/>
    <w:rsid w:val="00CC73D9"/>
    <w:rsid w:val="00CC7A3A"/>
    <w:rsid w:val="00CD1BC7"/>
    <w:rsid w:val="00CD2098"/>
    <w:rsid w:val="00CD38BB"/>
    <w:rsid w:val="00CD6D3C"/>
    <w:rsid w:val="00CE2336"/>
    <w:rsid w:val="00CE3D57"/>
    <w:rsid w:val="00CE5BAA"/>
    <w:rsid w:val="00CE7482"/>
    <w:rsid w:val="00D015FB"/>
    <w:rsid w:val="00D15776"/>
    <w:rsid w:val="00D22898"/>
    <w:rsid w:val="00D26321"/>
    <w:rsid w:val="00D43821"/>
    <w:rsid w:val="00D539B7"/>
    <w:rsid w:val="00D55E76"/>
    <w:rsid w:val="00D65271"/>
    <w:rsid w:val="00D717EC"/>
    <w:rsid w:val="00D75905"/>
    <w:rsid w:val="00D76224"/>
    <w:rsid w:val="00D80510"/>
    <w:rsid w:val="00D8095C"/>
    <w:rsid w:val="00DB2D24"/>
    <w:rsid w:val="00DB4207"/>
    <w:rsid w:val="00DB7825"/>
    <w:rsid w:val="00DB7CC6"/>
    <w:rsid w:val="00DC1D3D"/>
    <w:rsid w:val="00DC69E7"/>
    <w:rsid w:val="00DD2E46"/>
    <w:rsid w:val="00DD4165"/>
    <w:rsid w:val="00DD71B3"/>
    <w:rsid w:val="00DE263D"/>
    <w:rsid w:val="00DE29D7"/>
    <w:rsid w:val="00DE5743"/>
    <w:rsid w:val="00DF2677"/>
    <w:rsid w:val="00DF27B8"/>
    <w:rsid w:val="00DF367F"/>
    <w:rsid w:val="00E00BBE"/>
    <w:rsid w:val="00E07CF3"/>
    <w:rsid w:val="00E1142F"/>
    <w:rsid w:val="00E13B0E"/>
    <w:rsid w:val="00E20778"/>
    <w:rsid w:val="00E27782"/>
    <w:rsid w:val="00E31357"/>
    <w:rsid w:val="00E32448"/>
    <w:rsid w:val="00E42E64"/>
    <w:rsid w:val="00E63645"/>
    <w:rsid w:val="00E63AB8"/>
    <w:rsid w:val="00E64833"/>
    <w:rsid w:val="00E67362"/>
    <w:rsid w:val="00E70D56"/>
    <w:rsid w:val="00E748F8"/>
    <w:rsid w:val="00E74E82"/>
    <w:rsid w:val="00E75144"/>
    <w:rsid w:val="00E777E0"/>
    <w:rsid w:val="00E820F2"/>
    <w:rsid w:val="00E838BB"/>
    <w:rsid w:val="00E8509D"/>
    <w:rsid w:val="00E8589D"/>
    <w:rsid w:val="00E868B0"/>
    <w:rsid w:val="00E93163"/>
    <w:rsid w:val="00E952DC"/>
    <w:rsid w:val="00EA0159"/>
    <w:rsid w:val="00EA03D0"/>
    <w:rsid w:val="00EA2FA6"/>
    <w:rsid w:val="00EC77AD"/>
    <w:rsid w:val="00EE511B"/>
    <w:rsid w:val="00EE69A9"/>
    <w:rsid w:val="00EF325E"/>
    <w:rsid w:val="00EF3CE4"/>
    <w:rsid w:val="00EF6354"/>
    <w:rsid w:val="00F00366"/>
    <w:rsid w:val="00F00BBC"/>
    <w:rsid w:val="00F01B84"/>
    <w:rsid w:val="00F037FB"/>
    <w:rsid w:val="00F04679"/>
    <w:rsid w:val="00F075B7"/>
    <w:rsid w:val="00F1735F"/>
    <w:rsid w:val="00F201E8"/>
    <w:rsid w:val="00F20F08"/>
    <w:rsid w:val="00F21E7E"/>
    <w:rsid w:val="00F40CA1"/>
    <w:rsid w:val="00F45317"/>
    <w:rsid w:val="00F45580"/>
    <w:rsid w:val="00F464B4"/>
    <w:rsid w:val="00F52895"/>
    <w:rsid w:val="00F5291D"/>
    <w:rsid w:val="00F52EBB"/>
    <w:rsid w:val="00F56310"/>
    <w:rsid w:val="00F62248"/>
    <w:rsid w:val="00F6636F"/>
    <w:rsid w:val="00F73CBD"/>
    <w:rsid w:val="00F84E96"/>
    <w:rsid w:val="00F9017F"/>
    <w:rsid w:val="00FA20EA"/>
    <w:rsid w:val="00FA217D"/>
    <w:rsid w:val="00FA556A"/>
    <w:rsid w:val="00FB1D20"/>
    <w:rsid w:val="00FB3D15"/>
    <w:rsid w:val="00FC0BBF"/>
    <w:rsid w:val="00FC1D46"/>
    <w:rsid w:val="00FD2DA3"/>
    <w:rsid w:val="00FD3125"/>
    <w:rsid w:val="00FD328F"/>
    <w:rsid w:val="00FD726C"/>
    <w:rsid w:val="00FE6557"/>
    <w:rsid w:val="00FF70D4"/>
    <w:rsid w:val="00FF7604"/>
    <w:rsid w:val="00FF7A1A"/>
    <w:rsid w:val="03E51F85"/>
    <w:rsid w:val="04043713"/>
    <w:rsid w:val="054425D2"/>
    <w:rsid w:val="066E30C6"/>
    <w:rsid w:val="067845BE"/>
    <w:rsid w:val="06BC10F3"/>
    <w:rsid w:val="08CB0CA3"/>
    <w:rsid w:val="08DA2C94"/>
    <w:rsid w:val="0BA650B0"/>
    <w:rsid w:val="0C8748EC"/>
    <w:rsid w:val="0E3C7F4D"/>
    <w:rsid w:val="0E45220C"/>
    <w:rsid w:val="14636234"/>
    <w:rsid w:val="14A412C3"/>
    <w:rsid w:val="152B5726"/>
    <w:rsid w:val="153656F6"/>
    <w:rsid w:val="16632D14"/>
    <w:rsid w:val="16FE2244"/>
    <w:rsid w:val="1945415A"/>
    <w:rsid w:val="1B8D2AB8"/>
    <w:rsid w:val="1BB92BDD"/>
    <w:rsid w:val="1BDC68CC"/>
    <w:rsid w:val="1D1239E5"/>
    <w:rsid w:val="1F2667DB"/>
    <w:rsid w:val="1FBE07C2"/>
    <w:rsid w:val="200728BA"/>
    <w:rsid w:val="20433AE4"/>
    <w:rsid w:val="20765541"/>
    <w:rsid w:val="209D0D1F"/>
    <w:rsid w:val="211663DC"/>
    <w:rsid w:val="224B0307"/>
    <w:rsid w:val="22700284"/>
    <w:rsid w:val="22877591"/>
    <w:rsid w:val="24F84776"/>
    <w:rsid w:val="26D22AE0"/>
    <w:rsid w:val="26E06425"/>
    <w:rsid w:val="26E1123A"/>
    <w:rsid w:val="27AB76E3"/>
    <w:rsid w:val="28A16ED3"/>
    <w:rsid w:val="2ABA427C"/>
    <w:rsid w:val="2AF754D0"/>
    <w:rsid w:val="2B2A01B3"/>
    <w:rsid w:val="2B452AC9"/>
    <w:rsid w:val="2BAE2033"/>
    <w:rsid w:val="2DDB135C"/>
    <w:rsid w:val="2F10519C"/>
    <w:rsid w:val="30C916BD"/>
    <w:rsid w:val="31293F09"/>
    <w:rsid w:val="31C83722"/>
    <w:rsid w:val="3361798A"/>
    <w:rsid w:val="33B06EB6"/>
    <w:rsid w:val="34441F8D"/>
    <w:rsid w:val="34DB19BE"/>
    <w:rsid w:val="355E16BB"/>
    <w:rsid w:val="35937710"/>
    <w:rsid w:val="35C557C9"/>
    <w:rsid w:val="367E0853"/>
    <w:rsid w:val="38417D8A"/>
    <w:rsid w:val="38EA21D0"/>
    <w:rsid w:val="3BD23034"/>
    <w:rsid w:val="3CFB7F43"/>
    <w:rsid w:val="3DEB4A20"/>
    <w:rsid w:val="3E926B71"/>
    <w:rsid w:val="41016309"/>
    <w:rsid w:val="417B60BB"/>
    <w:rsid w:val="41B839BA"/>
    <w:rsid w:val="423F533B"/>
    <w:rsid w:val="42D53D36"/>
    <w:rsid w:val="4565330A"/>
    <w:rsid w:val="47321912"/>
    <w:rsid w:val="477D66EB"/>
    <w:rsid w:val="49F00FDB"/>
    <w:rsid w:val="4A196CF5"/>
    <w:rsid w:val="4C272DFE"/>
    <w:rsid w:val="4C6D519A"/>
    <w:rsid w:val="4D9D385D"/>
    <w:rsid w:val="4E9B4C9E"/>
    <w:rsid w:val="4EBB043F"/>
    <w:rsid w:val="566B152C"/>
    <w:rsid w:val="56BD077B"/>
    <w:rsid w:val="56CE4E27"/>
    <w:rsid w:val="5852474B"/>
    <w:rsid w:val="5A625C12"/>
    <w:rsid w:val="5ABD6099"/>
    <w:rsid w:val="5B8B1199"/>
    <w:rsid w:val="5E9149DD"/>
    <w:rsid w:val="5EE65064"/>
    <w:rsid w:val="5F702B80"/>
    <w:rsid w:val="62546789"/>
    <w:rsid w:val="62DD22DA"/>
    <w:rsid w:val="6318774C"/>
    <w:rsid w:val="63273E9D"/>
    <w:rsid w:val="64C71494"/>
    <w:rsid w:val="6569254B"/>
    <w:rsid w:val="6689178E"/>
    <w:rsid w:val="67DA7730"/>
    <w:rsid w:val="682D7860"/>
    <w:rsid w:val="685E210F"/>
    <w:rsid w:val="6B9320D0"/>
    <w:rsid w:val="6C830396"/>
    <w:rsid w:val="6E096F2F"/>
    <w:rsid w:val="6E3866E0"/>
    <w:rsid w:val="6E5118C8"/>
    <w:rsid w:val="6E8E745D"/>
    <w:rsid w:val="6EE92007"/>
    <w:rsid w:val="6F2179F2"/>
    <w:rsid w:val="6FB72105"/>
    <w:rsid w:val="72223D55"/>
    <w:rsid w:val="72655E48"/>
    <w:rsid w:val="74B645A4"/>
    <w:rsid w:val="74CF2DE1"/>
    <w:rsid w:val="7805035F"/>
    <w:rsid w:val="78E9026F"/>
    <w:rsid w:val="7B762E74"/>
    <w:rsid w:val="7C745605"/>
    <w:rsid w:val="7DE6133B"/>
    <w:rsid w:val="7F5E4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index 5"/>
    <w:basedOn w:val="1"/>
    <w:next w:val="1"/>
    <w:autoRedefine/>
    <w:qFormat/>
    <w:uiPriority w:val="0"/>
    <w:pPr>
      <w:spacing w:line="240" w:lineRule="auto"/>
      <w:ind w:left="1050" w:hanging="210"/>
      <w:jc w:val="left"/>
    </w:pPr>
    <w:rPr>
      <w:rFonts w:ascii="Calibri" w:hAnsi="Calibri"/>
      <w:sz w:val="20"/>
      <w:szCs w:val="20"/>
    </w:rPr>
  </w:style>
  <w:style w:type="paragraph" w:styleId="5">
    <w:name w:val="footer"/>
    <w:basedOn w:val="1"/>
    <w:link w:val="12"/>
    <w:autoRedefine/>
    <w:qFormat/>
    <w:uiPriority w:val="99"/>
    <w:pPr>
      <w:widowControl/>
      <w:tabs>
        <w:tab w:val="center" w:pos="4153"/>
        <w:tab w:val="right" w:pos="8306"/>
      </w:tabs>
      <w:snapToGrid w:val="0"/>
      <w:jc w:val="left"/>
    </w:pPr>
    <w:rPr>
      <w:rFonts w:asciiTheme="minorHAnsi" w:hAnsiTheme="minorHAnsi" w:eastAsiaTheme="minorEastAsia" w:cstheme="minorBidi"/>
      <w:sz w:val="18"/>
      <w:szCs w:val="22"/>
    </w:rPr>
  </w:style>
  <w:style w:type="paragraph" w:styleId="6">
    <w:name w:val="Normal (Web)"/>
    <w:basedOn w:val="1"/>
    <w:autoRedefine/>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rPr>
  </w:style>
  <w:style w:type="table" w:styleId="8">
    <w:name w:val="Table Grid"/>
    <w:basedOn w:val="7"/>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Emphasis"/>
    <w:basedOn w:val="9"/>
    <w:qFormat/>
    <w:uiPriority w:val="20"/>
    <w:rPr>
      <w:i/>
      <w:iCs/>
    </w:rPr>
  </w:style>
  <w:style w:type="character" w:customStyle="1" w:styleId="12">
    <w:name w:val="页脚 字符"/>
    <w:link w:val="5"/>
    <w:qFormat/>
    <w:uiPriority w:val="99"/>
    <w:rPr>
      <w:sz w:val="18"/>
    </w:rPr>
  </w:style>
  <w:style w:type="character" w:customStyle="1" w:styleId="13">
    <w:name w:val="页脚 Char"/>
    <w:basedOn w:val="9"/>
    <w:semiHidden/>
    <w:qFormat/>
    <w:uiPriority w:val="99"/>
    <w:rPr>
      <w:rFonts w:ascii="Times New Roman" w:hAnsi="Times New Roman" w:eastAsia="宋体" w:cs="Times New Roman"/>
      <w:sz w:val="18"/>
      <w:szCs w:val="18"/>
    </w:rPr>
  </w:style>
  <w:style w:type="character" w:customStyle="1" w:styleId="14">
    <w:name w:val="段 Char"/>
    <w:link w:val="15"/>
    <w:qFormat/>
    <w:uiPriority w:val="0"/>
    <w:rPr>
      <w:rFonts w:ascii="宋体"/>
    </w:rPr>
  </w:style>
  <w:style w:type="paragraph" w:customStyle="1" w:styleId="15">
    <w:name w:val="段"/>
    <w:link w:val="14"/>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paragraph" w:customStyle="1" w:styleId="16">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paragraph" w:customStyle="1" w:styleId="17">
    <w:name w:val="章标题"/>
    <w:next w:val="15"/>
    <w:link w:val="22"/>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paragraph" w:styleId="18">
    <w:name w:val="List Paragraph"/>
    <w:basedOn w:val="1"/>
    <w:qFormat/>
    <w:uiPriority w:val="34"/>
    <w:pPr>
      <w:ind w:firstLine="420"/>
    </w:pPr>
  </w:style>
  <w:style w:type="paragraph" w:customStyle="1" w:styleId="19">
    <w:name w:val="正文表标题"/>
    <w:next w:val="15"/>
    <w:qFormat/>
    <w:uiPriority w:val="0"/>
    <w:pPr>
      <w:tabs>
        <w:tab w:val="left" w:pos="360"/>
      </w:tabs>
      <w:spacing w:beforeLines="50" w:afterLines="50"/>
      <w:ind w:left="3544"/>
      <w:jc w:val="center"/>
    </w:pPr>
    <w:rPr>
      <w:rFonts w:ascii="黑体" w:hAnsi="Times New Roman" w:eastAsia="黑体" w:cs="Times New Roman"/>
      <w:kern w:val="0"/>
      <w:sz w:val="21"/>
      <w:szCs w:val="20"/>
      <w:lang w:val="en-US" w:eastAsia="zh-CN" w:bidi="ar-SA"/>
    </w:rPr>
  </w:style>
  <w:style w:type="character" w:customStyle="1" w:styleId="20">
    <w:name w:val="fontstyle01"/>
    <w:basedOn w:val="9"/>
    <w:qFormat/>
    <w:uiPriority w:val="0"/>
    <w:rPr>
      <w:rFonts w:hint="eastAsia" w:ascii="黑体" w:hAnsi="黑体" w:eastAsia="黑体"/>
      <w:color w:val="000000"/>
      <w:sz w:val="28"/>
      <w:szCs w:val="28"/>
    </w:rPr>
  </w:style>
  <w:style w:type="character" w:customStyle="1" w:styleId="21">
    <w:name w:val="fontstyle11"/>
    <w:basedOn w:val="9"/>
    <w:qFormat/>
    <w:uiPriority w:val="0"/>
    <w:rPr>
      <w:rFonts w:hint="default" w:ascii="Times New Roman" w:hAnsi="Times New Roman" w:cs="Times New Roman"/>
      <w:color w:val="000000"/>
      <w:sz w:val="18"/>
      <w:szCs w:val="18"/>
    </w:rPr>
  </w:style>
  <w:style w:type="character" w:customStyle="1" w:styleId="22">
    <w:name w:val="章标题 字符"/>
    <w:link w:val="17"/>
    <w:qFormat/>
    <w:uiPriority w:val="0"/>
    <w:rPr>
      <w:rFonts w:ascii="黑体" w:hAnsi="Times New Roman" w:eastAsia="黑体" w:cs="Times New Roman"/>
      <w:kern w:val="0"/>
      <w:szCs w:val="20"/>
    </w:rPr>
  </w:style>
  <w:style w:type="paragraph" w:customStyle="1" w:styleId="23">
    <w:name w:val="标准文件_段"/>
    <w:link w:val="24"/>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4">
    <w:name w:val="标准文件_段 Char"/>
    <w:link w:val="23"/>
    <w:qFormat/>
    <w:locked/>
    <w:uiPriority w:val="0"/>
    <w:rPr>
      <w:rFonts w:ascii="宋体" w:hAnsi="Times New Roman" w:eastAsia="宋体" w:cs="Times New Roman"/>
      <w:kern w:val="0"/>
      <w:szCs w:val="20"/>
    </w:rPr>
  </w:style>
  <w:style w:type="paragraph" w:customStyle="1" w:styleId="25">
    <w:name w:val="字母编号列项（一级）"/>
    <w:qFormat/>
    <w:uiPriority w:val="0"/>
    <w:pPr>
      <w:numPr>
        <w:ilvl w:val="0"/>
        <w:numId w:val="1"/>
      </w:numPr>
      <w:jc w:val="both"/>
    </w:pPr>
    <w:rPr>
      <w:rFonts w:ascii="宋体" w:hAnsi="Times New Roman" w:eastAsia="宋体" w:cs="Times New Roman"/>
      <w:kern w:val="0"/>
      <w:sz w:val="21"/>
      <w:szCs w:val="20"/>
      <w:lang w:val="en-US" w:eastAsia="zh-CN" w:bidi="ar-SA"/>
    </w:rPr>
  </w:style>
  <w:style w:type="character" w:customStyle="1" w:styleId="26">
    <w:name w:val="一级条标题 Char"/>
    <w:link w:val="27"/>
    <w:qFormat/>
    <w:uiPriority w:val="99"/>
    <w:rPr>
      <w:rFonts w:ascii="黑体" w:eastAsia="黑体"/>
    </w:rPr>
  </w:style>
  <w:style w:type="paragraph" w:customStyle="1" w:styleId="27">
    <w:name w:val="一级条标题"/>
    <w:basedOn w:val="17"/>
    <w:next w:val="15"/>
    <w:link w:val="26"/>
    <w:qFormat/>
    <w:uiPriority w:val="99"/>
    <w:pPr>
      <w:spacing w:beforeLines="0" w:afterLines="0"/>
      <w:outlineLvl w:val="2"/>
    </w:pPr>
    <w:rPr>
      <w:rFonts w:hAnsiTheme="minorHAnsi" w:cstheme="minorBidi"/>
      <w:kern w:val="2"/>
      <w:szCs w:val="22"/>
    </w:rPr>
  </w:style>
  <w:style w:type="paragraph" w:customStyle="1" w:styleId="28">
    <w:name w:val="二级条标题"/>
    <w:basedOn w:val="1"/>
    <w:next w:val="15"/>
    <w:qFormat/>
    <w:uiPriority w:val="0"/>
    <w:pPr>
      <w:widowControl/>
      <w:spacing w:line="240" w:lineRule="auto"/>
      <w:outlineLvl w:val="3"/>
    </w:pPr>
    <w:rPr>
      <w:rFonts w:ascii="黑体" w:eastAsia="黑体"/>
      <w:kern w:val="0"/>
      <w:sz w:val="21"/>
      <w:szCs w:val="20"/>
    </w:rPr>
  </w:style>
  <w:style w:type="paragraph" w:customStyle="1" w:styleId="29">
    <w:name w:val="数字编号列项（二级）"/>
    <w:qFormat/>
    <w:uiPriority w:val="0"/>
    <w:pPr>
      <w:tabs>
        <w:tab w:val="left" w:pos="1259"/>
      </w:tabs>
      <w:ind w:left="1259" w:hanging="420"/>
      <w:jc w:val="both"/>
    </w:pPr>
    <w:rPr>
      <w:rFonts w:ascii="宋体" w:hAnsi="Times New Roman" w:eastAsia="宋体" w:cs="Times New Roman"/>
      <w:kern w:val="0"/>
      <w:sz w:val="21"/>
      <w:szCs w:val="20"/>
      <w:lang w:val="en-US" w:eastAsia="zh-CN" w:bidi="ar-SA"/>
    </w:rPr>
  </w:style>
  <w:style w:type="paragraph" w:customStyle="1" w:styleId="30">
    <w:name w:val="编号列项（三级）"/>
    <w:qFormat/>
    <w:uiPriority w:val="0"/>
    <w:pPr>
      <w:tabs>
        <w:tab w:val="left" w:pos="0"/>
      </w:tabs>
      <w:ind w:left="1678" w:hanging="419"/>
    </w:pPr>
    <w:rPr>
      <w:rFonts w:ascii="宋体" w:hAnsi="Times New Roman" w:eastAsia="宋体" w:cs="Times New Roman"/>
      <w:kern w:val="0"/>
      <w:sz w:val="21"/>
      <w:szCs w:val="20"/>
      <w:lang w:val="en-US" w:eastAsia="zh-CN" w:bidi="ar-SA"/>
    </w:rPr>
  </w:style>
  <w:style w:type="paragraph" w:customStyle="1" w:styleId="31">
    <w:name w:val="纯文本1"/>
    <w:basedOn w:val="1"/>
    <w:qFormat/>
    <w:uiPriority w:val="0"/>
    <w:rPr>
      <w:rFonts w:ascii="宋体" w:hAnsi="Courier New" w:cs="Courier New"/>
      <w:kern w:val="0"/>
      <w:sz w:val="20"/>
      <w:szCs w:val="21"/>
    </w:rPr>
  </w:style>
  <w:style w:type="paragraph" w:customStyle="1" w:styleId="32">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d811923-60d8-45dc-a70e-7bbbfbb2c1ca}"/>
        <w:style w:val=""/>
        <w:category>
          <w:name w:val="常规"/>
          <w:gallery w:val="placeholder"/>
        </w:category>
        <w:types>
          <w:type w:val="bbPlcHdr"/>
        </w:types>
        <w:behaviors>
          <w:behavior w:val="content"/>
        </w:behaviors>
        <w:description w:val=""/>
        <w:guid w:val="{8d811923-60d8-45dc-a70e-7bbbfbb2c1ca}"/>
      </w:docPartPr>
      <w:docPartBody>
        <w:p w14:paraId="476DFAEC">
          <w:pPr>
            <w:pStyle w:val="2"/>
          </w:pPr>
          <w:r>
            <w:rPr>
              <w:rStyle w:val="3"/>
              <w:rFonts w:hint="eastAsia"/>
            </w:rPr>
            <w:t>单击或点击此处输入文字。</w:t>
          </w:r>
        </w:p>
      </w:docPartBody>
    </w:docPart>
    <w:docPart>
      <w:docPartPr>
        <w:name w:val="{9ea1a64b-2b95-4173-94e7-efeee05de541}"/>
        <w:style w:val=""/>
        <w:category>
          <w:name w:val="常规"/>
          <w:gallery w:val="placeholder"/>
        </w:category>
        <w:types>
          <w:type w:val="bbPlcHdr"/>
        </w:types>
        <w:behaviors>
          <w:behavior w:val="content"/>
        </w:behaviors>
        <w:description w:val=""/>
        <w:guid w:val="{9ea1a64b-2b95-4173-94e7-efeee05de541}"/>
      </w:docPartPr>
      <w:docPartBody>
        <w:p w14:paraId="03958C3C">
          <w:pPr>
            <w:pStyle w:val="2"/>
          </w:pPr>
          <w:r>
            <w:rPr>
              <w:rStyle w:val="3"/>
              <w:rFonts w:hint="eastAsia"/>
            </w:rPr>
            <w:t>单击或点击此处输入文字。</w:t>
          </w:r>
        </w:p>
      </w:docPartBody>
    </w:docPart>
    <w:docPart>
      <w:docPartPr>
        <w:name w:val="{72b26b1f-5984-4f1c-9e59-ac3dd71b705b}"/>
        <w:style w:val=""/>
        <w:category>
          <w:name w:val="常规"/>
          <w:gallery w:val="placeholder"/>
        </w:category>
        <w:types>
          <w:type w:val="bbPlcHdr"/>
        </w:types>
        <w:behaviors>
          <w:behavior w:val="content"/>
        </w:behaviors>
        <w:description w:val=""/>
        <w:guid w:val="{72b26b1f-5984-4f1c-9e59-ac3dd71b705b}"/>
      </w:docPartPr>
      <w:docPartBody>
        <w:p w14:paraId="705F31F0">
          <w:pPr>
            <w:pStyle w:val="2"/>
          </w:pPr>
          <w:r>
            <w:rPr>
              <w:rStyle w:val="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autoRedefine/>
    <w:semiHidden/>
    <w:unhideWhenUsed/>
    <w:qFormat/>
    <w:uiPriority w:val="1"/>
  </w:style>
  <w:style w:type="paragraph" w:customStyle="1" w:styleId="2">
    <w:name w:val="761A369EAC164A3BAE913DD367D7677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autoRedefine/>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01C5C-CF09-4F4E-9ABB-75565D179BF7}">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2763</Words>
  <Characters>2801</Characters>
  <Lines>30</Lines>
  <Paragraphs>8</Paragraphs>
  <TotalTime>2</TotalTime>
  <ScaleCrop>false</ScaleCrop>
  <LinksUpToDate>false</LinksUpToDate>
  <CharactersWithSpaces>2821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2023-07-21T08:10:00Z</dcterms:created>
  <dc:creator>zhengy</dc:creator>
  <cp:lastModifiedBy>孙丽娟</cp:lastModifiedBy>
  <cp:lastPrinted>2022-04-07T01:55:00Z</cp:lastPrinted>
  <dcterms:modified xsi:type="dcterms:W3CDTF">2026-10-08T07:29:03Z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85B7012A5E614C0FB1BE86B7B8E51751_13</vt:lpwstr>
  </property>
  <property fmtid="{D5CDD505-2E9C-101B-9397-08002B2CF9AE}" pid="4" name="KSOTemplateDocerSaveRecord">
    <vt:lpwstr>eyJoZGlkIjoiMDMzM2I2ZjVkNDIwNzNhM2UwYWY0ZDY5NjRiOWM4MTgiLCJ1c2VySWQiOiI2NDg5MjQ4NDUifQ==</vt:lpwstr>
  </property>
</Properties>
</file>