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27"/>
        <w:tblW w:w="9364"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509"/>
        <w:gridCol w:w="8855"/>
      </w:tblGrid>
      <w:tr w14:paraId="5C9C11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509" w:type="dxa"/>
          </w:tcPr>
          <w:p w14:paraId="1F4F1152">
            <w:pPr>
              <w:pStyle w:val="18"/>
              <w:framePr w:wrap="notBeside" w:vAnchor="page" w:hAnchor="page" w:x="1372" w:y="568"/>
              <w:tabs>
                <w:tab w:val="clear" w:pos="4153"/>
                <w:tab w:val="clear" w:pos="8306"/>
              </w:tabs>
              <w:spacing w:line="240" w:lineRule="auto"/>
              <w:jc w:val="left"/>
              <w:rPr>
                <w:rFonts w:hint="eastAsia" w:ascii="黑体" w:hAnsi="黑体" w:eastAsia="黑体"/>
                <w:sz w:val="21"/>
                <w:szCs w:val="21"/>
              </w:rPr>
            </w:pPr>
            <w:r>
              <w:rPr>
                <w:rFonts w:ascii="Times New Roman" w:hAnsi="Times New Roman" w:eastAsia="黑体"/>
                <w:sz w:val="21"/>
                <w:szCs w:val="21"/>
              </w:rPr>
              <w:t>ICS</w:t>
            </w:r>
            <w:r>
              <w:rPr>
                <w:rFonts w:ascii="黑体" w:hAnsi="黑体" w:eastAsia="黑体"/>
                <w:sz w:val="21"/>
                <w:szCs w:val="21"/>
              </w:rPr>
              <w:t xml:space="preserve">  </w:t>
            </w:r>
          </w:p>
        </w:tc>
        <w:tc>
          <w:tcPr>
            <w:tcW w:w="8855" w:type="dxa"/>
          </w:tcPr>
          <w:p w14:paraId="58F9003F">
            <w:pPr>
              <w:pStyle w:val="18"/>
              <w:framePr w:wrap="notBeside" w:vAnchor="page" w:hAnchor="page" w:x="1372" w:y="568"/>
              <w:tabs>
                <w:tab w:val="clear" w:pos="4153"/>
                <w:tab w:val="clear" w:pos="8306"/>
              </w:tabs>
              <w:spacing w:line="240" w:lineRule="auto"/>
              <w:jc w:val="both"/>
              <w:rPr>
                <w:rFonts w:hint="eastAsia" w:ascii="黑体" w:hAnsi="黑体" w:eastAsia="黑体"/>
                <w:sz w:val="21"/>
                <w:szCs w:val="21"/>
              </w:rPr>
            </w:pPr>
            <w:r>
              <w:rPr>
                <w:rFonts w:ascii="黑体" w:hAnsi="黑体" w:eastAsia="黑体"/>
                <w:sz w:val="21"/>
                <w:szCs w:val="21"/>
              </w:rPr>
              <w:fldChar w:fldCharType="begin">
                <w:ffData>
                  <w:name w:val="ICS"/>
                  <w:enabled/>
                  <w:calcOnExit w:val="0"/>
                  <w:textInput>
                    <w:default w:val="点击此处添加ICS号"/>
                  </w:textInput>
                </w:ffData>
              </w:fldChar>
            </w:r>
            <w:bookmarkStart w:id="0" w:name="ICS"/>
            <w:r>
              <w:rPr>
                <w:rFonts w:ascii="黑体" w:hAnsi="黑体" w:eastAsia="黑体"/>
                <w:sz w:val="21"/>
                <w:szCs w:val="21"/>
              </w:rPr>
              <w:instrText xml:space="preserve"> FORMTEXT </w:instrText>
            </w:r>
            <w:r>
              <w:rPr>
                <w:rFonts w:ascii="黑体" w:hAnsi="黑体" w:eastAsia="黑体"/>
                <w:sz w:val="21"/>
                <w:szCs w:val="21"/>
              </w:rPr>
              <w:fldChar w:fldCharType="separate"/>
            </w:r>
            <w:r>
              <w:rPr>
                <w:rFonts w:hint="eastAsia" w:ascii="黑体" w:hAnsi="黑体" w:eastAsia="黑体"/>
                <w:sz w:val="21"/>
                <w:szCs w:val="21"/>
              </w:rPr>
              <w:t>11.020</w:t>
            </w:r>
            <w:r>
              <w:rPr>
                <w:rFonts w:ascii="黑体" w:hAnsi="黑体" w:eastAsia="黑体"/>
                <w:sz w:val="21"/>
                <w:szCs w:val="21"/>
              </w:rPr>
              <w:fldChar w:fldCharType="end"/>
            </w:r>
            <w:bookmarkEnd w:id="0"/>
          </w:p>
        </w:tc>
      </w:tr>
      <w:tr w14:paraId="247296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509" w:type="dxa"/>
          </w:tcPr>
          <w:p w14:paraId="01710CBE">
            <w:pPr>
              <w:pStyle w:val="18"/>
              <w:framePr w:wrap="notBeside" w:vAnchor="page" w:hAnchor="page" w:x="1372" w:y="568"/>
              <w:tabs>
                <w:tab w:val="clear" w:pos="4153"/>
                <w:tab w:val="clear" w:pos="8306"/>
              </w:tabs>
              <w:spacing w:before="40" w:line="240" w:lineRule="auto"/>
              <w:jc w:val="left"/>
              <w:rPr>
                <w:rFonts w:hint="eastAsia" w:ascii="黑体" w:hAnsi="黑体" w:eastAsia="黑体"/>
                <w:sz w:val="21"/>
                <w:szCs w:val="21"/>
              </w:rPr>
            </w:pPr>
            <w:r>
              <w:rPr>
                <w:rFonts w:ascii="Times New Roman" w:hAnsi="Times New Roman" w:eastAsia="黑体"/>
                <w:sz w:val="21"/>
                <w:szCs w:val="21"/>
              </w:rPr>
              <w:t xml:space="preserve">CCS </w:t>
            </w:r>
            <w:r>
              <w:rPr>
                <w:rFonts w:ascii="黑体" w:hAnsi="黑体" w:eastAsia="黑体"/>
                <w:sz w:val="21"/>
                <w:szCs w:val="21"/>
              </w:rPr>
              <w:t xml:space="preserve"> </w:t>
            </w:r>
          </w:p>
        </w:tc>
        <w:tc>
          <w:tcPr>
            <w:tcW w:w="8855" w:type="dxa"/>
          </w:tcPr>
          <w:tbl>
            <w:tblPr>
              <w:tblStyle w:val="27"/>
              <w:tblpPr w:vertAnchor="page" w:horzAnchor="margin" w:tblpX="1" w:tblpY="341"/>
              <w:tblOverlap w:val="never"/>
              <w:tblW w:w="0" w:type="auto"/>
              <w:tblInd w:w="0" w:type="dxa"/>
              <w:tblBorders>
                <w:top w:val="none" w:color="auto" w:sz="0" w:space="0"/>
                <w:left w:val="none" w:color="auto" w:sz="0" w:space="0"/>
                <w:bottom w:val="none" w:color="auto" w:sz="0" w:space="0"/>
                <w:right w:val="none" w:color="auto" w:sz="0" w:space="0"/>
                <w:insideH w:val="single" w:color="auto" w:sz="4" w:space="0"/>
                <w:insideV w:val="single" w:color="auto" w:sz="4" w:space="0"/>
              </w:tblBorders>
              <w:tblLayout w:type="fixed"/>
              <w:tblCellMar>
                <w:top w:w="0" w:type="dxa"/>
                <w:left w:w="0" w:type="dxa"/>
                <w:bottom w:w="0" w:type="dxa"/>
                <w:right w:w="113" w:type="dxa"/>
              </w:tblCellMar>
            </w:tblPr>
            <w:tblGrid>
              <w:gridCol w:w="9242"/>
            </w:tblGrid>
            <w:tr w14:paraId="6B796729">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113" w:type="dxa"/>
                </w:tblCellMar>
              </w:tblPrEx>
              <w:trPr>
                <w:trHeight w:val="1021" w:hRule="exact"/>
              </w:trPr>
              <w:tc>
                <w:tcPr>
                  <w:tcW w:w="9242" w:type="dxa"/>
                  <w:vAlign w:val="center"/>
                </w:tcPr>
                <w:p w14:paraId="2D5862E5">
                  <w:pPr>
                    <w:pStyle w:val="49"/>
                    <w:framePr w:wrap="notBeside" w:vAnchor="page" w:hAnchor="page" w:x="1372" w:y="568"/>
                    <w:ind w:left="420" w:right="624"/>
                    <w:rPr>
                      <w:rFonts w:hint="eastAsia" w:ascii="宋体" w:hAnsi="宋体"/>
                      <w:sz w:val="28"/>
                      <w:szCs w:val="28"/>
                    </w:rPr>
                  </w:pPr>
                  <w:r>
                    <w:drawing>
                      <wp:inline distT="0" distB="0" distL="0" distR="0">
                        <wp:extent cx="414655" cy="430530"/>
                        <wp:effectExtent l="0" t="0" r="4445" b="7620"/>
                        <wp:docPr id="1" name="图片 1" descr="D:\000000部门项目\09标准化插件开发\程序源代码\StandardEditor_ShanDongKeXieYuan\团标首页面字母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D:\000000部门项目\09标准化插件开发\程序源代码\StandardEditor_ShanDongKeXieYuan\团标首页面字母T.pn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a:xfrm>
                                  <a:off x="0" y="0"/>
                                  <a:ext cx="414720" cy="430560"/>
                                </a:xfrm>
                                <a:prstGeom prst="rect">
                                  <a:avLst/>
                                </a:prstGeom>
                                <a:noFill/>
                                <a:ln>
                                  <a:noFill/>
                                </a:ln>
                              </pic:spPr>
                            </pic:pic>
                          </a:graphicData>
                        </a:graphic>
                      </wp:inline>
                    </w:drawing>
                  </w:r>
                  <w:r>
                    <w:drawing>
                      <wp:inline distT="0" distB="0" distL="0" distR="0">
                        <wp:extent cx="170815" cy="436245"/>
                        <wp:effectExtent l="0" t="0" r="635" b="1905"/>
                        <wp:docPr id="2" name="图片 2" descr="D:\000000部门项目\09标准化插件开发\程序源代码\StandardEditor_ShanDongKeXieYuan\团标首页面字母T后面的反斜杠.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D:\000000部门项目\09标准化插件开发\程序源代码\StandardEditor_ShanDongKeXieYuan\团标首页面字母T后面的反斜杠.pn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a:xfrm>
                                  <a:off x="0" y="0"/>
                                  <a:ext cx="204571" cy="522509"/>
                                </a:xfrm>
                                <a:prstGeom prst="rect">
                                  <a:avLst/>
                                </a:prstGeom>
                                <a:noFill/>
                                <a:ln>
                                  <a:noFill/>
                                </a:ln>
                              </pic:spPr>
                            </pic:pic>
                          </a:graphicData>
                        </a:graphic>
                      </wp:inline>
                    </w:drawing>
                  </w:r>
                  <w:r>
                    <w:rPr>
                      <w:sz w:val="21"/>
                      <w:szCs w:val="21"/>
                    </w:rPr>
                    <w:t xml:space="preserve"> </w:t>
                  </w:r>
                  <w:r>
                    <w:fldChar w:fldCharType="begin">
                      <w:ffData>
                        <w:name w:val="c1"/>
                        <w:enabled/>
                        <w:calcOnExit w:val="0"/>
                        <w:textInput>
                          <w:maxLength w:val="7"/>
                        </w:textInput>
                      </w:ffData>
                    </w:fldChar>
                  </w:r>
                  <w:bookmarkStart w:id="1" w:name="c1"/>
                  <w:r>
                    <w:instrText xml:space="preserve"> FORMTEXT </w:instrText>
                  </w:r>
                  <w:r>
                    <w:fldChar w:fldCharType="separate"/>
                  </w:r>
                  <w:r>
                    <w:rPr>
                      <w:rFonts w:hint="eastAsia"/>
                    </w:rPr>
                    <w:t>CRACM</w:t>
                  </w:r>
                  <w:r>
                    <w:fldChar w:fldCharType="end"/>
                  </w:r>
                  <w:bookmarkEnd w:id="1"/>
                </w:p>
              </w:tc>
            </w:tr>
          </w:tbl>
          <w:p w14:paraId="012700DD">
            <w:pPr>
              <w:pStyle w:val="18"/>
              <w:framePr w:wrap="notBeside" w:vAnchor="page" w:hAnchor="page" w:x="1372" w:y="568"/>
              <w:tabs>
                <w:tab w:val="clear" w:pos="4153"/>
                <w:tab w:val="clear" w:pos="8306"/>
              </w:tabs>
              <w:spacing w:before="40" w:line="240" w:lineRule="auto"/>
              <w:jc w:val="left"/>
              <w:rPr>
                <w:rFonts w:hint="eastAsia" w:ascii="黑体" w:hAnsi="黑体" w:eastAsia="黑体"/>
                <w:sz w:val="21"/>
                <w:szCs w:val="21"/>
              </w:rPr>
            </w:pPr>
            <w:r>
              <w:rPr>
                <w:rFonts w:ascii="黑体" w:hAnsi="黑体" w:eastAsia="黑体"/>
                <w:sz w:val="21"/>
                <w:szCs w:val="21"/>
              </w:rPr>
              <w:fldChar w:fldCharType="begin">
                <w:ffData>
                  <w:name w:val="CSDN"/>
                  <w:enabled/>
                  <w:calcOnExit w:val="0"/>
                  <w:textInput>
                    <w:default w:val="点击此处添加CCS号"/>
                  </w:textInput>
                </w:ffData>
              </w:fldChar>
            </w:r>
            <w:bookmarkStart w:id="2" w:name="CSDN"/>
            <w:r>
              <w:rPr>
                <w:rFonts w:ascii="黑体" w:hAnsi="黑体" w:eastAsia="黑体"/>
                <w:sz w:val="21"/>
                <w:szCs w:val="21"/>
              </w:rPr>
              <w:instrText xml:space="preserve"> FORMTEXT </w:instrText>
            </w:r>
            <w:r>
              <w:rPr>
                <w:rFonts w:ascii="黑体" w:hAnsi="黑体" w:eastAsia="黑体"/>
                <w:sz w:val="21"/>
                <w:szCs w:val="21"/>
              </w:rPr>
              <w:fldChar w:fldCharType="separate"/>
            </w:r>
            <w:r>
              <w:rPr>
                <w:rFonts w:hint="eastAsia" w:ascii="黑体" w:hAnsi="黑体" w:eastAsia="黑体"/>
                <w:sz w:val="21"/>
                <w:szCs w:val="21"/>
              </w:rPr>
              <w:t>R 245</w:t>
            </w:r>
            <w:r>
              <w:rPr>
                <w:rFonts w:ascii="黑体" w:hAnsi="黑体" w:eastAsia="黑体"/>
                <w:sz w:val="21"/>
                <w:szCs w:val="21"/>
              </w:rPr>
              <w:fldChar w:fldCharType="end"/>
            </w:r>
            <w:bookmarkEnd w:id="2"/>
          </w:p>
        </w:tc>
      </w:tr>
    </w:tbl>
    <w:p w14:paraId="2E0F7157">
      <w:pPr>
        <w:pStyle w:val="50"/>
        <w:framePr w:w="9639" w:h="624" w:hRule="exact" w:hSpace="181" w:vSpace="181" w:wrap="around" w:hAnchor="page" w:x="1305" w:y="2269"/>
        <w:rPr>
          <w:rFonts w:hint="eastAsia" w:ascii="黑体" w:hAnsi="黑体" w:eastAsia="黑体"/>
          <w:b w:val="0"/>
          <w:bCs w:val="0"/>
          <w:w w:val="100"/>
          <w:sz w:val="48"/>
          <w:szCs w:val="48"/>
        </w:rPr>
      </w:pPr>
      <w:bookmarkStart w:id="3" w:name="_Hlk26473981"/>
      <w:r>
        <w:rPr>
          <w:rFonts w:ascii="黑体" w:eastAsia="黑体"/>
          <w:b w:val="0"/>
          <w:w w:val="100"/>
          <w:sz w:val="48"/>
        </w:rPr>
        <w:fldChar w:fldCharType="begin">
          <w:ffData>
            <w:name w:val="c2"/>
            <w:enabled/>
            <w:calcOnExit w:val="0"/>
            <w:textInput/>
          </w:ffData>
        </w:fldChar>
      </w:r>
      <w:bookmarkStart w:id="4" w:name="c2"/>
      <w:r>
        <w:rPr>
          <w:rFonts w:ascii="黑体" w:eastAsia="黑体"/>
          <w:b w:val="0"/>
          <w:w w:val="100"/>
          <w:sz w:val="48"/>
        </w:rPr>
        <w:instrText xml:space="preserve"> FORMTEXT </w:instrText>
      </w:r>
      <w:r>
        <w:rPr>
          <w:rFonts w:ascii="黑体" w:eastAsia="黑体"/>
          <w:b w:val="0"/>
          <w:w w:val="100"/>
          <w:sz w:val="48"/>
        </w:rPr>
        <w:fldChar w:fldCharType="separate"/>
      </w:r>
      <w:r>
        <w:rPr>
          <w:rFonts w:hint="eastAsia" w:ascii="黑体" w:eastAsia="黑体"/>
          <w:b w:val="0"/>
          <w:w w:val="100"/>
          <w:sz w:val="48"/>
        </w:rPr>
        <w:t>中国中医药研究促进会</w:t>
      </w:r>
      <w:r>
        <w:rPr>
          <w:rFonts w:ascii="黑体" w:eastAsia="黑体"/>
          <w:b w:val="0"/>
          <w:w w:val="100"/>
          <w:sz w:val="48"/>
        </w:rPr>
        <w:fldChar w:fldCharType="end"/>
      </w:r>
      <w:bookmarkEnd w:id="4"/>
      <w:r>
        <w:rPr>
          <w:rFonts w:hint="eastAsia" w:ascii="黑体" w:eastAsia="黑体"/>
          <w:b w:val="0"/>
          <w:w w:val="100"/>
          <w:sz w:val="48"/>
        </w:rPr>
        <w:t>团体</w:t>
      </w:r>
      <w:r>
        <w:rPr>
          <w:rFonts w:hint="eastAsia" w:ascii="黑体" w:hAnsi="黑体" w:eastAsia="黑体"/>
          <w:b w:val="0"/>
          <w:bCs w:val="0"/>
          <w:w w:val="100"/>
          <w:sz w:val="48"/>
          <w:szCs w:val="48"/>
        </w:rPr>
        <w:t>标准</w:t>
      </w:r>
    </w:p>
    <w:bookmarkEnd w:id="3"/>
    <w:p w14:paraId="506CCD36">
      <w:pPr>
        <w:pStyle w:val="195"/>
      </w:pPr>
      <w:r>
        <w:t>T/</w:t>
      </w:r>
      <w:r>
        <w:fldChar w:fldCharType="begin">
          <w:ffData>
            <w:name w:val="文字1"/>
            <w:enabled/>
            <w:calcOnExit w:val="0"/>
            <w:textInput>
              <w:default w:val="XXX"/>
            </w:textInput>
          </w:ffData>
        </w:fldChar>
      </w:r>
      <w:bookmarkStart w:id="5" w:name="文字1"/>
      <w:r>
        <w:instrText xml:space="preserve"> FORMTEXT </w:instrText>
      </w:r>
      <w:r>
        <w:fldChar w:fldCharType="separate"/>
      </w:r>
      <w:r>
        <w:rPr>
          <w:rFonts w:hint="eastAsia"/>
        </w:rPr>
        <w:t>CRACM</w:t>
      </w:r>
      <w:r>
        <w:fldChar w:fldCharType="end"/>
      </w:r>
      <w:bookmarkEnd w:id="5"/>
      <w:r>
        <w:t xml:space="preserve"> </w:t>
      </w:r>
      <w:r>
        <w:fldChar w:fldCharType="begin">
          <w:ffData>
            <w:name w:val="NSTD_CODE_F"/>
            <w:enabled/>
            <w:calcOnExit w:val="0"/>
            <w:textInput>
              <w:default w:val="XXXX"/>
            </w:textInput>
          </w:ffData>
        </w:fldChar>
      </w:r>
      <w:bookmarkStart w:id="6" w:name="NSTD_CODE_F"/>
      <w:r>
        <w:instrText xml:space="preserve"> FORMTEXT </w:instrText>
      </w:r>
      <w:r>
        <w:fldChar w:fldCharType="separate"/>
      </w:r>
      <w:r>
        <w:t>XXXX</w:t>
      </w:r>
      <w:r>
        <w:fldChar w:fldCharType="end"/>
      </w:r>
      <w:bookmarkEnd w:id="6"/>
      <w:r>
        <w:rPr>
          <w:rFonts w:hAnsi="黑体"/>
        </w:rPr>
        <w:t>—</w:t>
      </w:r>
      <w:r>
        <w:fldChar w:fldCharType="begin">
          <w:ffData>
            <w:name w:val="NSTD_CODE_B"/>
            <w:enabled/>
            <w:calcOnExit w:val="0"/>
            <w:textInput>
              <w:default w:val="XXXX"/>
            </w:textInput>
          </w:ffData>
        </w:fldChar>
      </w:r>
      <w:bookmarkStart w:id="7" w:name="NSTD_CODE_B"/>
      <w:r>
        <w:instrText xml:space="preserve"> FORMTEXT </w:instrText>
      </w:r>
      <w:r>
        <w:fldChar w:fldCharType="separate"/>
      </w:r>
      <w:r>
        <w:t>XXXX</w:t>
      </w:r>
      <w:r>
        <w:fldChar w:fldCharType="end"/>
      </w:r>
      <w:bookmarkEnd w:id="7"/>
    </w:p>
    <w:p w14:paraId="282EB803">
      <w:pPr>
        <w:pStyle w:val="196"/>
        <w:rPr>
          <w:rFonts w:hint="eastAsia" w:hAnsi="黑体"/>
        </w:rPr>
      </w:pPr>
      <w:r>
        <w:rPr>
          <w:rFonts w:hAnsi="黑体"/>
        </w:rPr>
        <w:fldChar w:fldCharType="begin">
          <w:ffData>
            <w:name w:val="OSTD_CODE"/>
            <w:enabled/>
            <w:calcOnExit w:val="0"/>
            <w:textInput/>
          </w:ffData>
        </w:fldChar>
      </w:r>
      <w:bookmarkStart w:id="8" w:name="OSTD_CODE"/>
      <w:r>
        <w:rPr>
          <w:rFonts w:hAnsi="黑体"/>
        </w:rPr>
        <w:instrText xml:space="preserve"> FORMTEXT </w:instrText>
      </w:r>
      <w:r>
        <w:rPr>
          <w:rFonts w:hAnsi="黑体"/>
        </w:rPr>
        <w:fldChar w:fldCharType="separate"/>
      </w:r>
      <w:r>
        <w:rPr>
          <w:rFonts w:hAnsi="黑体"/>
        </w:rPr>
        <w:t>     </w:t>
      </w:r>
      <w:r>
        <w:rPr>
          <w:rFonts w:hAnsi="黑体"/>
        </w:rPr>
        <w:fldChar w:fldCharType="end"/>
      </w:r>
      <w:bookmarkEnd w:id="8"/>
    </w:p>
    <w:p w14:paraId="2FA72504">
      <w:pPr>
        <w:spacing w:line="240" w:lineRule="auto"/>
        <w:rPr>
          <w:rFonts w:hint="eastAsia" w:ascii="黑体" w:hAnsi="黑体" w:eastAsia="黑体"/>
          <w:kern w:val="0"/>
          <w:sz w:val="10"/>
          <w:szCs w:val="10"/>
        </w:rPr>
      </w:pPr>
      <w:r>
        <w:rPr>
          <w:rFonts w:ascii="黑体" w:hAnsi="黑体" w:eastAsia="黑体"/>
          <w:kern w:val="0"/>
          <w:sz w:val="10"/>
          <w:szCs w:val="10"/>
        </w:rPr>
        <mc:AlternateContent>
          <mc:Choice Requires="wps">
            <w:drawing>
              <wp:anchor distT="0" distB="0" distL="114300" distR="114300" simplePos="0" relativeHeight="251659264" behindDoc="0" locked="0" layoutInCell="1" allowOverlap="0">
                <wp:simplePos x="0" y="0"/>
                <wp:positionH relativeFrom="page">
                  <wp:posOffset>900430</wp:posOffset>
                </wp:positionH>
                <wp:positionV relativeFrom="page">
                  <wp:posOffset>2700655</wp:posOffset>
                </wp:positionV>
                <wp:extent cx="6120130" cy="0"/>
                <wp:effectExtent l="0" t="0" r="0" b="0"/>
                <wp:wrapNone/>
                <wp:docPr id="73" name="直接连接符 73"/>
                <wp:cNvGraphicFramePr/>
                <a:graphic xmlns:a="http://schemas.openxmlformats.org/drawingml/2006/main">
                  <a:graphicData uri="http://schemas.microsoft.com/office/word/2010/wordprocessingShape">
                    <wps:wsp>
                      <wps:cNvCnPr>
                        <a:cxnSpLocks noChangeShapeType="1"/>
                      </wps:cNvCnPr>
                      <wps:spPr bwMode="auto">
                        <a:xfrm>
                          <a:off x="0" y="0"/>
                          <a:ext cx="6120000" cy="0"/>
                        </a:xfrm>
                        <a:prstGeom prst="line">
                          <a:avLst/>
                        </a:prstGeom>
                        <a:noFill/>
                        <a:ln w="9525">
                          <a:solidFill>
                            <a:srgbClr val="000000"/>
                          </a:solidFill>
                          <a:round/>
                        </a:ln>
                      </wps:spPr>
                      <wps:bodyPr/>
                    </wps:wsp>
                  </a:graphicData>
                </a:graphic>
              </wp:anchor>
            </w:drawing>
          </mc:Choice>
          <mc:Fallback>
            <w:pict>
              <v:line id="_x0000_s1026" o:spid="_x0000_s1026" o:spt="20" style="position:absolute;left:0pt;margin-left:70.9pt;margin-top:212.65pt;height:0pt;width:481.9pt;mso-position-horizontal-relative:page;mso-position-vertical-relative:page;z-index:251659264;mso-width-relative:page;mso-height-relative:page;" filled="f" stroked="t" coordsize="21600,21600" o:allowoverlap="f" o:gfxdata="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Ang0mW2AAA&#10;AAwBAAAPAAAAAAAAAAEAIAAAACIAAABkcnMvZG93bnJldi54bWxQSwECFAAUAAAACACHTuJAu+DK&#10;ZuUBAACsAwAADgAAAAAAAAABACAAAAAnAQAAZHJzL2Uyb0RvYy54bWxQSwUGAAAAAAYABgBZAQAA&#10;fgUAAAAA&#10;">
                <v:fill on="f" focussize="0,0"/>
                <v:stroke color="#000000" joinstyle="round"/>
                <v:imagedata o:title=""/>
                <o:lock v:ext="edit" aspectratio="f"/>
              </v:line>
            </w:pict>
          </mc:Fallback>
        </mc:AlternateContent>
      </w:r>
    </w:p>
    <w:p w14:paraId="33E8211B">
      <w:pPr>
        <w:pStyle w:val="50"/>
        <w:framePr w:w="9639" w:h="6976" w:hRule="exact" w:hSpace="0" w:vSpace="0" w:wrap="around" w:hAnchor="page" w:y="6408"/>
        <w:jc w:val="center"/>
        <w:rPr>
          <w:rFonts w:hint="eastAsia" w:ascii="黑体" w:hAnsi="黑体" w:eastAsia="黑体"/>
          <w:b w:val="0"/>
          <w:bCs w:val="0"/>
          <w:w w:val="100"/>
        </w:rPr>
      </w:pPr>
    </w:p>
    <w:p w14:paraId="79D313A3">
      <w:pPr>
        <w:pStyle w:val="197"/>
        <w:framePr w:h="6974" w:hRule="exact" w:wrap="around" w:x="1419" w:anchorLock="1"/>
        <w:rPr>
          <w:rFonts w:hint="eastAsia"/>
        </w:rPr>
      </w:pPr>
      <w:r>
        <w:fldChar w:fldCharType="begin">
          <w:ffData>
            <w:name w:val="CSTD_NAME"/>
            <w:enabled/>
            <w:calcOnExit w:val="0"/>
            <w:textInput>
              <w:default w:val="点击此处添加标准名称"/>
            </w:textInput>
          </w:ffData>
        </w:fldChar>
      </w:r>
      <w:bookmarkStart w:id="9" w:name="CSTD_NAME"/>
      <w:r>
        <w:instrText xml:space="preserve"> FORMTEXT </w:instrText>
      </w:r>
      <w:r>
        <w:fldChar w:fldCharType="separate"/>
      </w:r>
      <w:r>
        <w:rPr>
          <w:rFonts w:hint="eastAsia"/>
        </w:rPr>
        <w:t>中年人群亚健康状态治未病临床干预指南</w:t>
      </w:r>
      <w:bookmarkStart w:id="137" w:name="_GoBack"/>
      <w:bookmarkEnd w:id="137"/>
      <w:r>
        <w:fldChar w:fldCharType="end"/>
      </w:r>
      <w:bookmarkEnd w:id="9"/>
    </w:p>
    <w:p w14:paraId="334F72FC">
      <w:pPr>
        <w:framePr w:w="9639" w:h="6974" w:hRule="exact" w:wrap="around" w:vAnchor="page" w:hAnchor="page" w:x="1419" w:y="6408" w:anchorLock="1"/>
        <w:ind w:left="-1418"/>
      </w:pPr>
    </w:p>
    <w:p w14:paraId="6E9E59F0">
      <w:pPr>
        <w:pStyle w:val="125"/>
        <w:framePr w:w="9639" w:h="6974" w:hRule="exact" w:wrap="around" w:vAnchor="page" w:hAnchor="page" w:x="1419" w:y="6408" w:anchorLock="1"/>
        <w:textAlignment w:val="bottom"/>
        <w:rPr>
          <w:rFonts w:eastAsia="黑体"/>
          <w:szCs w:val="28"/>
        </w:rPr>
      </w:pPr>
      <w:r>
        <w:rPr>
          <w:rFonts w:eastAsia="黑体"/>
          <w:szCs w:val="28"/>
        </w:rPr>
        <w:fldChar w:fldCharType="begin">
          <w:ffData>
            <w:name w:val="ESTD_NAME"/>
            <w:enabled/>
            <w:calcOnExit w:val="0"/>
            <w:textInput>
              <w:default w:val="点击此处添加标准名称的英文译名"/>
            </w:textInput>
          </w:ffData>
        </w:fldChar>
      </w:r>
      <w:bookmarkStart w:id="10" w:name="ESTD_NAME"/>
      <w:r>
        <w:rPr>
          <w:rFonts w:eastAsia="黑体"/>
          <w:szCs w:val="28"/>
        </w:rPr>
        <w:instrText xml:space="preserve"> FORMTEXT </w:instrText>
      </w:r>
      <w:r>
        <w:rPr>
          <w:rFonts w:eastAsia="黑体"/>
          <w:szCs w:val="28"/>
        </w:rPr>
        <w:fldChar w:fldCharType="separate"/>
      </w:r>
      <w:r>
        <w:rPr>
          <w:rFonts w:hint="eastAsia" w:eastAsia="黑体"/>
          <w:szCs w:val="28"/>
        </w:rPr>
        <w:t>Guidelines for Clinical Intervention of Preventive‑Treatment (Zhi‑Wei‑Bing) on Sub‑health Status in Middle‑aged Population</w:t>
      </w:r>
      <w:r>
        <w:rPr>
          <w:rFonts w:eastAsia="黑体"/>
          <w:szCs w:val="28"/>
        </w:rPr>
        <w:t>     </w:t>
      </w:r>
      <w:r>
        <w:rPr>
          <w:rFonts w:eastAsia="黑体"/>
          <w:szCs w:val="28"/>
        </w:rPr>
        <w:fldChar w:fldCharType="end"/>
      </w:r>
      <w:bookmarkEnd w:id="10"/>
    </w:p>
    <w:p w14:paraId="4AD4BBF4">
      <w:pPr>
        <w:framePr w:w="9639" w:h="6974" w:hRule="exact" w:wrap="around" w:vAnchor="page" w:hAnchor="page" w:x="1419" w:y="6408" w:anchorLock="1"/>
        <w:spacing w:line="760" w:lineRule="exact"/>
        <w:ind w:left="-1418"/>
      </w:pPr>
    </w:p>
    <w:p w14:paraId="0A19EA3E">
      <w:pPr>
        <w:pStyle w:val="125"/>
        <w:framePr w:w="9639" w:h="6974" w:hRule="exact" w:wrap="around" w:vAnchor="page" w:hAnchor="page" w:x="1419" w:y="6408" w:anchorLock="1"/>
        <w:textAlignment w:val="bottom"/>
        <w:rPr>
          <w:rFonts w:eastAsia="黑体"/>
          <w:szCs w:val="28"/>
        </w:rPr>
      </w:pPr>
    </w:p>
    <w:p w14:paraId="64591E55">
      <w:pPr>
        <w:pStyle w:val="125"/>
        <w:framePr w:w="9639" w:h="6974" w:hRule="exact" w:wrap="around" w:vAnchor="page" w:hAnchor="page" w:x="1419" w:y="6408" w:anchorLock="1"/>
        <w:spacing w:before="440" w:after="160"/>
        <w:textAlignment w:val="bottom"/>
        <w:rPr>
          <w:sz w:val="24"/>
          <w:szCs w:val="28"/>
        </w:rPr>
      </w:pPr>
      <w:r>
        <w:rPr>
          <w:sz w:val="24"/>
          <w:szCs w:val="28"/>
        </w:rPr>
        <w:fldChar w:fldCharType="begin">
          <w:ffData>
            <w:name w:val="下拉1"/>
            <w:enabled/>
            <w:calcOnExit w:val="0"/>
            <w:ddList>
              <w:result w:val="1"/>
              <w:listEntry w:val=" "/>
              <w:listEntry w:val="草案版次选择"/>
              <w:listEntry w:val="（工作组讨论稿）"/>
              <w:listEntry w:val="（征求意见稿）"/>
              <w:listEntry w:val="（送审讨论稿）"/>
              <w:listEntry w:val="（送审稿）"/>
              <w:listEntry w:val="（报批稿）"/>
            </w:ddList>
          </w:ffData>
        </w:fldChar>
      </w:r>
      <w:bookmarkStart w:id="11" w:name="下拉1"/>
      <w:r>
        <w:rPr>
          <w:sz w:val="24"/>
          <w:szCs w:val="28"/>
        </w:rPr>
        <w:instrText xml:space="preserve"> FORMDROPDOWN </w:instrText>
      </w:r>
      <w:r>
        <w:rPr>
          <w:sz w:val="24"/>
          <w:szCs w:val="28"/>
        </w:rPr>
        <w:fldChar w:fldCharType="separate"/>
      </w:r>
      <w:r>
        <w:rPr>
          <w:sz w:val="24"/>
          <w:szCs w:val="28"/>
        </w:rPr>
        <w:fldChar w:fldCharType="end"/>
      </w:r>
      <w:bookmarkEnd w:id="11"/>
    </w:p>
    <w:p w14:paraId="420F105A">
      <w:pPr>
        <w:pStyle w:val="125"/>
        <w:framePr w:w="9639" w:h="6974" w:hRule="exact" w:wrap="around" w:vAnchor="page" w:hAnchor="page" w:x="1419" w:y="6408" w:anchorLock="1"/>
        <w:spacing w:before="180" w:line="240" w:lineRule="atLeast"/>
        <w:textAlignment w:val="bottom"/>
        <w:rPr>
          <w:sz w:val="21"/>
          <w:szCs w:val="28"/>
        </w:rPr>
      </w:pPr>
      <w:r>
        <w:rPr>
          <w:sz w:val="21"/>
          <w:szCs w:val="28"/>
        </w:rPr>
        <w:fldChar w:fldCharType="begin">
          <w:ffData>
            <w:name w:val="CMPLSH_DATE"/>
            <w:enabled/>
            <w:calcOnExit w:val="0"/>
            <w:textInput/>
          </w:ffData>
        </w:fldChar>
      </w:r>
      <w:bookmarkStart w:id="12" w:name="CMPLSH_DATE"/>
      <w:r>
        <w:rPr>
          <w:sz w:val="21"/>
          <w:szCs w:val="28"/>
        </w:rPr>
        <w:instrText xml:space="preserve"> FORMTEXT </w:instrText>
      </w:r>
      <w:r>
        <w:rPr>
          <w:sz w:val="21"/>
          <w:szCs w:val="28"/>
        </w:rPr>
        <w:fldChar w:fldCharType="separate"/>
      </w:r>
      <w:r>
        <w:rPr>
          <w:sz w:val="21"/>
          <w:szCs w:val="28"/>
        </w:rPr>
        <w:t>     </w:t>
      </w:r>
      <w:r>
        <w:rPr>
          <w:sz w:val="21"/>
          <w:szCs w:val="28"/>
        </w:rPr>
        <w:fldChar w:fldCharType="end"/>
      </w:r>
      <w:bookmarkEnd w:id="12"/>
    </w:p>
    <w:p w14:paraId="37A580D6">
      <w:pPr>
        <w:pStyle w:val="125"/>
        <w:framePr w:w="9639" w:h="6974" w:hRule="exact" w:wrap="around" w:vAnchor="page" w:hAnchor="page" w:x="1419" w:y="6408" w:anchorLock="1"/>
        <w:spacing w:before="720" w:beforeLines="300" w:after="72" w:afterLines="30" w:line="240" w:lineRule="auto"/>
        <w:textAlignment w:val="bottom"/>
        <w:rPr>
          <w:b/>
          <w:sz w:val="21"/>
          <w:szCs w:val="28"/>
        </w:rPr>
      </w:pPr>
      <w:r>
        <w:rPr>
          <w:b/>
          <w:sz w:val="21"/>
          <w:szCs w:val="28"/>
        </w:rPr>
        <w:fldChar w:fldCharType="begin">
          <w:ffData>
            <w:name w:val="下拉2"/>
            <w:enabled/>
            <w:calcOnExit w:val="0"/>
            <w:ddList>
              <w:result w:val="1"/>
              <w:listEntry w:val=" "/>
              <w:listEntry w:val="在提交反馈意见时，请将您知道的相关专利连同支持性文件一并附上。"/>
            </w:ddList>
          </w:ffData>
        </w:fldChar>
      </w:r>
      <w:bookmarkStart w:id="13" w:name="下拉2"/>
      <w:r>
        <w:rPr>
          <w:b/>
          <w:sz w:val="21"/>
          <w:szCs w:val="28"/>
        </w:rPr>
        <w:instrText xml:space="preserve"> FORMDROPDOWN </w:instrText>
      </w:r>
      <w:r>
        <w:rPr>
          <w:b/>
          <w:sz w:val="21"/>
          <w:szCs w:val="28"/>
        </w:rPr>
        <w:fldChar w:fldCharType="separate"/>
      </w:r>
      <w:r>
        <w:rPr>
          <w:b/>
          <w:sz w:val="21"/>
          <w:szCs w:val="28"/>
        </w:rPr>
        <w:fldChar w:fldCharType="end"/>
      </w:r>
      <w:bookmarkEnd w:id="13"/>
    </w:p>
    <w:p w14:paraId="77AA2D2E">
      <w:pPr>
        <w:pStyle w:val="193"/>
        <w:framePr w:wrap="around" w:y="14176"/>
      </w:pPr>
      <w:r>
        <w:rPr>
          <w:rFonts w:ascii="黑体"/>
        </w:rPr>
        <w:fldChar w:fldCharType="begin">
          <w:ffData>
            <w:name w:val="PLSH_DATE_Y"/>
            <w:enabled/>
            <w:calcOnExit w:val="0"/>
            <w:textInput>
              <w:default w:val="XXXX"/>
              <w:maxLength w:val="4"/>
            </w:textInput>
          </w:ffData>
        </w:fldChar>
      </w:r>
      <w:bookmarkStart w:id="14" w:name="PLSH_DATE_Y"/>
      <w:r>
        <w:rPr>
          <w:rFonts w:ascii="黑体"/>
        </w:rPr>
        <w:instrText xml:space="preserve"> FORMTEXT </w:instrText>
      </w:r>
      <w:r>
        <w:rPr>
          <w:rFonts w:ascii="黑体"/>
        </w:rPr>
        <w:fldChar w:fldCharType="separate"/>
      </w:r>
      <w:r>
        <w:rPr>
          <w:rFonts w:ascii="黑体"/>
        </w:rPr>
        <w:t>XXXX</w:t>
      </w:r>
      <w:r>
        <w:rPr>
          <w:rFonts w:ascii="黑体"/>
        </w:rPr>
        <w:fldChar w:fldCharType="end"/>
      </w:r>
      <w:bookmarkEnd w:id="14"/>
      <w:r>
        <w:t xml:space="preserve"> </w:t>
      </w:r>
      <w:r>
        <w:rPr>
          <w:rFonts w:ascii="黑体"/>
        </w:rPr>
        <w:t>-</w:t>
      </w:r>
      <w:r>
        <w:t xml:space="preserve"> </w:t>
      </w:r>
      <w:r>
        <w:rPr>
          <w:rFonts w:ascii="黑体"/>
        </w:rPr>
        <w:fldChar w:fldCharType="begin">
          <w:ffData>
            <w:name w:val="PLSH_DATE_M"/>
            <w:enabled/>
            <w:calcOnExit w:val="0"/>
            <w:textInput>
              <w:default w:val="XX"/>
              <w:maxLength w:val="2"/>
            </w:textInput>
          </w:ffData>
        </w:fldChar>
      </w:r>
      <w:bookmarkStart w:id="15" w:name="PLSH_DATE_M"/>
      <w:r>
        <w:rPr>
          <w:rFonts w:ascii="黑体"/>
        </w:rPr>
        <w:instrText xml:space="preserve"> FORMTEXT </w:instrText>
      </w:r>
      <w:r>
        <w:rPr>
          <w:rFonts w:ascii="黑体"/>
        </w:rPr>
        <w:fldChar w:fldCharType="separate"/>
      </w:r>
      <w:r>
        <w:rPr>
          <w:rFonts w:ascii="黑体"/>
        </w:rPr>
        <w:t>XX</w:t>
      </w:r>
      <w:r>
        <w:rPr>
          <w:rFonts w:ascii="黑体"/>
        </w:rPr>
        <w:fldChar w:fldCharType="end"/>
      </w:r>
      <w:bookmarkEnd w:id="15"/>
      <w:r>
        <w:t xml:space="preserve"> </w:t>
      </w:r>
      <w:r>
        <w:rPr>
          <w:rFonts w:ascii="黑体"/>
        </w:rPr>
        <w:t>-</w:t>
      </w:r>
      <w:r>
        <w:t xml:space="preserve"> </w:t>
      </w:r>
      <w:r>
        <w:rPr>
          <w:rFonts w:ascii="黑体"/>
        </w:rPr>
        <w:fldChar w:fldCharType="begin">
          <w:ffData>
            <w:name w:val="PLSH_DATE_D"/>
            <w:enabled/>
            <w:calcOnExit w:val="0"/>
            <w:textInput>
              <w:default w:val="XX"/>
              <w:maxLength w:val="2"/>
            </w:textInput>
          </w:ffData>
        </w:fldChar>
      </w:r>
      <w:bookmarkStart w:id="16" w:name="PLSH_DATE_D"/>
      <w:r>
        <w:rPr>
          <w:rFonts w:ascii="黑体"/>
        </w:rPr>
        <w:instrText xml:space="preserve"> FORMTEXT </w:instrText>
      </w:r>
      <w:r>
        <w:rPr>
          <w:rFonts w:ascii="黑体"/>
        </w:rPr>
        <w:fldChar w:fldCharType="separate"/>
      </w:r>
      <w:r>
        <w:rPr>
          <w:rFonts w:ascii="黑体"/>
        </w:rPr>
        <w:t>XX</w:t>
      </w:r>
      <w:r>
        <w:rPr>
          <w:rFonts w:ascii="黑体"/>
        </w:rPr>
        <w:fldChar w:fldCharType="end"/>
      </w:r>
      <w:bookmarkEnd w:id="16"/>
      <w:r>
        <w:rPr>
          <w:rFonts w:hint="eastAsia"/>
        </w:rPr>
        <w:t>发布</w:t>
      </w:r>
    </w:p>
    <w:p w14:paraId="1E0B1599">
      <w:pPr>
        <w:pStyle w:val="194"/>
        <w:framePr w:wrap="around" w:y="14176"/>
      </w:pPr>
      <w:r>
        <w:rPr>
          <w:rFonts w:ascii="黑体"/>
        </w:rPr>
        <w:fldChar w:fldCharType="begin">
          <w:ffData>
            <w:name w:val="CROT_DATE_Y"/>
            <w:enabled/>
            <w:calcOnExit w:val="0"/>
            <w:textInput>
              <w:default w:val="XXXX"/>
              <w:maxLength w:val="4"/>
            </w:textInput>
          </w:ffData>
        </w:fldChar>
      </w:r>
      <w:bookmarkStart w:id="17" w:name="CROT_DATE_Y"/>
      <w:r>
        <w:rPr>
          <w:rFonts w:ascii="黑体"/>
        </w:rPr>
        <w:instrText xml:space="preserve"> FORMTEXT </w:instrText>
      </w:r>
      <w:r>
        <w:rPr>
          <w:rFonts w:ascii="黑体"/>
        </w:rPr>
        <w:fldChar w:fldCharType="separate"/>
      </w:r>
      <w:r>
        <w:rPr>
          <w:rFonts w:ascii="黑体"/>
        </w:rPr>
        <w:t>XXXX</w:t>
      </w:r>
      <w:r>
        <w:rPr>
          <w:rFonts w:ascii="黑体"/>
        </w:rPr>
        <w:fldChar w:fldCharType="end"/>
      </w:r>
      <w:bookmarkEnd w:id="17"/>
      <w:r>
        <w:t xml:space="preserve"> </w:t>
      </w:r>
      <w:r>
        <w:rPr>
          <w:rFonts w:ascii="黑体"/>
        </w:rPr>
        <w:t>-</w:t>
      </w:r>
      <w:r>
        <w:t xml:space="preserve"> </w:t>
      </w:r>
      <w:r>
        <w:rPr>
          <w:rFonts w:ascii="黑体"/>
        </w:rPr>
        <w:fldChar w:fldCharType="begin">
          <w:ffData>
            <w:name w:val="CROT_DATE_M"/>
            <w:enabled/>
            <w:calcOnExit w:val="0"/>
            <w:textInput>
              <w:default w:val="XX"/>
              <w:maxLength w:val="2"/>
            </w:textInput>
          </w:ffData>
        </w:fldChar>
      </w:r>
      <w:bookmarkStart w:id="18" w:name="CROT_DATE_M"/>
      <w:r>
        <w:rPr>
          <w:rFonts w:ascii="黑体"/>
        </w:rPr>
        <w:instrText xml:space="preserve"> FORMTEXT </w:instrText>
      </w:r>
      <w:r>
        <w:rPr>
          <w:rFonts w:ascii="黑体"/>
        </w:rPr>
        <w:fldChar w:fldCharType="separate"/>
      </w:r>
      <w:r>
        <w:rPr>
          <w:rFonts w:ascii="黑体"/>
        </w:rPr>
        <w:t>XX</w:t>
      </w:r>
      <w:r>
        <w:rPr>
          <w:rFonts w:ascii="黑体"/>
        </w:rPr>
        <w:fldChar w:fldCharType="end"/>
      </w:r>
      <w:bookmarkEnd w:id="18"/>
      <w:r>
        <w:t xml:space="preserve"> </w:t>
      </w:r>
      <w:r>
        <w:rPr>
          <w:rFonts w:ascii="黑体"/>
        </w:rPr>
        <w:t>-</w:t>
      </w:r>
      <w:r>
        <w:t xml:space="preserve"> </w:t>
      </w:r>
      <w:r>
        <w:rPr>
          <w:rFonts w:ascii="黑体"/>
        </w:rPr>
        <w:fldChar w:fldCharType="begin">
          <w:ffData>
            <w:name w:val="CROT_DATE_D"/>
            <w:enabled/>
            <w:calcOnExit w:val="0"/>
            <w:textInput>
              <w:default w:val="XX"/>
              <w:maxLength w:val="2"/>
            </w:textInput>
          </w:ffData>
        </w:fldChar>
      </w:r>
      <w:bookmarkStart w:id="19" w:name="CROT_DATE_D"/>
      <w:r>
        <w:rPr>
          <w:rFonts w:ascii="黑体"/>
        </w:rPr>
        <w:instrText xml:space="preserve"> FORMTEXT </w:instrText>
      </w:r>
      <w:r>
        <w:rPr>
          <w:rFonts w:ascii="黑体"/>
        </w:rPr>
        <w:fldChar w:fldCharType="separate"/>
      </w:r>
      <w:r>
        <w:rPr>
          <w:rFonts w:ascii="黑体"/>
        </w:rPr>
        <w:t>XX</w:t>
      </w:r>
      <w:r>
        <w:rPr>
          <w:rFonts w:ascii="黑体"/>
        </w:rPr>
        <w:fldChar w:fldCharType="end"/>
      </w:r>
      <w:bookmarkEnd w:id="19"/>
      <w:r>
        <w:rPr>
          <w:rFonts w:hint="eastAsia"/>
        </w:rPr>
        <w:t>实施</w:t>
      </w:r>
    </w:p>
    <w:p w14:paraId="19180FEA">
      <w:pPr>
        <w:pStyle w:val="151"/>
        <w:framePr w:h="584" w:hRule="exact" w:hSpace="181" w:vSpace="181" w:wrap="around" w:y="14800"/>
        <w:rPr>
          <w:rFonts w:hint="eastAsia" w:hAnsi="黑体"/>
        </w:rPr>
      </w:pPr>
      <w:r>
        <w:rPr>
          <w:rFonts w:hAnsi="黑体"/>
          <w:w w:val="100"/>
          <w:sz w:val="28"/>
        </w:rPr>
        <w:fldChar w:fldCharType="begin">
          <w:ffData>
            <w:name w:val="fm"/>
            <w:enabled/>
            <w:calcOnExit w:val="0"/>
            <w:textInput/>
          </w:ffData>
        </w:fldChar>
      </w:r>
      <w:bookmarkStart w:id="20" w:name="fm"/>
      <w:r>
        <w:rPr>
          <w:rFonts w:hAnsi="黑体"/>
          <w:w w:val="100"/>
          <w:sz w:val="28"/>
        </w:rPr>
        <w:instrText xml:space="preserve"> FORMTEXT </w:instrText>
      </w:r>
      <w:r>
        <w:rPr>
          <w:rFonts w:hAnsi="黑体"/>
          <w:w w:val="100"/>
          <w:sz w:val="28"/>
        </w:rPr>
        <w:fldChar w:fldCharType="separate"/>
      </w:r>
      <w:r>
        <w:rPr>
          <w:rFonts w:hint="eastAsia" w:hAnsi="黑体"/>
          <w:w w:val="100"/>
          <w:sz w:val="28"/>
        </w:rPr>
        <w:t>中国中医药研究促进会</w:t>
      </w:r>
      <w:r>
        <w:rPr>
          <w:rFonts w:hAnsi="黑体"/>
          <w:w w:val="100"/>
          <w:sz w:val="28"/>
        </w:rPr>
        <w:fldChar w:fldCharType="end"/>
      </w:r>
      <w:bookmarkEnd w:id="20"/>
      <w:r>
        <w:rPr>
          <w:rFonts w:ascii="Times New Roman"/>
          <w:w w:val="100"/>
          <w:sz w:val="28"/>
        </w:rPr>
        <w:t>  </w:t>
      </w:r>
      <w:r>
        <w:rPr>
          <w:rStyle w:val="229"/>
          <w:rFonts w:hint="eastAsia" w:hAnsi="黑体"/>
          <w:position w:val="0"/>
        </w:rPr>
        <w:t>发</w:t>
      </w:r>
      <w:r>
        <w:rPr>
          <w:rStyle w:val="229"/>
          <w:rFonts w:hint="eastAsia" w:hAnsi="黑体"/>
          <w:spacing w:val="0"/>
          <w:position w:val="0"/>
        </w:rPr>
        <w:t>布</w:t>
      </w:r>
    </w:p>
    <w:p w14:paraId="2DC287A0">
      <w:pPr>
        <w:rPr>
          <w:rFonts w:hint="eastAsia" w:ascii="宋体" w:hAnsi="宋体"/>
          <w:sz w:val="28"/>
          <w:szCs w:val="28"/>
        </w:rPr>
        <w:sectPr>
          <w:headerReference r:id="rId7" w:type="first"/>
          <w:footerReference r:id="rId10" w:type="first"/>
          <w:headerReference r:id="rId5" w:type="default"/>
          <w:footerReference r:id="rId8" w:type="default"/>
          <w:headerReference r:id="rId6" w:type="even"/>
          <w:footerReference r:id="rId9" w:type="even"/>
          <w:type w:val="continuous"/>
          <w:pgSz w:w="11906" w:h="16838"/>
          <w:pgMar w:top="567" w:right="1134" w:bottom="1134" w:left="1134" w:header="1418" w:footer="1134" w:gutter="284"/>
          <w:cols w:space="425" w:num="1"/>
          <w:titlePg/>
          <w:docGrid w:linePitch="312" w:charSpace="0"/>
        </w:sectPr>
      </w:pPr>
      <w:r>
        <w:rPr>
          <w:rFonts w:hint="eastAsia" w:ascii="宋体" w:hAnsi="宋体"/>
          <w:sz w:val="28"/>
          <w:szCs w:val="28"/>
        </w:rPr>
        <mc:AlternateContent>
          <mc:Choice Requires="wps">
            <w:drawing>
              <wp:anchor distT="0" distB="0" distL="114300" distR="114300" simplePos="0" relativeHeight="251660288" behindDoc="0" locked="1" layoutInCell="1" allowOverlap="1">
                <wp:simplePos x="0" y="0"/>
                <wp:positionH relativeFrom="page">
                  <wp:posOffset>899795</wp:posOffset>
                </wp:positionH>
                <wp:positionV relativeFrom="page">
                  <wp:posOffset>9253220</wp:posOffset>
                </wp:positionV>
                <wp:extent cx="6120130" cy="0"/>
                <wp:effectExtent l="0" t="0" r="0" b="0"/>
                <wp:wrapNone/>
                <wp:docPr id="5" name="直接连接符 5"/>
                <wp:cNvGraphicFramePr/>
                <a:graphic xmlns:a="http://schemas.openxmlformats.org/drawingml/2006/main">
                  <a:graphicData uri="http://schemas.microsoft.com/office/word/2010/wordprocessingShape">
                    <wps:wsp>
                      <wps:cNvCnPr>
                        <a:cxnSpLocks noChangeShapeType="1"/>
                      </wps:cNvCnPr>
                      <wps:spPr bwMode="auto">
                        <a:xfrm>
                          <a:off x="0" y="0"/>
                          <a:ext cx="6120000" cy="0"/>
                        </a:xfrm>
                        <a:prstGeom prst="line">
                          <a:avLst/>
                        </a:prstGeom>
                        <a:noFill/>
                        <a:ln w="9525">
                          <a:solidFill>
                            <a:srgbClr val="000000"/>
                          </a:solidFill>
                          <a:round/>
                        </a:ln>
                      </wps:spPr>
                      <wps:bodyPr/>
                    </wps:wsp>
                  </a:graphicData>
                </a:graphic>
              </wp:anchor>
            </w:drawing>
          </mc:Choice>
          <mc:Fallback>
            <w:pict>
              <v:line id="_x0000_s1026" o:spid="_x0000_s1026" o:spt="20" style="position:absolute;left:0pt;margin-left:70.85pt;margin-top:728.6pt;height:0pt;width:481.9pt;mso-position-horizontal-relative:page;mso-position-vertical-relative:page;z-index:251660288;mso-width-relative:page;mso-height-relative:page;" filled="f" stroked="t" coordsize="21600,21600" o:gfxdata="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CrMxz71wAAAA4B&#10;AAAPAAAAAAAAAAEAIAAAACIAAABkcnMvZG93bnJldi54bWxQSwECFAAUAAAACACHTuJAWS4lmOMB&#10;AACqAwAADgAAAAAAAAABACAAAAAmAQAAZHJzL2Uyb0RvYy54bWxQSwUGAAAAAAYABgBZAQAAewUA&#10;AAAA&#10;">
                <v:fill on="f" focussize="0,0"/>
                <v:stroke color="#000000" joinstyle="round"/>
                <v:imagedata o:title=""/>
                <o:lock v:ext="edit" aspectratio="f"/>
                <w10:anchorlock/>
              </v:line>
            </w:pict>
          </mc:Fallback>
        </mc:AlternateContent>
      </w:r>
    </w:p>
    <w:p w14:paraId="0356A736">
      <w:pPr>
        <w:spacing w:line="20" w:lineRule="exact"/>
        <w:jc w:val="center"/>
        <w:rPr>
          <w:rFonts w:hint="eastAsia" w:ascii="黑体" w:hAnsi="黑体" w:eastAsia="黑体"/>
          <w:sz w:val="32"/>
          <w:szCs w:val="32"/>
        </w:rPr>
      </w:pPr>
    </w:p>
    <w:p w14:paraId="41F1C014">
      <w:pPr>
        <w:spacing w:line="20" w:lineRule="exact"/>
        <w:jc w:val="center"/>
        <w:rPr>
          <w:rFonts w:hint="eastAsia" w:ascii="黑体" w:hAnsi="黑体" w:eastAsia="黑体"/>
          <w:sz w:val="32"/>
          <w:szCs w:val="32"/>
        </w:rPr>
      </w:pPr>
    </w:p>
    <w:sdt>
      <w:sdtPr>
        <w:rPr>
          <w:rFonts w:ascii="宋体" w:hAnsi="宋体" w:eastAsia="宋体" w:cs="Times New Roman"/>
          <w:kern w:val="2"/>
          <w:sz w:val="21"/>
          <w:szCs w:val="21"/>
          <w:lang w:val="en-US" w:eastAsia="zh-CN" w:bidi="ar-SA"/>
        </w:rPr>
        <w:id w:val="147467237"/>
        <w15:color w:val="DBDBDB"/>
        <w:docPartObj>
          <w:docPartGallery w:val="Table of Contents"/>
          <w:docPartUnique/>
        </w:docPartObj>
      </w:sdtPr>
      <w:sdtEndPr>
        <w:rPr>
          <w:rFonts w:ascii="宋体" w:hAnsi="宋体" w:eastAsia="宋体" w:cs="Times New Roman"/>
          <w:kern w:val="2"/>
          <w:sz w:val="21"/>
          <w:szCs w:val="21"/>
          <w:lang w:val="en-US" w:eastAsia="zh-CN" w:bidi="ar-SA"/>
        </w:rPr>
      </w:sdtEndPr>
      <w:sdtContent>
        <w:p w14:paraId="48B87F3C">
          <w:pPr>
            <w:pStyle w:val="91"/>
            <w:spacing w:after="360"/>
          </w:pPr>
          <w:r>
            <w:rPr>
              <w:rFonts w:hint="eastAsia"/>
              <w:spacing w:val="318"/>
            </w:rPr>
            <w:t>目</w:t>
          </w:r>
          <w:r>
            <w:rPr>
              <w:rFonts w:hint="eastAsia"/>
            </w:rPr>
            <w:t>次</w:t>
          </w:r>
        </w:p>
        <w:p w14:paraId="0B14BE55">
          <w:pPr>
            <w:spacing w:before="0" w:beforeLines="0" w:after="0" w:afterLines="0" w:line="240" w:lineRule="auto"/>
            <w:ind w:left="0" w:leftChars="0" w:right="0" w:rightChars="0" w:firstLine="0" w:firstLineChars="0"/>
            <w:jc w:val="center"/>
          </w:pPr>
        </w:p>
        <w:p w14:paraId="5BE9E72B">
          <w:pPr>
            <w:pStyle w:val="19"/>
            <w:tabs>
              <w:tab w:val="right" w:leader="dot" w:pos="9354"/>
            </w:tabs>
          </w:pPr>
          <w:r>
            <w:fldChar w:fldCharType="begin"/>
          </w:r>
          <w:r>
            <w:instrText xml:space="preserve">TOC \o "1-3" \h \u </w:instrText>
          </w:r>
          <w:r>
            <w:fldChar w:fldCharType="separate"/>
          </w:r>
          <w:r>
            <w:fldChar w:fldCharType="begin"/>
          </w:r>
          <w:r>
            <w:instrText xml:space="preserve"> HYPERLINK \l _Toc11191 </w:instrText>
          </w:r>
          <w:r>
            <w:fldChar w:fldCharType="separate"/>
          </w:r>
          <w:r>
            <w:rPr>
              <w:rFonts w:hint="eastAsia"/>
              <w:lang w:val="en-US" w:eastAsia="zh-CN"/>
            </w:rPr>
            <w:t>前言</w:t>
          </w:r>
          <w:r>
            <w:tab/>
          </w:r>
          <w:r>
            <w:rPr>
              <w:rFonts w:hint="eastAsia"/>
              <w:lang w:val="en-US" w:eastAsia="zh-CN"/>
            </w:rPr>
            <w:t>2</w:t>
          </w:r>
          <w:r>
            <w:fldChar w:fldCharType="end"/>
          </w:r>
        </w:p>
        <w:p w14:paraId="0DA55A3B">
          <w:pPr>
            <w:pStyle w:val="19"/>
            <w:tabs>
              <w:tab w:val="right" w:leader="dot" w:pos="9354"/>
            </w:tabs>
          </w:pPr>
          <w:r>
            <w:fldChar w:fldCharType="begin"/>
          </w:r>
          <w:r>
            <w:instrText xml:space="preserve"> HYPERLINK \l _Toc22424 </w:instrText>
          </w:r>
          <w:r>
            <w:fldChar w:fldCharType="separate"/>
          </w:r>
          <w:r>
            <w:rPr>
              <w:rFonts w:hint="eastAsia" w:ascii="黑体" w:eastAsia="黑体"/>
              <w:i w:val="0"/>
            </w:rPr>
            <w:t xml:space="preserve">1 </w:t>
          </w:r>
          <w:r>
            <w:rPr>
              <w:rFonts w:hint="eastAsia"/>
            </w:rPr>
            <w:t>范围</w:t>
          </w:r>
          <w:r>
            <w:tab/>
          </w:r>
          <w:r>
            <w:rPr>
              <w:rFonts w:hint="eastAsia"/>
              <w:lang w:val="en-US" w:eastAsia="zh-CN"/>
            </w:rPr>
            <w:t>3</w:t>
          </w:r>
          <w:r>
            <w:fldChar w:fldCharType="end"/>
          </w:r>
        </w:p>
        <w:p w14:paraId="34E2C175">
          <w:pPr>
            <w:pStyle w:val="19"/>
            <w:tabs>
              <w:tab w:val="right" w:leader="dot" w:pos="9354"/>
            </w:tabs>
          </w:pPr>
          <w:r>
            <w:fldChar w:fldCharType="begin"/>
          </w:r>
          <w:r>
            <w:instrText xml:space="preserve"> HYPERLINK \l _Toc28634 </w:instrText>
          </w:r>
          <w:r>
            <w:fldChar w:fldCharType="separate"/>
          </w:r>
          <w:r>
            <w:rPr>
              <w:rFonts w:hint="eastAsia" w:ascii="黑体" w:eastAsia="黑体"/>
              <w:i w:val="0"/>
            </w:rPr>
            <w:t xml:space="preserve">2 </w:t>
          </w:r>
          <w:r>
            <w:rPr>
              <w:rFonts w:hint="eastAsia"/>
            </w:rPr>
            <w:t>规范性引用文件</w:t>
          </w:r>
          <w:r>
            <w:tab/>
          </w:r>
          <w:r>
            <w:rPr>
              <w:rFonts w:hint="eastAsia"/>
              <w:lang w:val="en-US" w:eastAsia="zh-CN"/>
            </w:rPr>
            <w:t>3</w:t>
          </w:r>
          <w:r>
            <w:fldChar w:fldCharType="end"/>
          </w:r>
        </w:p>
        <w:p w14:paraId="54D47033">
          <w:pPr>
            <w:pStyle w:val="19"/>
            <w:tabs>
              <w:tab w:val="right" w:leader="dot" w:pos="9354"/>
            </w:tabs>
          </w:pPr>
          <w:r>
            <w:fldChar w:fldCharType="begin"/>
          </w:r>
          <w:r>
            <w:instrText xml:space="preserve"> HYPERLINK \l _Toc24147 </w:instrText>
          </w:r>
          <w:r>
            <w:fldChar w:fldCharType="separate"/>
          </w:r>
          <w:r>
            <w:rPr>
              <w:rFonts w:hint="eastAsia" w:ascii="黑体" w:eastAsia="黑体"/>
              <w:i w:val="0"/>
            </w:rPr>
            <w:t xml:space="preserve">3 </w:t>
          </w:r>
          <w:r>
            <w:rPr>
              <w:rFonts w:hint="eastAsia"/>
              <w:szCs w:val="21"/>
            </w:rPr>
            <w:t>术语和定义</w:t>
          </w:r>
          <w:r>
            <w:tab/>
          </w:r>
          <w:r>
            <w:rPr>
              <w:rFonts w:hint="eastAsia"/>
              <w:lang w:val="en-US" w:eastAsia="zh-CN"/>
            </w:rPr>
            <w:t>3</w:t>
          </w:r>
          <w:r>
            <w:fldChar w:fldCharType="end"/>
          </w:r>
        </w:p>
        <w:p w14:paraId="02C4E8B8">
          <w:pPr>
            <w:pStyle w:val="19"/>
            <w:tabs>
              <w:tab w:val="right" w:leader="dot" w:pos="9354"/>
            </w:tabs>
          </w:pPr>
          <w:r>
            <w:fldChar w:fldCharType="begin"/>
          </w:r>
          <w:r>
            <w:instrText xml:space="preserve"> HYPERLINK \l _Toc24022 </w:instrText>
          </w:r>
          <w:r>
            <w:fldChar w:fldCharType="separate"/>
          </w:r>
          <w:r>
            <w:rPr>
              <w:rFonts w:hint="eastAsia" w:ascii="宋体" w:hAnsi="宋体" w:eastAsia="宋体" w:cs="宋体"/>
              <w:bCs/>
              <w:kern w:val="0"/>
              <w:szCs w:val="24"/>
            </w:rPr>
            <w:t>4 中年亚健康状态中医诊断标准</w:t>
          </w:r>
          <w:r>
            <w:tab/>
          </w:r>
          <w:r>
            <w:rPr>
              <w:rFonts w:hint="eastAsia"/>
              <w:lang w:val="en-US" w:eastAsia="zh-CN"/>
            </w:rPr>
            <w:t>3</w:t>
          </w:r>
          <w:r>
            <w:fldChar w:fldCharType="end"/>
          </w:r>
        </w:p>
        <w:p w14:paraId="1EA2785A">
          <w:pPr>
            <w:pStyle w:val="19"/>
            <w:tabs>
              <w:tab w:val="right" w:leader="dot" w:pos="9354"/>
            </w:tabs>
          </w:pPr>
          <w:r>
            <w:fldChar w:fldCharType="begin"/>
          </w:r>
          <w:r>
            <w:instrText xml:space="preserve"> HYPERLINK \l _Toc11250 </w:instrText>
          </w:r>
          <w:r>
            <w:fldChar w:fldCharType="separate"/>
          </w:r>
          <w:r>
            <w:rPr>
              <w:rFonts w:hint="eastAsia" w:ascii="宋体" w:hAnsi="宋体" w:eastAsia="宋体" w:cs="宋体"/>
              <w:kern w:val="0"/>
              <w:szCs w:val="24"/>
            </w:rPr>
            <w:t>5 中医治未病干预原则</w:t>
          </w:r>
          <w:r>
            <w:tab/>
          </w:r>
          <w:r>
            <w:rPr>
              <w:rFonts w:hint="eastAsia"/>
              <w:lang w:val="en-US" w:eastAsia="zh-CN"/>
            </w:rPr>
            <w:t>5</w:t>
          </w:r>
          <w:r>
            <w:fldChar w:fldCharType="end"/>
          </w:r>
        </w:p>
        <w:p w14:paraId="3ABCA937">
          <w:pPr>
            <w:pStyle w:val="19"/>
            <w:tabs>
              <w:tab w:val="right" w:leader="dot" w:pos="9354"/>
            </w:tabs>
          </w:pPr>
          <w:r>
            <w:fldChar w:fldCharType="begin"/>
          </w:r>
          <w:r>
            <w:instrText xml:space="preserve"> HYPERLINK \l _Toc28834 </w:instrText>
          </w:r>
          <w:r>
            <w:fldChar w:fldCharType="separate"/>
          </w:r>
          <w:r>
            <w:rPr>
              <w:rFonts w:hint="eastAsia" w:ascii="宋体" w:hAnsi="宋体" w:eastAsia="宋体" w:cs="宋体"/>
              <w:bCs/>
              <w:kern w:val="0"/>
              <w:szCs w:val="24"/>
            </w:rPr>
            <w:t>6 中医治未病具体干预方法</w:t>
          </w:r>
          <w:r>
            <w:tab/>
          </w:r>
          <w:r>
            <w:rPr>
              <w:rFonts w:hint="eastAsia"/>
              <w:lang w:val="en-US" w:eastAsia="zh-CN"/>
            </w:rPr>
            <w:t>6</w:t>
          </w:r>
          <w:r>
            <w:fldChar w:fldCharType="end"/>
          </w:r>
        </w:p>
        <w:p w14:paraId="19696A3F">
          <w:pPr>
            <w:pStyle w:val="19"/>
            <w:tabs>
              <w:tab w:val="right" w:leader="dot" w:pos="9354"/>
            </w:tabs>
            <w:rPr>
              <w:rFonts w:hint="eastAsia" w:eastAsia="宋体"/>
              <w:lang w:val="en-US" w:eastAsia="zh-CN"/>
            </w:rPr>
          </w:pPr>
          <w:r>
            <w:fldChar w:fldCharType="begin"/>
          </w:r>
          <w:r>
            <w:instrText xml:space="preserve"> HYPERLINK \l _Toc75 </w:instrText>
          </w:r>
          <w:r>
            <w:fldChar w:fldCharType="separate"/>
          </w:r>
          <w:r>
            <w:rPr>
              <w:rFonts w:hint="eastAsia" w:ascii="宋体" w:hAnsi="宋体" w:cs="宋体"/>
              <w:kern w:val="0"/>
              <w:szCs w:val="24"/>
              <w:lang w:val="en-US" w:eastAsia="zh-CN"/>
            </w:rPr>
            <w:t>7</w:t>
          </w:r>
          <w:r>
            <w:rPr>
              <w:rFonts w:hint="eastAsia" w:ascii="宋体" w:hAnsi="宋体" w:eastAsia="宋体" w:cs="宋体"/>
              <w:kern w:val="0"/>
              <w:szCs w:val="24"/>
            </w:rPr>
            <w:t xml:space="preserve"> 干预疗效评价</w:t>
          </w:r>
          <w:r>
            <w:tab/>
          </w:r>
          <w:r>
            <w:rPr>
              <w:rFonts w:hint="eastAsia"/>
              <w:lang w:val="en-US" w:eastAsia="zh-CN"/>
            </w:rPr>
            <w:t>1</w:t>
          </w:r>
          <w:r>
            <w:fldChar w:fldCharType="end"/>
          </w:r>
          <w:r>
            <w:rPr>
              <w:rFonts w:hint="eastAsia"/>
              <w:lang w:val="en-US" w:eastAsia="zh-CN"/>
            </w:rPr>
            <w:t>4</w:t>
          </w:r>
        </w:p>
        <w:p w14:paraId="5F1FC322">
          <w:r>
            <w:fldChar w:fldCharType="end"/>
          </w:r>
        </w:p>
      </w:sdtContent>
    </w:sdt>
    <w:p w14:paraId="27191FB5"/>
    <w:p w14:paraId="594C7A78">
      <w:pPr>
        <w:pStyle w:val="177"/>
        <w:spacing w:before="240" w:beforeLines="100" w:after="528" w:afterLines="220"/>
        <w:outlineLvl w:val="0"/>
        <w:rPr>
          <w:rFonts w:hint="eastAsia" w:hAnsi="黑体"/>
          <w:bCs/>
          <w:sz w:val="44"/>
          <w:szCs w:val="44"/>
        </w:rPr>
      </w:pPr>
    </w:p>
    <w:p w14:paraId="75787CAF">
      <w:pPr>
        <w:pStyle w:val="177"/>
        <w:spacing w:before="240" w:beforeLines="100" w:after="528" w:afterLines="220"/>
        <w:outlineLvl w:val="0"/>
        <w:rPr>
          <w:rFonts w:hint="eastAsia" w:hAnsi="黑体"/>
          <w:bCs/>
          <w:sz w:val="44"/>
          <w:szCs w:val="44"/>
        </w:rPr>
      </w:pPr>
    </w:p>
    <w:p w14:paraId="53DECAAF">
      <w:pPr>
        <w:pStyle w:val="177"/>
        <w:spacing w:before="240" w:beforeLines="100" w:after="528" w:afterLines="220"/>
        <w:outlineLvl w:val="0"/>
        <w:rPr>
          <w:rFonts w:hint="eastAsia" w:hAnsi="黑体"/>
          <w:bCs/>
          <w:sz w:val="44"/>
          <w:szCs w:val="44"/>
        </w:rPr>
      </w:pPr>
    </w:p>
    <w:p w14:paraId="156175D3">
      <w:pPr>
        <w:pStyle w:val="177"/>
        <w:spacing w:before="240" w:beforeLines="100" w:after="528" w:afterLines="220"/>
        <w:outlineLvl w:val="0"/>
        <w:rPr>
          <w:rFonts w:hint="eastAsia" w:hAnsi="黑体"/>
          <w:bCs/>
          <w:sz w:val="44"/>
          <w:szCs w:val="44"/>
        </w:rPr>
      </w:pPr>
    </w:p>
    <w:p w14:paraId="3849CD5A">
      <w:pPr>
        <w:pStyle w:val="177"/>
        <w:spacing w:before="240" w:beforeLines="100" w:after="528" w:afterLines="220"/>
        <w:outlineLvl w:val="0"/>
        <w:rPr>
          <w:rFonts w:hint="eastAsia" w:hAnsi="黑体"/>
          <w:bCs/>
          <w:sz w:val="44"/>
          <w:szCs w:val="44"/>
        </w:rPr>
      </w:pPr>
    </w:p>
    <w:p w14:paraId="182E2C73">
      <w:pPr>
        <w:pStyle w:val="177"/>
        <w:spacing w:before="240" w:beforeLines="100" w:after="528" w:afterLines="220"/>
        <w:outlineLvl w:val="0"/>
        <w:rPr>
          <w:rFonts w:hint="eastAsia" w:hAnsi="黑体"/>
          <w:bCs/>
          <w:sz w:val="44"/>
          <w:szCs w:val="44"/>
        </w:rPr>
      </w:pPr>
    </w:p>
    <w:p w14:paraId="19CE109C">
      <w:pPr>
        <w:pStyle w:val="177"/>
        <w:spacing w:before="240" w:beforeLines="100" w:after="528" w:afterLines="220"/>
        <w:outlineLvl w:val="0"/>
        <w:rPr>
          <w:rFonts w:hint="eastAsia" w:hAnsi="黑体"/>
          <w:bCs/>
          <w:sz w:val="44"/>
          <w:szCs w:val="44"/>
        </w:rPr>
      </w:pPr>
    </w:p>
    <w:p w14:paraId="4292DF91">
      <w:pPr>
        <w:pStyle w:val="177"/>
        <w:spacing w:before="240" w:beforeLines="100" w:after="528" w:afterLines="220"/>
        <w:outlineLvl w:val="0"/>
        <w:rPr>
          <w:rFonts w:hint="eastAsia" w:hAnsi="黑体"/>
          <w:bCs/>
          <w:sz w:val="44"/>
          <w:szCs w:val="44"/>
        </w:rPr>
      </w:pPr>
    </w:p>
    <w:p w14:paraId="5E8F350D">
      <w:pPr>
        <w:pStyle w:val="89"/>
        <w:spacing w:before="900" w:after="360"/>
      </w:pPr>
      <w:bookmarkStart w:id="21" w:name="_Toc4041"/>
      <w:r>
        <w:rPr>
          <w:rFonts w:hint="eastAsia"/>
          <w:spacing w:val="320"/>
        </w:rPr>
        <w:t>前</w:t>
      </w:r>
      <w:r>
        <w:rPr>
          <w:rFonts w:hint="eastAsia"/>
        </w:rPr>
        <w:t>言</w:t>
      </w:r>
      <w:bookmarkEnd w:id="21"/>
    </w:p>
    <w:p w14:paraId="36F316C7">
      <w:pPr>
        <w:pStyle w:val="56"/>
        <w:ind w:left="0" w:leftChars="0" w:firstLine="420" w:firstLineChars="200"/>
        <w:rPr>
          <w:rFonts w:hint="eastAsia"/>
          <w:lang w:val="en-US" w:eastAsia="zh-CN"/>
        </w:rPr>
      </w:pPr>
      <w:r>
        <w:rPr>
          <w:rFonts w:hint="eastAsia"/>
          <w:lang w:val="en-US" w:eastAsia="zh-CN"/>
        </w:rPr>
        <w:t>本文件按照GB/T 1.1—2020《标准化工作导则  第1部分：标准化文件的结构和起草规则》的规定起草。</w:t>
      </w:r>
    </w:p>
    <w:p w14:paraId="036E4D8B">
      <w:pPr>
        <w:pStyle w:val="56"/>
        <w:ind w:firstLine="420"/>
        <w:rPr>
          <w:rFonts w:hint="eastAsia"/>
          <w:lang w:val="en-US" w:eastAsia="zh-CN"/>
        </w:rPr>
      </w:pPr>
      <w:r>
        <w:rPr>
          <w:rFonts w:hint="eastAsia"/>
          <w:lang w:val="en-US" w:eastAsia="zh-CN"/>
        </w:rPr>
        <w:t>请注意本文件的某些内容可能涉及专利。本文件的发布机构不承担识别专利的责任。</w:t>
      </w:r>
    </w:p>
    <w:p w14:paraId="26BDAF14">
      <w:pPr>
        <w:pStyle w:val="56"/>
        <w:ind w:firstLine="420"/>
        <w:rPr>
          <w:rFonts w:hint="eastAsia"/>
          <w:lang w:val="en-US" w:eastAsia="zh-CN"/>
        </w:rPr>
      </w:pPr>
      <w:r>
        <w:rPr>
          <w:rFonts w:hint="eastAsia"/>
          <w:lang w:val="en-US" w:eastAsia="zh-CN"/>
        </w:rPr>
        <w:t>本文件由北京中医药大学东方医院提出。</w:t>
      </w:r>
    </w:p>
    <w:p w14:paraId="55F2637D">
      <w:pPr>
        <w:pStyle w:val="56"/>
        <w:ind w:firstLine="420"/>
        <w:rPr>
          <w:rFonts w:hint="eastAsia"/>
          <w:lang w:val="en-US" w:eastAsia="zh-CN"/>
        </w:rPr>
      </w:pPr>
      <w:r>
        <w:rPr>
          <w:rFonts w:hint="eastAsia"/>
          <w:lang w:val="en-US" w:eastAsia="zh-CN"/>
        </w:rPr>
        <w:t>本文件由中国中医药研究促进会归口。</w:t>
      </w:r>
    </w:p>
    <w:p w14:paraId="4EDF885A">
      <w:pPr>
        <w:pStyle w:val="56"/>
        <w:ind w:firstLine="420"/>
        <w:rPr>
          <w:rFonts w:hint="eastAsia"/>
          <w:lang w:val="en-US" w:eastAsia="zh-CN"/>
        </w:rPr>
      </w:pPr>
      <w:r>
        <w:rPr>
          <w:rFonts w:hint="eastAsia"/>
          <w:lang w:val="en-US" w:eastAsia="zh-CN"/>
        </w:rPr>
        <w:t>本文件起草单位：北京中医药大学东方医院、呼和浩特市中医蒙医医院（呼和浩特市中医蒙医医院）、四川省中西医结合医院、北京中医药大学东直门医院、中国中医科学院广安门医院、天津中医药大学第二附属医院、韶关市中医院。</w:t>
      </w:r>
    </w:p>
    <w:p w14:paraId="707ECBA5">
      <w:pPr>
        <w:pStyle w:val="56"/>
        <w:ind w:firstLine="420"/>
        <w:rPr>
          <w:rFonts w:hint="eastAsia"/>
          <w:lang w:val="en-US" w:eastAsia="zh-CN"/>
        </w:rPr>
      </w:pPr>
      <w:r>
        <w:rPr>
          <w:rFonts w:hint="eastAsia"/>
          <w:lang w:val="en-US" w:eastAsia="zh-CN"/>
        </w:rPr>
        <w:t>本文件主要起草人：刘洋、吴梦玮、朱晓、周浩、徐燕芳、徐海、李伯群、李春丽、赵洪霄、王萌萌、于国泳、毕明辉、李金亭、林雅静、黄祖波、李敏、何闽、严兴茂、余波、吕品、林翠茹、曹春梅、曲靖、王赫麟等。</w:t>
      </w:r>
    </w:p>
    <w:p w14:paraId="5BE0B07E">
      <w:pPr>
        <w:pStyle w:val="56"/>
        <w:ind w:firstLine="420"/>
        <w:rPr>
          <w:rFonts w:hint="eastAsia"/>
          <w:lang w:val="en-US" w:eastAsia="zh-CN"/>
        </w:rPr>
      </w:pPr>
    </w:p>
    <w:p w14:paraId="35F17AE2">
      <w:pPr>
        <w:autoSpaceDE w:val="0"/>
        <w:autoSpaceDN w:val="0"/>
        <w:ind w:firstLine="480" w:firstLineChars="200"/>
        <w:jc w:val="both"/>
        <w:rPr>
          <w:rFonts w:hint="eastAsia" w:ascii="宋体" w:hAnsi="Times New Roman" w:eastAsia="宋体" w:cs="Times New Roman"/>
          <w:sz w:val="24"/>
          <w:szCs w:val="24"/>
          <w:lang w:val="en-US" w:eastAsia="zh-CN" w:bidi="ar-SA"/>
        </w:rPr>
      </w:pPr>
    </w:p>
    <w:p w14:paraId="5320E792">
      <w:pPr>
        <w:autoSpaceDE w:val="0"/>
        <w:autoSpaceDN w:val="0"/>
        <w:ind w:firstLine="480" w:firstLineChars="200"/>
        <w:jc w:val="both"/>
        <w:rPr>
          <w:rFonts w:hint="eastAsia" w:ascii="宋体" w:hAnsi="Times New Roman" w:eastAsia="宋体" w:cs="Times New Roman"/>
          <w:sz w:val="24"/>
          <w:szCs w:val="24"/>
          <w:lang w:val="en-US" w:eastAsia="zh-CN" w:bidi="ar-SA"/>
        </w:rPr>
      </w:pPr>
    </w:p>
    <w:p w14:paraId="4A93A4D4">
      <w:pPr>
        <w:autoSpaceDE w:val="0"/>
        <w:autoSpaceDN w:val="0"/>
        <w:ind w:firstLine="480" w:firstLineChars="200"/>
        <w:jc w:val="both"/>
        <w:rPr>
          <w:rFonts w:hint="eastAsia" w:ascii="宋体" w:hAnsi="Times New Roman" w:eastAsia="宋体" w:cs="Times New Roman"/>
          <w:sz w:val="24"/>
          <w:szCs w:val="24"/>
          <w:lang w:val="en-US" w:eastAsia="zh-CN" w:bidi="ar-SA"/>
        </w:rPr>
      </w:pPr>
    </w:p>
    <w:p w14:paraId="2DA3116E">
      <w:pPr>
        <w:autoSpaceDE w:val="0"/>
        <w:autoSpaceDN w:val="0"/>
        <w:ind w:firstLine="480" w:firstLineChars="200"/>
        <w:jc w:val="both"/>
        <w:rPr>
          <w:rFonts w:hint="eastAsia" w:ascii="宋体" w:hAnsi="Times New Roman" w:eastAsia="宋体" w:cs="Times New Roman"/>
          <w:sz w:val="24"/>
          <w:szCs w:val="24"/>
          <w:lang w:val="en-US" w:eastAsia="zh-CN" w:bidi="ar-SA"/>
        </w:rPr>
      </w:pPr>
    </w:p>
    <w:p w14:paraId="24299B85">
      <w:pPr>
        <w:autoSpaceDE w:val="0"/>
        <w:autoSpaceDN w:val="0"/>
        <w:ind w:firstLine="480" w:firstLineChars="200"/>
        <w:jc w:val="both"/>
        <w:rPr>
          <w:rFonts w:hint="eastAsia" w:ascii="宋体" w:hAnsi="Times New Roman" w:eastAsia="宋体" w:cs="Times New Roman"/>
          <w:sz w:val="24"/>
          <w:szCs w:val="24"/>
          <w:lang w:val="en-US" w:eastAsia="zh-CN" w:bidi="ar-SA"/>
        </w:rPr>
      </w:pPr>
    </w:p>
    <w:p w14:paraId="1D6434E1">
      <w:pPr>
        <w:autoSpaceDE w:val="0"/>
        <w:autoSpaceDN w:val="0"/>
        <w:ind w:firstLine="480" w:firstLineChars="200"/>
        <w:jc w:val="both"/>
        <w:rPr>
          <w:rFonts w:hint="eastAsia" w:ascii="宋体" w:hAnsi="Times New Roman" w:eastAsia="宋体" w:cs="Times New Roman"/>
          <w:sz w:val="24"/>
          <w:szCs w:val="24"/>
          <w:lang w:val="en-US" w:eastAsia="zh-CN" w:bidi="ar-SA"/>
        </w:rPr>
      </w:pPr>
    </w:p>
    <w:p w14:paraId="6B5A48C3">
      <w:pPr>
        <w:autoSpaceDE w:val="0"/>
        <w:autoSpaceDN w:val="0"/>
        <w:ind w:firstLine="480" w:firstLineChars="200"/>
        <w:jc w:val="both"/>
        <w:rPr>
          <w:rFonts w:hint="eastAsia" w:ascii="宋体" w:hAnsi="Times New Roman" w:eastAsia="宋体" w:cs="Times New Roman"/>
          <w:sz w:val="24"/>
          <w:szCs w:val="24"/>
          <w:lang w:val="en-US" w:eastAsia="zh-CN" w:bidi="ar-SA"/>
        </w:rPr>
      </w:pPr>
    </w:p>
    <w:p w14:paraId="3BFB1464">
      <w:pPr>
        <w:autoSpaceDE w:val="0"/>
        <w:autoSpaceDN w:val="0"/>
        <w:ind w:firstLine="480" w:firstLineChars="200"/>
        <w:jc w:val="both"/>
        <w:rPr>
          <w:rFonts w:hint="eastAsia" w:ascii="宋体" w:hAnsi="Times New Roman" w:eastAsia="宋体" w:cs="Times New Roman"/>
          <w:sz w:val="24"/>
          <w:szCs w:val="24"/>
          <w:lang w:val="en-US" w:eastAsia="zh-CN" w:bidi="ar-SA"/>
        </w:rPr>
      </w:pPr>
    </w:p>
    <w:p w14:paraId="6A7C6143">
      <w:pPr>
        <w:autoSpaceDE w:val="0"/>
        <w:autoSpaceDN w:val="0"/>
        <w:ind w:firstLine="480" w:firstLineChars="200"/>
        <w:jc w:val="both"/>
        <w:rPr>
          <w:rFonts w:hint="eastAsia" w:ascii="宋体" w:hAnsi="Times New Roman" w:eastAsia="宋体" w:cs="Times New Roman"/>
          <w:sz w:val="24"/>
          <w:szCs w:val="24"/>
          <w:lang w:val="en-US" w:eastAsia="zh-CN" w:bidi="ar-SA"/>
        </w:rPr>
      </w:pPr>
    </w:p>
    <w:p w14:paraId="7ABC22A5">
      <w:pPr>
        <w:autoSpaceDE w:val="0"/>
        <w:autoSpaceDN w:val="0"/>
        <w:ind w:firstLine="480" w:firstLineChars="200"/>
        <w:jc w:val="both"/>
        <w:rPr>
          <w:rFonts w:hint="eastAsia" w:ascii="宋体" w:hAnsi="Times New Roman" w:eastAsia="宋体" w:cs="Times New Roman"/>
          <w:sz w:val="24"/>
          <w:szCs w:val="24"/>
          <w:lang w:val="en-US" w:eastAsia="zh-CN" w:bidi="ar-SA"/>
        </w:rPr>
      </w:pPr>
    </w:p>
    <w:p w14:paraId="32D95CEA">
      <w:pPr>
        <w:autoSpaceDE w:val="0"/>
        <w:autoSpaceDN w:val="0"/>
        <w:ind w:firstLine="480" w:firstLineChars="200"/>
        <w:jc w:val="both"/>
        <w:rPr>
          <w:rFonts w:hint="eastAsia" w:ascii="宋体" w:hAnsi="Times New Roman" w:eastAsia="宋体" w:cs="Times New Roman"/>
          <w:sz w:val="24"/>
          <w:szCs w:val="24"/>
          <w:lang w:val="en-US" w:eastAsia="zh-CN" w:bidi="ar-SA"/>
        </w:rPr>
      </w:pPr>
    </w:p>
    <w:p w14:paraId="26FE843C">
      <w:pPr>
        <w:autoSpaceDE w:val="0"/>
        <w:autoSpaceDN w:val="0"/>
        <w:ind w:firstLine="480" w:firstLineChars="200"/>
        <w:jc w:val="both"/>
        <w:rPr>
          <w:rFonts w:hint="eastAsia" w:ascii="宋体" w:hAnsi="Times New Roman" w:eastAsia="宋体" w:cs="Times New Roman"/>
          <w:sz w:val="24"/>
          <w:szCs w:val="24"/>
          <w:lang w:val="en-US" w:eastAsia="zh-CN" w:bidi="ar-SA"/>
        </w:rPr>
      </w:pPr>
    </w:p>
    <w:p w14:paraId="74715049">
      <w:pPr>
        <w:autoSpaceDE w:val="0"/>
        <w:autoSpaceDN w:val="0"/>
        <w:ind w:firstLine="480" w:firstLineChars="200"/>
        <w:jc w:val="both"/>
        <w:rPr>
          <w:rFonts w:hint="eastAsia" w:ascii="宋体" w:hAnsi="Times New Roman" w:eastAsia="宋体" w:cs="Times New Roman"/>
          <w:sz w:val="24"/>
          <w:szCs w:val="24"/>
          <w:lang w:val="en-US" w:eastAsia="zh-CN" w:bidi="ar-SA"/>
        </w:rPr>
      </w:pPr>
    </w:p>
    <w:p w14:paraId="4D3945CC">
      <w:pPr>
        <w:autoSpaceDE w:val="0"/>
        <w:autoSpaceDN w:val="0"/>
        <w:ind w:firstLine="480" w:firstLineChars="200"/>
        <w:jc w:val="both"/>
        <w:rPr>
          <w:rFonts w:hint="eastAsia" w:ascii="宋体" w:hAnsi="Times New Roman" w:eastAsia="宋体" w:cs="Times New Roman"/>
          <w:sz w:val="24"/>
          <w:szCs w:val="24"/>
          <w:lang w:val="en-US" w:eastAsia="zh-CN" w:bidi="ar-SA"/>
        </w:rPr>
      </w:pPr>
    </w:p>
    <w:p w14:paraId="3B836897">
      <w:pPr>
        <w:autoSpaceDE w:val="0"/>
        <w:autoSpaceDN w:val="0"/>
        <w:ind w:firstLine="480" w:firstLineChars="200"/>
        <w:jc w:val="both"/>
        <w:rPr>
          <w:rFonts w:hint="eastAsia" w:ascii="宋体" w:hAnsi="Times New Roman" w:eastAsia="宋体" w:cs="Times New Roman"/>
          <w:sz w:val="24"/>
          <w:szCs w:val="24"/>
          <w:lang w:val="en-US" w:eastAsia="zh-CN" w:bidi="ar-SA"/>
        </w:rPr>
      </w:pPr>
    </w:p>
    <w:p w14:paraId="6931E8A0">
      <w:pPr>
        <w:autoSpaceDE w:val="0"/>
        <w:autoSpaceDN w:val="0"/>
        <w:ind w:firstLine="480" w:firstLineChars="200"/>
        <w:jc w:val="both"/>
        <w:rPr>
          <w:rFonts w:hint="eastAsia" w:ascii="宋体" w:hAnsi="Times New Roman" w:eastAsia="宋体" w:cs="Times New Roman"/>
          <w:sz w:val="24"/>
          <w:szCs w:val="24"/>
          <w:lang w:val="en-US" w:eastAsia="zh-CN" w:bidi="ar-SA"/>
        </w:rPr>
      </w:pPr>
    </w:p>
    <w:p w14:paraId="761C2033">
      <w:pPr>
        <w:autoSpaceDE w:val="0"/>
        <w:autoSpaceDN w:val="0"/>
        <w:ind w:firstLine="480" w:firstLineChars="200"/>
        <w:jc w:val="both"/>
        <w:rPr>
          <w:rFonts w:hint="eastAsia" w:ascii="宋体" w:hAnsi="Times New Roman" w:eastAsia="宋体" w:cs="Times New Roman"/>
          <w:sz w:val="24"/>
          <w:szCs w:val="24"/>
          <w:lang w:val="en-US" w:eastAsia="zh-CN" w:bidi="ar-SA"/>
        </w:rPr>
      </w:pPr>
    </w:p>
    <w:p w14:paraId="36C4FD91">
      <w:pPr>
        <w:autoSpaceDE w:val="0"/>
        <w:autoSpaceDN w:val="0"/>
        <w:ind w:firstLine="480" w:firstLineChars="200"/>
        <w:jc w:val="both"/>
        <w:rPr>
          <w:rFonts w:hint="eastAsia" w:ascii="宋体" w:hAnsi="Times New Roman" w:eastAsia="宋体" w:cs="Times New Roman"/>
          <w:sz w:val="24"/>
          <w:szCs w:val="24"/>
          <w:lang w:val="en-US" w:eastAsia="zh-CN" w:bidi="ar-SA"/>
        </w:rPr>
      </w:pPr>
    </w:p>
    <w:p w14:paraId="04469B4F">
      <w:pPr>
        <w:pStyle w:val="177"/>
        <w:spacing w:before="240" w:beforeLines="100" w:after="528" w:afterLines="220"/>
        <w:jc w:val="center"/>
        <w:outlineLvl w:val="0"/>
        <w:rPr>
          <w:rFonts w:hint="eastAsia" w:hAnsi="黑体"/>
          <w:bCs/>
          <w:sz w:val="32"/>
          <w:szCs w:val="32"/>
        </w:rPr>
      </w:pPr>
    </w:p>
    <w:p w14:paraId="6EC664A3">
      <w:pPr>
        <w:pStyle w:val="177"/>
        <w:spacing w:before="240" w:beforeLines="100" w:after="528" w:afterLines="220"/>
        <w:jc w:val="center"/>
        <w:outlineLvl w:val="0"/>
        <w:rPr>
          <w:rFonts w:hint="eastAsia"/>
          <w:lang w:val="en-US" w:eastAsia="zh-CN"/>
        </w:rPr>
      </w:pPr>
    </w:p>
    <w:p w14:paraId="4B96DDCE">
      <w:pPr>
        <w:pStyle w:val="177"/>
        <w:spacing w:before="2" w:beforeLines="1" w:after="528" w:afterLines="220"/>
        <w:rPr>
          <w:rFonts w:hint="default"/>
          <w:lang w:val="en-US" w:eastAsia="zh-CN"/>
        </w:rPr>
      </w:pPr>
      <w:r>
        <w:rPr>
          <w:rFonts w:hint="eastAsia"/>
          <w:lang w:val="en-US" w:eastAsia="zh-CN"/>
        </w:rPr>
        <w:t>中年人群亚健康状态治未病临床干预指南</w:t>
      </w:r>
    </w:p>
    <w:p w14:paraId="09CFE4BC">
      <w:pPr>
        <w:pStyle w:val="104"/>
        <w:spacing w:before="240" w:after="240"/>
        <w:rPr>
          <w:rFonts w:hint="eastAsia"/>
        </w:rPr>
      </w:pPr>
      <w:bookmarkStart w:id="22" w:name="_Toc26986771"/>
      <w:bookmarkStart w:id="23" w:name="_Toc24884218"/>
      <w:bookmarkStart w:id="24" w:name="_Toc26986530"/>
      <w:bookmarkStart w:id="25" w:name="_Toc22424"/>
      <w:bookmarkStart w:id="26" w:name="_Toc26648465"/>
      <w:bookmarkStart w:id="27" w:name="_Toc208503221"/>
      <w:bookmarkStart w:id="28" w:name="_Toc17233325"/>
      <w:bookmarkStart w:id="29" w:name="_Toc17233333"/>
      <w:bookmarkStart w:id="30" w:name="_Toc24884211"/>
      <w:bookmarkStart w:id="31" w:name="_Toc97192964"/>
      <w:bookmarkStart w:id="32" w:name="_Toc26718930"/>
      <w:r>
        <w:rPr>
          <w:rFonts w:hint="eastAsia"/>
        </w:rPr>
        <w:t>范围</w:t>
      </w:r>
      <w:bookmarkEnd w:id="22"/>
      <w:bookmarkEnd w:id="23"/>
      <w:bookmarkEnd w:id="24"/>
      <w:bookmarkEnd w:id="25"/>
      <w:bookmarkEnd w:id="26"/>
      <w:bookmarkEnd w:id="27"/>
      <w:bookmarkEnd w:id="28"/>
      <w:bookmarkEnd w:id="29"/>
      <w:bookmarkEnd w:id="30"/>
      <w:bookmarkEnd w:id="31"/>
      <w:bookmarkEnd w:id="32"/>
    </w:p>
    <w:p w14:paraId="39E8E412">
      <w:pPr>
        <w:pStyle w:val="56"/>
        <w:ind w:firstLine="420"/>
        <w:rPr>
          <w:rFonts w:hint="eastAsia"/>
          <w:lang w:val="en-US" w:eastAsia="zh-CN"/>
        </w:rPr>
      </w:pPr>
      <w:r>
        <w:rPr>
          <w:rFonts w:hint="eastAsia"/>
          <w:lang w:val="en-US" w:eastAsia="zh-CN"/>
        </w:rPr>
        <w:t>本标准规定了中年人群亚健康状态中医治未病干预的术语和定义、诊断标准、辨证分型、干预原则与方法、干预效果评价及注意事项。</w:t>
      </w:r>
    </w:p>
    <w:p w14:paraId="1B6AB337">
      <w:pPr>
        <w:pStyle w:val="56"/>
        <w:ind w:firstLine="420"/>
        <w:rPr>
          <w:rFonts w:hint="eastAsia" w:ascii="宋体" w:hAnsi="宋体" w:eastAsia="宋体" w:cs="宋体"/>
          <w:sz w:val="21"/>
          <w:szCs w:val="21"/>
        </w:rPr>
      </w:pPr>
      <w:r>
        <w:rPr>
          <w:rFonts w:hint="eastAsia"/>
          <w:lang w:val="en-US" w:eastAsia="zh-CN"/>
        </w:rPr>
        <w:t>本标准适用于各级各类医疗卫生机构、健康管理机构、社区卫生服务中心（站）等从事中医治未病工作的医师、健康管理师及相关专业人员对中年亚健康人群进行中医治未病干预时使用。</w:t>
      </w:r>
    </w:p>
    <w:p w14:paraId="28442EB4">
      <w:pPr>
        <w:pStyle w:val="104"/>
        <w:spacing w:before="240" w:after="240"/>
        <w:rPr>
          <w:rFonts w:hint="eastAsia"/>
        </w:rPr>
      </w:pPr>
      <w:bookmarkStart w:id="33" w:name="_Toc26718931"/>
      <w:bookmarkStart w:id="34" w:name="_Toc24884212"/>
      <w:bookmarkStart w:id="35" w:name="_Toc26986531"/>
      <w:bookmarkStart w:id="36" w:name="_Toc24884219"/>
      <w:bookmarkStart w:id="37" w:name="_Toc17233326"/>
      <w:bookmarkStart w:id="38" w:name="_Toc208503222"/>
      <w:bookmarkStart w:id="39" w:name="_Toc17233334"/>
      <w:bookmarkStart w:id="40" w:name="_Toc97192965"/>
      <w:bookmarkStart w:id="41" w:name="_Toc26648466"/>
      <w:bookmarkStart w:id="42" w:name="_Toc28634"/>
      <w:bookmarkStart w:id="43" w:name="_Toc26986772"/>
      <w:r>
        <w:rPr>
          <w:rFonts w:hint="eastAsia"/>
        </w:rPr>
        <w:t>规范性引用文件</w:t>
      </w:r>
      <w:bookmarkEnd w:id="33"/>
      <w:bookmarkEnd w:id="34"/>
      <w:bookmarkEnd w:id="35"/>
      <w:bookmarkEnd w:id="36"/>
      <w:bookmarkEnd w:id="37"/>
      <w:bookmarkEnd w:id="38"/>
      <w:bookmarkEnd w:id="39"/>
      <w:bookmarkEnd w:id="40"/>
      <w:bookmarkEnd w:id="41"/>
      <w:bookmarkEnd w:id="42"/>
      <w:bookmarkEnd w:id="43"/>
    </w:p>
    <w:p w14:paraId="4BF694DE">
      <w:pPr>
        <w:pStyle w:val="56"/>
        <w:ind w:firstLine="420"/>
        <w:rPr>
          <w:rFonts w:hint="eastAsia"/>
          <w:lang w:val="en-US" w:eastAsia="zh-CN"/>
        </w:rPr>
      </w:pPr>
      <w:r>
        <w:rPr>
          <w:rFonts w:hint="eastAsia"/>
          <w:lang w:val="en-US" w:eastAsia="zh-CN"/>
        </w:rPr>
        <w:t>下列文件对本文件的应用是必不可少的。凡是注日期的引用文件，仅注日期的版本适用于本文件。凡是不注日期的引用文件，其最新版本（包括所有的修改单）适用于本文件。</w:t>
      </w:r>
    </w:p>
    <w:p w14:paraId="6658D3B8">
      <w:pPr>
        <w:pStyle w:val="56"/>
        <w:ind w:firstLine="420"/>
        <w:rPr>
          <w:rFonts w:hint="eastAsia"/>
          <w:lang w:val="en-US" w:eastAsia="zh-CN"/>
        </w:rPr>
      </w:pPr>
      <w:r>
        <w:rPr>
          <w:rFonts w:hint="eastAsia"/>
          <w:lang w:val="en-US" w:eastAsia="zh-CN"/>
        </w:rPr>
        <w:t>GB/T 16751.1-2023 中医临床诊疗术语·疾病部分</w:t>
      </w:r>
    </w:p>
    <w:p w14:paraId="1B89D838">
      <w:pPr>
        <w:pStyle w:val="56"/>
        <w:ind w:firstLine="420"/>
        <w:rPr>
          <w:rFonts w:hint="eastAsia"/>
          <w:lang w:val="en-US" w:eastAsia="zh-CN"/>
        </w:rPr>
      </w:pPr>
      <w:r>
        <w:rPr>
          <w:rFonts w:hint="eastAsia"/>
          <w:lang w:val="en-US" w:eastAsia="zh-CN"/>
        </w:rPr>
        <w:t>GB/T 16751.2-2021 中医临床诊疗术语·证候部分</w:t>
      </w:r>
    </w:p>
    <w:p w14:paraId="5F4603E8">
      <w:pPr>
        <w:pStyle w:val="56"/>
        <w:ind w:firstLine="420"/>
        <w:rPr>
          <w:rFonts w:hint="eastAsia"/>
          <w:lang w:val="en-US" w:eastAsia="zh-CN"/>
        </w:rPr>
      </w:pPr>
      <w:r>
        <w:rPr>
          <w:rFonts w:hint="eastAsia"/>
          <w:lang w:val="en-US" w:eastAsia="zh-CN"/>
        </w:rPr>
        <w:t>GB/T 15657-2021 中医病证分类与代码</w:t>
      </w:r>
    </w:p>
    <w:p w14:paraId="74C9A71D">
      <w:pPr>
        <w:pStyle w:val="56"/>
        <w:ind w:firstLine="420"/>
        <w:rPr>
          <w:rFonts w:hint="eastAsia"/>
          <w:lang w:val="en-US" w:eastAsia="zh-CN"/>
        </w:rPr>
      </w:pPr>
      <w:r>
        <w:rPr>
          <w:rFonts w:hint="eastAsia"/>
          <w:lang w:val="en-US" w:eastAsia="zh-CN"/>
        </w:rPr>
        <w:t>《中医体质分类判定标准》（（ZYYXH/T157-2009）</w:t>
      </w:r>
    </w:p>
    <w:p w14:paraId="7C4B731F">
      <w:pPr>
        <w:pStyle w:val="56"/>
        <w:ind w:firstLine="420"/>
        <w:rPr>
          <w:rFonts w:hint="eastAsia" w:ascii="宋体" w:hAnsi="宋体" w:eastAsia="宋体" w:cs="宋体"/>
          <w:sz w:val="21"/>
          <w:szCs w:val="21"/>
        </w:rPr>
      </w:pPr>
      <w:r>
        <w:rPr>
          <w:rFonts w:hint="eastAsia"/>
          <w:lang w:val="en-US" w:eastAsia="zh-CN"/>
        </w:rPr>
        <w:t>《中医医院治未病科建设与管理指南(2025年修订版)》（国家中医药管理局）</w:t>
      </w:r>
    </w:p>
    <w:p w14:paraId="022E7D52">
      <w:pPr>
        <w:pStyle w:val="104"/>
        <w:spacing w:before="240" w:after="240"/>
        <w:rPr>
          <w:rFonts w:hint="eastAsia"/>
          <w:lang w:val="en-US" w:eastAsia="zh-CN"/>
        </w:rPr>
      </w:pPr>
      <w:bookmarkStart w:id="44" w:name="_Toc208503223"/>
      <w:bookmarkStart w:id="45" w:name="_Toc24147"/>
      <w:bookmarkStart w:id="46" w:name="_Toc97192966"/>
      <w:r>
        <w:rPr>
          <w:rFonts w:hint="eastAsia"/>
          <w:lang w:val="en-US" w:eastAsia="zh-CN"/>
        </w:rPr>
        <w:t>术语和定义</w:t>
      </w:r>
      <w:bookmarkEnd w:id="44"/>
      <w:bookmarkEnd w:id="45"/>
      <w:bookmarkEnd w:id="46"/>
    </w:p>
    <w:p w14:paraId="7CECD3CC">
      <w:pPr>
        <w:pStyle w:val="105"/>
        <w:numPr>
          <w:ilvl w:val="2"/>
          <w:numId w:val="0"/>
        </w:numPr>
        <w:spacing w:before="120" w:after="120"/>
        <w:ind w:leftChars="0"/>
        <w:rPr>
          <w:rFonts w:hint="eastAsia"/>
        </w:rPr>
      </w:pPr>
      <w:bookmarkStart w:id="47" w:name="_Toc3166"/>
      <w:bookmarkStart w:id="48" w:name="heading_4"/>
      <w:bookmarkStart w:id="49" w:name="_Toc208503224"/>
      <w:r>
        <w:rPr>
          <w:rFonts w:hint="eastAsia"/>
        </w:rPr>
        <w:t>3.1 中年人群</w:t>
      </w:r>
      <w:bookmarkEnd w:id="47"/>
      <w:bookmarkEnd w:id="48"/>
    </w:p>
    <w:p w14:paraId="30E88EC2">
      <w:pPr>
        <w:pStyle w:val="56"/>
        <w:ind w:firstLine="420"/>
        <w:rPr>
          <w:rFonts w:hint="eastAsia"/>
          <w:lang w:val="en-US" w:eastAsia="zh-CN"/>
        </w:rPr>
      </w:pPr>
      <w:r>
        <w:rPr>
          <w:rFonts w:hint="eastAsia"/>
          <w:lang w:val="en-US" w:eastAsia="zh-CN"/>
        </w:rPr>
        <w:t>本指南所指中年人群为40-60岁的成年人，此阶段人体生理机能逐渐衰退，脏腑功能开始减弱，气血阴阳易失平衡，是亚健康的高发人群。</w:t>
      </w:r>
    </w:p>
    <w:p w14:paraId="2B6E5703">
      <w:pPr>
        <w:pStyle w:val="105"/>
        <w:numPr>
          <w:ilvl w:val="2"/>
          <w:numId w:val="0"/>
        </w:numPr>
        <w:spacing w:before="120" w:after="120"/>
        <w:ind w:leftChars="0"/>
        <w:rPr>
          <w:rFonts w:hint="eastAsia"/>
        </w:rPr>
      </w:pPr>
      <w:bookmarkStart w:id="50" w:name="_Toc30794"/>
      <w:bookmarkStart w:id="51" w:name="heading_5"/>
      <w:r>
        <w:rPr>
          <w:rFonts w:hint="eastAsia"/>
        </w:rPr>
        <w:t>3.2 亚健康状态</w:t>
      </w:r>
      <w:bookmarkEnd w:id="50"/>
      <w:bookmarkEnd w:id="51"/>
    </w:p>
    <w:p w14:paraId="16900845">
      <w:pPr>
        <w:pStyle w:val="56"/>
        <w:ind w:firstLine="420"/>
        <w:rPr>
          <w:rFonts w:hint="eastAsia"/>
          <w:lang w:val="en-US" w:eastAsia="zh-CN"/>
        </w:rPr>
      </w:pPr>
      <w:r>
        <w:rPr>
          <w:rFonts w:hint="eastAsia"/>
          <w:lang w:val="en-US" w:eastAsia="zh-CN"/>
        </w:rPr>
        <w:t>又称第三状态，是介于健康与疾病之间的中间状态，指人体在生理、心理、社会适应能力等方面出现异常表现，但未达到现代医学疾病的临床诊断标准，表现为疲乏无力、精神不振、肌肉及关节酸痛、头昏头痛、情绪低落、睡眠紊乱、食欲不振等一系列不适症状，具有双向转化特点，可通过积极干预恢复健康，也可进一步发展为疾病状态。</w:t>
      </w:r>
    </w:p>
    <w:p w14:paraId="314D717B">
      <w:pPr>
        <w:pStyle w:val="105"/>
        <w:numPr>
          <w:ilvl w:val="2"/>
          <w:numId w:val="0"/>
        </w:numPr>
        <w:spacing w:before="120" w:after="120"/>
        <w:ind w:leftChars="0"/>
        <w:rPr>
          <w:rFonts w:hint="eastAsia"/>
        </w:rPr>
      </w:pPr>
      <w:bookmarkStart w:id="52" w:name="heading_6"/>
      <w:bookmarkStart w:id="53" w:name="_Toc27403"/>
      <w:r>
        <w:rPr>
          <w:rFonts w:hint="eastAsia"/>
        </w:rPr>
        <w:t>3.3 中医治未病</w:t>
      </w:r>
      <w:bookmarkEnd w:id="52"/>
      <w:bookmarkEnd w:id="53"/>
    </w:p>
    <w:p w14:paraId="2CBA347A">
      <w:pPr>
        <w:pStyle w:val="56"/>
        <w:ind w:firstLine="420"/>
        <w:rPr>
          <w:rFonts w:hint="eastAsia"/>
          <w:lang w:val="en-US" w:eastAsia="zh-CN"/>
        </w:rPr>
      </w:pPr>
      <w:r>
        <w:rPr>
          <w:rFonts w:hint="eastAsia"/>
          <w:lang w:val="en-US" w:eastAsia="zh-CN"/>
        </w:rPr>
        <w:t>以中医整体观念和辨证论治为核心，遵循“未病先防、既病防变、瘥后防复”的原则，运用中医理论、技术和方法，对人体健康状态进行辨识、评估和干预，维护人体阴阳平衡、气血调和、脏腑功能正常，预防疾病发生、发展和复发的一系列健康管理活动。</w:t>
      </w:r>
    </w:p>
    <w:p w14:paraId="4557234B">
      <w:pPr>
        <w:pStyle w:val="105"/>
        <w:numPr>
          <w:ilvl w:val="2"/>
          <w:numId w:val="0"/>
        </w:numPr>
        <w:spacing w:before="120" w:after="120"/>
        <w:ind w:leftChars="0"/>
        <w:rPr>
          <w:rFonts w:hint="eastAsia"/>
        </w:rPr>
      </w:pPr>
      <w:bookmarkStart w:id="54" w:name="heading_7"/>
      <w:bookmarkStart w:id="55" w:name="_Toc25899"/>
      <w:r>
        <w:rPr>
          <w:rFonts w:hint="eastAsia"/>
        </w:rPr>
        <w:t>3.4 辨证分型</w:t>
      </w:r>
      <w:bookmarkEnd w:id="54"/>
      <w:bookmarkEnd w:id="55"/>
    </w:p>
    <w:p w14:paraId="3F55B343">
      <w:pPr>
        <w:pStyle w:val="56"/>
        <w:ind w:firstLine="420"/>
        <w:rPr>
          <w:rFonts w:hint="eastAsia"/>
          <w:lang w:val="en-US" w:eastAsia="zh-CN"/>
        </w:rPr>
      </w:pPr>
      <w:r>
        <w:rPr>
          <w:rFonts w:hint="eastAsia"/>
          <w:lang w:val="en-US" w:eastAsia="zh-CN"/>
        </w:rPr>
        <w:t>根据中医理论，结合中年亚健康人群的症状、体征及舌脉表现，以脏腑辨证为核心，将其分为不同证型，重点围绕心、脾、肝、肾等中年人群易受损脏腑，明确证候特点，为个性化干预和辨体调养提供精准依据。</w:t>
      </w:r>
    </w:p>
    <w:p w14:paraId="3DAF0998">
      <w:pPr>
        <w:pStyle w:val="104"/>
        <w:numPr>
          <w:ilvl w:val="1"/>
          <w:numId w:val="0"/>
        </w:numPr>
        <w:spacing w:before="240" w:after="240"/>
        <w:ind w:leftChars="0"/>
        <w:rPr>
          <w:rFonts w:hint="eastAsia"/>
        </w:rPr>
      </w:pPr>
      <w:bookmarkStart w:id="56" w:name="heading_8"/>
      <w:bookmarkStart w:id="57" w:name="_Toc24022"/>
      <w:r>
        <w:rPr>
          <w:rFonts w:hint="eastAsia"/>
        </w:rPr>
        <w:t>4 中年亚健康状态中医诊断标准</w:t>
      </w:r>
      <w:bookmarkEnd w:id="56"/>
      <w:bookmarkEnd w:id="57"/>
    </w:p>
    <w:p w14:paraId="4E671524">
      <w:pPr>
        <w:pStyle w:val="105"/>
        <w:numPr>
          <w:ilvl w:val="2"/>
          <w:numId w:val="0"/>
        </w:numPr>
        <w:spacing w:before="120" w:after="120"/>
        <w:ind w:leftChars="0"/>
        <w:rPr>
          <w:rFonts w:hint="eastAsia"/>
        </w:rPr>
      </w:pPr>
      <w:bookmarkStart w:id="58" w:name="_Toc25635"/>
      <w:bookmarkStart w:id="59" w:name="heading_9"/>
      <w:r>
        <w:rPr>
          <w:rFonts w:hint="eastAsia"/>
        </w:rPr>
        <w:t>4.1 诊断依据</w:t>
      </w:r>
      <w:bookmarkEnd w:id="58"/>
      <w:bookmarkEnd w:id="59"/>
    </w:p>
    <w:p w14:paraId="1A4796E8">
      <w:pPr>
        <w:pStyle w:val="65"/>
        <w:numPr>
          <w:ilvl w:val="3"/>
          <w:numId w:val="0"/>
        </w:numPr>
        <w:spacing w:before="120" w:after="120"/>
        <w:ind w:leftChars="0"/>
        <w:rPr>
          <w:rFonts w:hint="eastAsia"/>
        </w:rPr>
      </w:pPr>
      <w:bookmarkStart w:id="60" w:name="heading_10"/>
      <w:bookmarkStart w:id="61" w:name="_Toc20475"/>
      <w:r>
        <w:rPr>
          <w:rFonts w:hint="eastAsia"/>
          <w:lang w:val="en-US" w:eastAsia="zh-CN"/>
        </w:rPr>
        <w:t xml:space="preserve">4.1.1 </w:t>
      </w:r>
      <w:r>
        <w:rPr>
          <w:rFonts w:hint="eastAsia"/>
        </w:rPr>
        <w:t>核心症状（年龄 40～60 岁，满足2项及以上，持续3个月及以上）</w:t>
      </w:r>
      <w:bookmarkEnd w:id="60"/>
      <w:bookmarkEnd w:id="61"/>
    </w:p>
    <w:p w14:paraId="5E018D62">
      <w:pPr>
        <w:pStyle w:val="56"/>
        <w:ind w:firstLine="420"/>
        <w:rPr>
          <w:rFonts w:hint="eastAsia"/>
          <w:lang w:val="en-US" w:eastAsia="zh-CN"/>
        </w:rPr>
      </w:pPr>
      <w:r>
        <w:rPr>
          <w:rFonts w:hint="eastAsia"/>
          <w:lang w:val="en-US" w:eastAsia="zh-CN"/>
        </w:rPr>
        <w:t>躯体症状：疲乏无力、腰膝酸软、头晕耳鸣、失眠多梦、健忘、肢体麻木、肌肉酸痛、胸闷气短、食欲不振、腹胀便溏或便秘、性功能减退、易于感冒等。</w:t>
      </w:r>
    </w:p>
    <w:p w14:paraId="31AC530C">
      <w:pPr>
        <w:pStyle w:val="56"/>
        <w:ind w:firstLine="420"/>
        <w:rPr>
          <w:rFonts w:hint="eastAsia"/>
          <w:lang w:val="en-US" w:eastAsia="zh-CN"/>
        </w:rPr>
      </w:pPr>
      <w:r>
        <w:rPr>
          <w:rFonts w:hint="eastAsia"/>
          <w:lang w:val="en-US" w:eastAsia="zh-CN"/>
        </w:rPr>
        <w:t>心理症状：情绪低落、烦躁易怒、焦虑不安、多疑善虑、注意力不集中、精神萎靡等。</w:t>
      </w:r>
    </w:p>
    <w:p w14:paraId="387EDDFC">
      <w:pPr>
        <w:pStyle w:val="56"/>
        <w:ind w:firstLine="420"/>
        <w:rPr>
          <w:rFonts w:hint="eastAsia"/>
          <w:lang w:val="en-US" w:eastAsia="zh-CN"/>
        </w:rPr>
      </w:pPr>
      <w:r>
        <w:rPr>
          <w:rFonts w:hint="eastAsia"/>
          <w:lang w:val="en-US" w:eastAsia="zh-CN"/>
        </w:rPr>
        <w:t>社会适应症状：适应能力下降、工作效率降低、人际关系紧张、孤独感明显等。</w:t>
      </w:r>
    </w:p>
    <w:p w14:paraId="0EDD5BA0">
      <w:pPr>
        <w:pStyle w:val="65"/>
        <w:numPr>
          <w:ilvl w:val="3"/>
          <w:numId w:val="0"/>
        </w:numPr>
        <w:spacing w:before="120" w:after="120"/>
        <w:ind w:leftChars="0"/>
        <w:rPr>
          <w:rFonts w:hint="eastAsia"/>
          <w:lang w:val="en-US" w:eastAsia="zh-CN"/>
        </w:rPr>
      </w:pPr>
      <w:bookmarkStart w:id="62" w:name="heading_11"/>
      <w:bookmarkStart w:id="63" w:name="_Toc24870"/>
      <w:r>
        <w:rPr>
          <w:rFonts w:hint="eastAsia"/>
          <w:lang w:val="en-US" w:eastAsia="zh-CN"/>
        </w:rPr>
        <w:t>4.1.2 排除标准</w:t>
      </w:r>
      <w:bookmarkEnd w:id="62"/>
      <w:bookmarkEnd w:id="63"/>
    </w:p>
    <w:p w14:paraId="79E769C5">
      <w:pPr>
        <w:pStyle w:val="56"/>
        <w:ind w:firstLine="420"/>
        <w:rPr>
          <w:rFonts w:hint="eastAsia"/>
          <w:lang w:val="en-US" w:eastAsia="zh-CN"/>
        </w:rPr>
      </w:pPr>
      <w:r>
        <w:rPr>
          <w:rFonts w:hint="eastAsia"/>
          <w:lang w:val="en-US" w:eastAsia="zh-CN"/>
        </w:rPr>
        <w:t>经现代医学检查（如血常规、肝肾功能、心电图、影像学检查等），排除器质性疾病、精神心理疾病、传染病等明确疾病；排除妊娠、哺乳期女性，以及严重肝肾功能不全、过敏体质等特殊人群。</w:t>
      </w:r>
    </w:p>
    <w:p w14:paraId="381D4D3E">
      <w:pPr>
        <w:pStyle w:val="65"/>
        <w:numPr>
          <w:ilvl w:val="3"/>
          <w:numId w:val="0"/>
        </w:numPr>
        <w:spacing w:before="120" w:after="120"/>
        <w:ind w:leftChars="0"/>
        <w:rPr>
          <w:rFonts w:hint="eastAsia"/>
          <w:lang w:val="en-US" w:eastAsia="zh-CN"/>
        </w:rPr>
      </w:pPr>
      <w:bookmarkStart w:id="64" w:name="_Toc31936"/>
      <w:bookmarkStart w:id="65" w:name="heading_12"/>
      <w:r>
        <w:rPr>
          <w:rFonts w:hint="eastAsia"/>
          <w:lang w:val="en-US" w:eastAsia="zh-CN"/>
        </w:rPr>
        <w:t>4.1.3 中医辨证依据</w:t>
      </w:r>
      <w:bookmarkEnd w:id="64"/>
      <w:bookmarkEnd w:id="65"/>
    </w:p>
    <w:p w14:paraId="315B8CEA">
      <w:pPr>
        <w:pStyle w:val="56"/>
        <w:ind w:firstLine="420"/>
        <w:rPr>
          <w:rFonts w:hint="eastAsia"/>
          <w:lang w:val="en-US" w:eastAsia="zh-CN"/>
        </w:rPr>
      </w:pPr>
      <w:r>
        <w:rPr>
          <w:rFonts w:hint="eastAsia"/>
          <w:lang w:val="en-US" w:eastAsia="zh-CN"/>
        </w:rPr>
        <w:t>以脏腑辨证为核心，结合舌象、脉象及症状表现，明确辨证分型，重点关注心、脾、肝、肾等脏腑功能失调及气血阴阳失衡的表现，结合中年人群脏腑衰退、气血亏虚的生理特点，精准判断证候类型。</w:t>
      </w:r>
    </w:p>
    <w:p w14:paraId="67265D0E">
      <w:pPr>
        <w:pStyle w:val="65"/>
        <w:numPr>
          <w:ilvl w:val="3"/>
          <w:numId w:val="0"/>
        </w:numPr>
        <w:spacing w:before="120" w:after="120"/>
        <w:ind w:leftChars="0"/>
        <w:rPr>
          <w:rFonts w:hint="eastAsia"/>
          <w:lang w:val="en-US" w:eastAsia="zh-CN"/>
        </w:rPr>
      </w:pPr>
      <w:bookmarkStart w:id="66" w:name="heading_13"/>
      <w:bookmarkStart w:id="67" w:name="_Toc5391"/>
      <w:r>
        <w:rPr>
          <w:rFonts w:hint="eastAsia"/>
        </w:rPr>
        <w:t>4.2 辨证分型标准</w:t>
      </w:r>
      <w:bookmarkEnd w:id="66"/>
      <w:bookmarkEnd w:id="67"/>
    </w:p>
    <w:p w14:paraId="7F05B679">
      <w:pPr>
        <w:pStyle w:val="56"/>
        <w:ind w:firstLine="420"/>
        <w:rPr>
          <w:rFonts w:hint="eastAsia"/>
          <w:lang w:val="en-US" w:eastAsia="zh-CN"/>
        </w:rPr>
      </w:pPr>
      <w:r>
        <w:rPr>
          <w:rFonts w:hint="eastAsia"/>
          <w:lang w:val="en-US" w:eastAsia="zh-CN"/>
        </w:rPr>
        <w:t>参考《中医临床诊疗术语·证候部分》，结合中年亚健康核心病机（脏腑功能衰退、气血阴阳失衡、情志失调、饮食不节、劳逸失度），针对中年人群高发证候，制定以下辨证分型标准，替代原有体质分型，贴合临床辨证实际。</w:t>
      </w:r>
    </w:p>
    <w:p w14:paraId="09186477">
      <w:pPr>
        <w:pStyle w:val="65"/>
        <w:numPr>
          <w:ilvl w:val="3"/>
          <w:numId w:val="0"/>
        </w:numPr>
        <w:spacing w:before="120" w:after="120"/>
        <w:ind w:leftChars="0"/>
        <w:rPr>
          <w:rFonts w:hint="eastAsia"/>
          <w:lang w:val="en-US" w:eastAsia="zh-CN"/>
        </w:rPr>
      </w:pPr>
      <w:bookmarkStart w:id="68" w:name="heading_14"/>
      <w:bookmarkStart w:id="69" w:name="_Toc16762"/>
      <w:r>
        <w:rPr>
          <w:rFonts w:hint="eastAsia"/>
          <w:lang w:val="en-US" w:eastAsia="zh-CN"/>
        </w:rPr>
        <w:t>4.2.1 心脾两虚证</w:t>
      </w:r>
      <w:bookmarkEnd w:id="68"/>
      <w:bookmarkEnd w:id="69"/>
    </w:p>
    <w:p w14:paraId="2A5E4545">
      <w:pPr>
        <w:pStyle w:val="56"/>
        <w:ind w:firstLine="420"/>
        <w:rPr>
          <w:rFonts w:hint="eastAsia"/>
          <w:lang w:val="en-US" w:eastAsia="zh-CN"/>
        </w:rPr>
      </w:pPr>
      <w:r>
        <w:rPr>
          <w:rFonts w:hint="eastAsia"/>
          <w:lang w:val="en-US" w:eastAsia="zh-CN"/>
        </w:rPr>
        <w:t>核心病机：中年人群长期劳累、思虑过度，耗伤心脾之气，气血生化不足，心神失养。</w:t>
      </w:r>
    </w:p>
    <w:p w14:paraId="4E527BD4">
      <w:pPr>
        <w:pStyle w:val="56"/>
        <w:ind w:firstLine="420"/>
        <w:rPr>
          <w:rFonts w:hint="eastAsia"/>
          <w:lang w:val="en-US" w:eastAsia="zh-CN"/>
        </w:rPr>
      </w:pPr>
      <w:r>
        <w:rPr>
          <w:rFonts w:hint="eastAsia"/>
          <w:lang w:val="en-US" w:eastAsia="zh-CN"/>
        </w:rPr>
        <w:t>主症：疲乏无力、少气懒言、心悸健忘、失眠多梦、食欲不振、腹胀便溏；次症：面色萎黄、头晕眼花、自汗、神疲乏力、月经量少（女性）、舌质淡、苔薄白、脉细弱。</w:t>
      </w:r>
    </w:p>
    <w:p w14:paraId="54994D0D">
      <w:pPr>
        <w:pStyle w:val="56"/>
        <w:ind w:firstLine="420"/>
        <w:rPr>
          <w:rFonts w:hint="eastAsia"/>
          <w:lang w:val="en-US" w:eastAsia="zh-CN"/>
        </w:rPr>
      </w:pPr>
      <w:r>
        <w:rPr>
          <w:rFonts w:hint="eastAsia"/>
          <w:lang w:val="en-US" w:eastAsia="zh-CN"/>
        </w:rPr>
        <w:t>常见诱因：长期熬夜、脑力劳动过度、饮食不规律、思虑过多、精神压力大。</w:t>
      </w:r>
    </w:p>
    <w:p w14:paraId="2AA17AAA">
      <w:pPr>
        <w:pStyle w:val="65"/>
        <w:numPr>
          <w:ilvl w:val="3"/>
          <w:numId w:val="0"/>
        </w:numPr>
        <w:spacing w:before="120" w:after="120"/>
        <w:ind w:leftChars="0"/>
        <w:rPr>
          <w:rFonts w:hint="eastAsia"/>
          <w:lang w:val="en-US" w:eastAsia="zh-CN"/>
        </w:rPr>
      </w:pPr>
      <w:bookmarkStart w:id="70" w:name="heading_15"/>
      <w:bookmarkStart w:id="71" w:name="_Toc30759"/>
      <w:r>
        <w:rPr>
          <w:rFonts w:hint="eastAsia"/>
          <w:lang w:val="en-US" w:eastAsia="zh-CN"/>
        </w:rPr>
        <w:t>4.2.2 肝肾阴虚证</w:t>
      </w:r>
      <w:bookmarkEnd w:id="70"/>
      <w:bookmarkEnd w:id="71"/>
    </w:p>
    <w:p w14:paraId="36AFE134">
      <w:pPr>
        <w:pStyle w:val="56"/>
        <w:ind w:firstLine="420"/>
        <w:rPr>
          <w:rFonts w:hint="eastAsia"/>
          <w:lang w:val="en-US" w:eastAsia="zh-CN"/>
        </w:rPr>
      </w:pPr>
      <w:r>
        <w:rPr>
          <w:rFonts w:hint="eastAsia"/>
          <w:lang w:val="en-US" w:eastAsia="zh-CN"/>
        </w:rPr>
        <w:t>核心病机：中年人群肝肾功能渐衰，加之熬夜、劳累、久病耗伤阴液，肝肾阴虚、虚火内生。</w:t>
      </w:r>
    </w:p>
    <w:p w14:paraId="34816973">
      <w:pPr>
        <w:pStyle w:val="56"/>
        <w:ind w:firstLine="420"/>
        <w:rPr>
          <w:rFonts w:hint="eastAsia"/>
          <w:lang w:val="en-US" w:eastAsia="zh-CN"/>
        </w:rPr>
      </w:pPr>
      <w:r>
        <w:rPr>
          <w:rFonts w:hint="eastAsia"/>
          <w:lang w:val="en-US" w:eastAsia="zh-CN"/>
        </w:rPr>
        <w:t>主症：头晕耳鸣、腰膝酸软、手足心热、潮热盗汗、口干咽燥、失眠多梦；次症：视物模糊、健忘、脱发、耳鸣耳聋、急躁易怒、舌红少苔或无苔、脉细数。</w:t>
      </w:r>
    </w:p>
    <w:p w14:paraId="76C40F5D">
      <w:pPr>
        <w:pStyle w:val="56"/>
        <w:ind w:firstLine="420"/>
        <w:rPr>
          <w:rFonts w:hint="eastAsia"/>
          <w:lang w:val="en-US" w:eastAsia="zh-CN"/>
        </w:rPr>
      </w:pPr>
      <w:r>
        <w:rPr>
          <w:rFonts w:hint="eastAsia"/>
          <w:lang w:val="en-US" w:eastAsia="zh-CN"/>
        </w:rPr>
        <w:t>常见诱因：长期熬夜、过度劳累、房事不节、饮食辛辣燥热、情志失调。</w:t>
      </w:r>
    </w:p>
    <w:p w14:paraId="0B686C5F">
      <w:pPr>
        <w:pStyle w:val="65"/>
        <w:numPr>
          <w:ilvl w:val="3"/>
          <w:numId w:val="0"/>
        </w:numPr>
        <w:spacing w:before="120" w:after="120"/>
        <w:ind w:leftChars="0"/>
        <w:rPr>
          <w:rFonts w:hint="eastAsia"/>
          <w:lang w:val="en-US" w:eastAsia="zh-CN"/>
        </w:rPr>
      </w:pPr>
      <w:bookmarkStart w:id="72" w:name="heading_16"/>
      <w:bookmarkStart w:id="73" w:name="_Toc3207"/>
      <w:r>
        <w:rPr>
          <w:rFonts w:hint="eastAsia"/>
          <w:lang w:val="en-US" w:eastAsia="zh-CN"/>
        </w:rPr>
        <w:t>4.2.3 脾肾阳虚证</w:t>
      </w:r>
      <w:bookmarkEnd w:id="72"/>
      <w:bookmarkEnd w:id="73"/>
    </w:p>
    <w:p w14:paraId="4B69EBA3">
      <w:pPr>
        <w:pStyle w:val="56"/>
        <w:ind w:firstLine="420"/>
        <w:rPr>
          <w:rFonts w:hint="eastAsia"/>
          <w:lang w:val="en-US" w:eastAsia="zh-CN"/>
        </w:rPr>
      </w:pPr>
      <w:r>
        <w:rPr>
          <w:rFonts w:hint="eastAsia"/>
          <w:lang w:val="en-US" w:eastAsia="zh-CN"/>
        </w:rPr>
        <w:t>核心病机：中年人群脾肾功能衰退，加之饮食寒凉、劳累过度、外感寒邪，导致脾肾阳虚、温煦失职。</w:t>
      </w:r>
    </w:p>
    <w:p w14:paraId="5BABFA2A">
      <w:pPr>
        <w:pStyle w:val="56"/>
        <w:ind w:firstLine="420"/>
        <w:rPr>
          <w:rFonts w:hint="eastAsia"/>
          <w:lang w:val="en-US" w:eastAsia="zh-CN"/>
        </w:rPr>
      </w:pPr>
      <w:r>
        <w:rPr>
          <w:rFonts w:hint="eastAsia"/>
          <w:lang w:val="en-US" w:eastAsia="zh-CN"/>
        </w:rPr>
        <w:t>主症：畏寒怕冷、四肢不温、腰膝冷痛、食欲不振、腹胀便溏、夜尿频多；次症：精神不振、面色苍白、小便清长、肢体浮肿、舌淡胖、边有齿痕、苔白腻、脉沉迟。</w:t>
      </w:r>
    </w:p>
    <w:p w14:paraId="59DED416">
      <w:pPr>
        <w:pStyle w:val="56"/>
        <w:ind w:firstLine="420"/>
        <w:rPr>
          <w:rFonts w:hint="eastAsia"/>
          <w:lang w:val="en-US" w:eastAsia="zh-CN"/>
        </w:rPr>
      </w:pPr>
      <w:r>
        <w:rPr>
          <w:rFonts w:hint="eastAsia"/>
          <w:lang w:val="en-US" w:eastAsia="zh-CN"/>
        </w:rPr>
        <w:t>常见诱因：饮食生冷寒凉、长期处于寒冷环境、过度劳累、房事不节。</w:t>
      </w:r>
    </w:p>
    <w:p w14:paraId="16993051">
      <w:pPr>
        <w:pStyle w:val="65"/>
        <w:numPr>
          <w:ilvl w:val="3"/>
          <w:numId w:val="0"/>
        </w:numPr>
        <w:spacing w:before="120" w:after="120"/>
        <w:ind w:leftChars="0"/>
        <w:rPr>
          <w:rFonts w:hint="eastAsia"/>
          <w:lang w:val="en-US" w:eastAsia="zh-CN"/>
        </w:rPr>
      </w:pPr>
      <w:bookmarkStart w:id="74" w:name="heading_17"/>
      <w:bookmarkStart w:id="75" w:name="_Toc8607"/>
      <w:r>
        <w:rPr>
          <w:rFonts w:hint="eastAsia"/>
          <w:lang w:val="en-US" w:eastAsia="zh-CN"/>
        </w:rPr>
        <w:t>4.2.4 痰湿内阻证</w:t>
      </w:r>
      <w:bookmarkEnd w:id="74"/>
      <w:bookmarkEnd w:id="75"/>
    </w:p>
    <w:p w14:paraId="7A405F1C">
      <w:pPr>
        <w:pStyle w:val="56"/>
        <w:ind w:firstLine="420"/>
        <w:rPr>
          <w:rFonts w:hint="eastAsia"/>
          <w:lang w:val="en-US" w:eastAsia="zh-CN"/>
        </w:rPr>
      </w:pPr>
      <w:r>
        <w:rPr>
          <w:rFonts w:hint="eastAsia"/>
          <w:lang w:val="en-US" w:eastAsia="zh-CN"/>
        </w:rPr>
        <w:t>核心病机：中年人群脾胃功能减弱，运化失常，水湿内停、聚湿成痰，痰湿阻滞经络、气机不畅。</w:t>
      </w:r>
    </w:p>
    <w:p w14:paraId="36E0E525">
      <w:pPr>
        <w:pStyle w:val="56"/>
        <w:ind w:firstLine="420"/>
        <w:rPr>
          <w:rFonts w:hint="eastAsia"/>
          <w:lang w:val="en-US" w:eastAsia="zh-CN"/>
        </w:rPr>
      </w:pPr>
      <w:r>
        <w:rPr>
          <w:rFonts w:hint="eastAsia"/>
          <w:lang w:val="en-US" w:eastAsia="zh-CN"/>
        </w:rPr>
        <w:t>主症：身体困重、胸闷腹胀、痰多黏稠、食欲不振、大便溏黏；次症：体型肥胖、肢体沉重、头晕头重、舌苔白腻、脉滑。</w:t>
      </w:r>
    </w:p>
    <w:p w14:paraId="38BA3A17">
      <w:pPr>
        <w:pStyle w:val="56"/>
        <w:ind w:firstLine="420"/>
        <w:rPr>
          <w:rFonts w:hint="eastAsia"/>
          <w:lang w:val="en-US" w:eastAsia="zh-CN"/>
        </w:rPr>
      </w:pPr>
      <w:r>
        <w:rPr>
          <w:rFonts w:hint="eastAsia"/>
          <w:lang w:val="en-US" w:eastAsia="zh-CN"/>
        </w:rPr>
        <w:t>常见诱因：饮食肥甘厚味、久坐少动、饮酒过量、居住环境潮湿。</w:t>
      </w:r>
    </w:p>
    <w:p w14:paraId="0C72F57B">
      <w:pPr>
        <w:pStyle w:val="65"/>
        <w:numPr>
          <w:ilvl w:val="3"/>
          <w:numId w:val="0"/>
        </w:numPr>
        <w:spacing w:before="120" w:after="120"/>
        <w:ind w:leftChars="0"/>
        <w:rPr>
          <w:rFonts w:hint="eastAsia"/>
          <w:lang w:val="en-US" w:eastAsia="zh-CN"/>
        </w:rPr>
      </w:pPr>
      <w:bookmarkStart w:id="76" w:name="_Toc14688"/>
      <w:bookmarkStart w:id="77" w:name="heading_18"/>
      <w:r>
        <w:rPr>
          <w:rFonts w:hint="eastAsia"/>
          <w:lang w:val="en-US" w:eastAsia="zh-CN"/>
        </w:rPr>
        <w:t>4.2.5 肝郁脾虚证</w:t>
      </w:r>
      <w:bookmarkEnd w:id="76"/>
      <w:bookmarkEnd w:id="77"/>
    </w:p>
    <w:p w14:paraId="54696AF2">
      <w:pPr>
        <w:pStyle w:val="56"/>
        <w:ind w:firstLine="420"/>
        <w:rPr>
          <w:rFonts w:hint="eastAsia"/>
          <w:lang w:val="en-US" w:eastAsia="zh-CN"/>
        </w:rPr>
      </w:pPr>
      <w:r>
        <w:rPr>
          <w:rFonts w:hint="eastAsia"/>
          <w:lang w:val="en-US" w:eastAsia="zh-CN"/>
        </w:rPr>
        <w:t>核心病机：中年人群压力过大、情绪失调，导致肝气郁结，横逆犯脾，脾失健运，气血失调。</w:t>
      </w:r>
    </w:p>
    <w:p w14:paraId="48DAE6FD">
      <w:pPr>
        <w:pStyle w:val="56"/>
        <w:ind w:firstLine="420"/>
        <w:rPr>
          <w:rFonts w:hint="eastAsia"/>
          <w:lang w:val="en-US" w:eastAsia="zh-CN"/>
        </w:rPr>
      </w:pPr>
      <w:r>
        <w:rPr>
          <w:rFonts w:hint="eastAsia"/>
          <w:lang w:val="en-US" w:eastAsia="zh-CN"/>
        </w:rPr>
        <w:t>主症：情绪低落、烦躁易怒、胸闷叹气、食欲不振、腹胀便溏、胁肋胀痛；次症：失眠多梦、健忘、头晕目眩、肢体乏力、舌淡红、苔薄白、脉弦。</w:t>
      </w:r>
    </w:p>
    <w:p w14:paraId="277E08A0">
      <w:pPr>
        <w:pStyle w:val="56"/>
        <w:ind w:firstLine="420"/>
        <w:rPr>
          <w:rFonts w:hint="eastAsia"/>
          <w:lang w:val="en-US" w:eastAsia="zh-CN"/>
        </w:rPr>
      </w:pPr>
      <w:r>
        <w:rPr>
          <w:rFonts w:hint="eastAsia"/>
          <w:lang w:val="en-US" w:eastAsia="zh-CN"/>
        </w:rPr>
        <w:t>常见诱因：工作压力大、情志压抑、人际关系紧张、饮食不规律。</w:t>
      </w:r>
    </w:p>
    <w:p w14:paraId="2E5ABCF8">
      <w:pPr>
        <w:pStyle w:val="65"/>
        <w:numPr>
          <w:ilvl w:val="3"/>
          <w:numId w:val="0"/>
        </w:numPr>
        <w:spacing w:before="120" w:after="120"/>
        <w:ind w:leftChars="0"/>
        <w:rPr>
          <w:rFonts w:hint="eastAsia"/>
          <w:lang w:val="en-US" w:eastAsia="zh-CN"/>
        </w:rPr>
      </w:pPr>
      <w:bookmarkStart w:id="78" w:name="_Toc17393"/>
      <w:bookmarkStart w:id="79" w:name="heading_19"/>
      <w:r>
        <w:rPr>
          <w:rFonts w:hint="eastAsia"/>
          <w:lang w:val="en-US" w:eastAsia="zh-CN"/>
        </w:rPr>
        <w:t>4.2.6 气滞血瘀证</w:t>
      </w:r>
      <w:bookmarkEnd w:id="78"/>
      <w:bookmarkEnd w:id="79"/>
    </w:p>
    <w:p w14:paraId="20A65577">
      <w:pPr>
        <w:pStyle w:val="56"/>
        <w:ind w:firstLine="420"/>
        <w:rPr>
          <w:rFonts w:hint="eastAsia"/>
          <w:lang w:val="en-US" w:eastAsia="zh-CN"/>
        </w:rPr>
      </w:pPr>
      <w:r>
        <w:rPr>
          <w:rFonts w:hint="eastAsia"/>
          <w:lang w:val="en-US" w:eastAsia="zh-CN"/>
        </w:rPr>
        <w:t>核心病机：中年人群情志失调、劳累过度，导致气机郁滞，气血运行不畅，瘀血内阻。</w:t>
      </w:r>
    </w:p>
    <w:p w14:paraId="554FD7A8">
      <w:pPr>
        <w:pStyle w:val="56"/>
        <w:ind w:firstLine="420"/>
        <w:rPr>
          <w:rFonts w:hint="eastAsia"/>
          <w:lang w:val="en-US" w:eastAsia="zh-CN"/>
        </w:rPr>
      </w:pPr>
      <w:r>
        <w:rPr>
          <w:rFonts w:hint="eastAsia"/>
          <w:lang w:val="en-US" w:eastAsia="zh-CN"/>
        </w:rPr>
        <w:t>主症：肢体麻木、疼痛固定不移、胸闷刺痛、面色晦暗；次症：头晕头痛、口唇紫暗、健忘、情绪不畅、舌紫暗或有瘀斑瘀点、脉涩。</w:t>
      </w:r>
    </w:p>
    <w:p w14:paraId="1EFDC8AE">
      <w:pPr>
        <w:pStyle w:val="56"/>
        <w:ind w:firstLine="420"/>
        <w:rPr>
          <w:rFonts w:hint="eastAsia"/>
          <w:lang w:val="en-US" w:eastAsia="zh-CN"/>
        </w:rPr>
      </w:pPr>
      <w:r>
        <w:rPr>
          <w:rFonts w:hint="eastAsia"/>
          <w:lang w:val="en-US" w:eastAsia="zh-CN"/>
        </w:rPr>
        <w:t>常见诱因：情绪压抑、久坐久站、劳累过度、久病不愈。</w:t>
      </w:r>
    </w:p>
    <w:p w14:paraId="5BCBE4DE">
      <w:pPr>
        <w:pStyle w:val="65"/>
        <w:numPr>
          <w:ilvl w:val="3"/>
          <w:numId w:val="0"/>
        </w:numPr>
        <w:spacing w:before="120" w:after="120"/>
        <w:ind w:leftChars="0"/>
        <w:rPr>
          <w:rFonts w:hint="eastAsia"/>
          <w:lang w:val="en-US" w:eastAsia="zh-CN"/>
        </w:rPr>
      </w:pPr>
      <w:bookmarkStart w:id="80" w:name="_Toc27120"/>
      <w:bookmarkStart w:id="81" w:name="heading_20"/>
      <w:r>
        <w:rPr>
          <w:rFonts w:hint="eastAsia"/>
          <w:lang w:val="en-US" w:eastAsia="zh-CN"/>
        </w:rPr>
        <w:t>4.2.7 湿热内蕴证</w:t>
      </w:r>
      <w:bookmarkEnd w:id="80"/>
      <w:bookmarkEnd w:id="81"/>
    </w:p>
    <w:p w14:paraId="4F0939AB">
      <w:pPr>
        <w:pStyle w:val="56"/>
        <w:ind w:firstLine="420"/>
        <w:rPr>
          <w:rFonts w:hint="eastAsia"/>
          <w:lang w:val="en-US" w:eastAsia="zh-CN"/>
        </w:rPr>
      </w:pPr>
      <w:r>
        <w:rPr>
          <w:rFonts w:hint="eastAsia"/>
          <w:lang w:val="en-US" w:eastAsia="zh-CN"/>
        </w:rPr>
        <w:t>核心病机：中年人群饮食辛辣油腻、饮酒过量，导致湿热内生，阻滞脾胃、经络，气机不畅。</w:t>
      </w:r>
    </w:p>
    <w:p w14:paraId="6B8846BC">
      <w:pPr>
        <w:pStyle w:val="56"/>
        <w:ind w:firstLine="420"/>
        <w:rPr>
          <w:rFonts w:hint="eastAsia"/>
          <w:lang w:val="en-US" w:eastAsia="zh-CN"/>
        </w:rPr>
      </w:pPr>
      <w:r>
        <w:rPr>
          <w:rFonts w:hint="eastAsia"/>
          <w:lang w:val="en-US" w:eastAsia="zh-CN"/>
        </w:rPr>
        <w:t>主症：口苦口黏、胸腹胀满、大便黏腻不爽、皮肤油腻；次症：痤疮、小便短黄、肢体困重、舌红苔黄腻、脉滑数。</w:t>
      </w:r>
    </w:p>
    <w:p w14:paraId="637629A6">
      <w:pPr>
        <w:pStyle w:val="56"/>
        <w:ind w:firstLine="420"/>
        <w:rPr>
          <w:rFonts w:hint="eastAsia"/>
          <w:lang w:val="en-US" w:eastAsia="zh-CN"/>
        </w:rPr>
      </w:pPr>
      <w:r>
        <w:rPr>
          <w:rFonts w:hint="eastAsia"/>
          <w:lang w:val="en-US" w:eastAsia="zh-CN"/>
        </w:rPr>
        <w:t>常见诱因：饮食辛辣油腻、饮酒过量、居住环境潮湿闷热、熬夜。</w:t>
      </w:r>
    </w:p>
    <w:p w14:paraId="0C3B1E5C">
      <w:pPr>
        <w:pStyle w:val="65"/>
        <w:numPr>
          <w:ilvl w:val="3"/>
          <w:numId w:val="0"/>
        </w:numPr>
        <w:spacing w:before="120" w:after="120"/>
        <w:ind w:leftChars="0"/>
        <w:rPr>
          <w:rFonts w:hint="eastAsia"/>
          <w:lang w:val="en-US" w:eastAsia="zh-CN"/>
        </w:rPr>
      </w:pPr>
      <w:bookmarkStart w:id="82" w:name="_Toc13648"/>
      <w:r>
        <w:rPr>
          <w:rFonts w:hint="eastAsia"/>
          <w:lang w:val="en-US" w:eastAsia="zh-CN"/>
        </w:rPr>
        <w:t>4.2.8  肝郁化火证</w:t>
      </w:r>
      <w:bookmarkEnd w:id="82"/>
    </w:p>
    <w:p w14:paraId="4B8C13C5">
      <w:pPr>
        <w:pStyle w:val="56"/>
        <w:ind w:firstLine="420"/>
        <w:rPr>
          <w:rFonts w:hint="eastAsia"/>
          <w:lang w:val="en-US" w:eastAsia="zh-CN"/>
        </w:rPr>
      </w:pPr>
      <w:r>
        <w:rPr>
          <w:rFonts w:hint="eastAsia"/>
          <w:lang w:val="en-US" w:eastAsia="zh-CN"/>
        </w:rPr>
        <w:t>核心病机：中年人群情志不遂，肝郁日久，气郁化火，灼伤津液，扰乱气机。</w:t>
      </w:r>
    </w:p>
    <w:p w14:paraId="24E1F5C4">
      <w:pPr>
        <w:pStyle w:val="56"/>
        <w:ind w:firstLine="420"/>
        <w:rPr>
          <w:rFonts w:hint="eastAsia"/>
          <w:lang w:val="en-US" w:eastAsia="zh-CN"/>
        </w:rPr>
      </w:pPr>
      <w:r>
        <w:rPr>
          <w:rFonts w:hint="eastAsia"/>
          <w:lang w:val="en-US" w:eastAsia="zh-CN"/>
        </w:rPr>
        <w:t>主症：头晕胀痛、面红目赤、急躁易怒、口苦口干；次症：胸胁灼痛、耳鸣失眠、大便秘结、小便短赤、舌红苔黄、脉弦数。</w:t>
      </w:r>
    </w:p>
    <w:p w14:paraId="705A4211">
      <w:pPr>
        <w:pStyle w:val="56"/>
        <w:ind w:firstLine="420"/>
        <w:rPr>
          <w:rFonts w:hint="eastAsia"/>
          <w:lang w:val="en-US" w:eastAsia="zh-CN"/>
        </w:rPr>
      </w:pPr>
      <w:r>
        <w:rPr>
          <w:rFonts w:hint="eastAsia"/>
          <w:lang w:val="en-US" w:eastAsia="zh-CN"/>
        </w:rPr>
        <w:t>常见诱因：情志刺激、长期抑郁恼怒、过食辛温燥烈之品、烟酒过度。</w:t>
      </w:r>
    </w:p>
    <w:p w14:paraId="2A363B7D">
      <w:pPr>
        <w:pStyle w:val="65"/>
        <w:numPr>
          <w:ilvl w:val="3"/>
          <w:numId w:val="0"/>
        </w:numPr>
        <w:spacing w:before="120" w:after="120"/>
        <w:ind w:leftChars="0"/>
        <w:rPr>
          <w:rFonts w:hint="eastAsia"/>
          <w:lang w:val="en-US" w:eastAsia="zh-CN"/>
        </w:rPr>
      </w:pPr>
      <w:bookmarkStart w:id="83" w:name="_Toc12231"/>
      <w:r>
        <w:rPr>
          <w:rFonts w:hint="eastAsia"/>
          <w:lang w:val="en-US" w:eastAsia="zh-CN"/>
        </w:rPr>
        <w:t>4.2.9 心肾不交证</w:t>
      </w:r>
      <w:bookmarkEnd w:id="83"/>
    </w:p>
    <w:p w14:paraId="6DFFC251">
      <w:pPr>
        <w:pStyle w:val="56"/>
        <w:ind w:firstLine="420"/>
        <w:rPr>
          <w:rFonts w:hint="eastAsia"/>
          <w:lang w:val="en-US" w:eastAsia="zh-CN"/>
        </w:rPr>
      </w:pPr>
      <w:r>
        <w:rPr>
          <w:rFonts w:hint="eastAsia"/>
          <w:lang w:val="en-US" w:eastAsia="zh-CN"/>
        </w:rPr>
        <w:t>核心病机：中年人群操劳过度、耗伤精血，肾阴亏虚，不能上济于心，心火偏亢，失于宁谧。</w:t>
      </w:r>
    </w:p>
    <w:p w14:paraId="355C0CF7">
      <w:pPr>
        <w:pStyle w:val="56"/>
        <w:ind w:firstLine="420"/>
        <w:rPr>
          <w:rFonts w:hint="eastAsia"/>
          <w:lang w:val="en-US" w:eastAsia="zh-CN"/>
        </w:rPr>
      </w:pPr>
      <w:r>
        <w:rPr>
          <w:rFonts w:hint="eastAsia"/>
          <w:lang w:val="en-US" w:eastAsia="zh-CN"/>
        </w:rPr>
        <w:t>主症：心烦失眠、心悸多梦、腰膝酸软、潮热盗汗；次症：头晕耳鸣、五心烦热、咽干口燥、舌红少苔、脉细数。</w:t>
      </w:r>
    </w:p>
    <w:p w14:paraId="085F9EA5">
      <w:pPr>
        <w:pStyle w:val="56"/>
        <w:ind w:firstLine="420"/>
        <w:rPr>
          <w:rFonts w:hint="eastAsia"/>
          <w:lang w:val="en-US" w:eastAsia="zh-CN"/>
        </w:rPr>
      </w:pPr>
      <w:r>
        <w:rPr>
          <w:rFonts w:hint="eastAsia"/>
          <w:lang w:val="en-US" w:eastAsia="zh-CN"/>
        </w:rPr>
        <w:t>常见诱因：长期熬夜、劳心耗神、房事不节、久病阴亏。</w:t>
      </w:r>
    </w:p>
    <w:p w14:paraId="6DF9F218">
      <w:pPr>
        <w:pStyle w:val="65"/>
        <w:numPr>
          <w:ilvl w:val="3"/>
          <w:numId w:val="0"/>
        </w:numPr>
        <w:spacing w:before="120" w:after="120"/>
        <w:ind w:leftChars="0"/>
        <w:rPr>
          <w:rFonts w:hint="eastAsia"/>
          <w:lang w:val="en-US" w:eastAsia="zh-CN"/>
        </w:rPr>
      </w:pPr>
      <w:bookmarkStart w:id="84" w:name="_Toc11404"/>
      <w:r>
        <w:rPr>
          <w:rFonts w:hint="eastAsia"/>
          <w:lang w:val="en-US" w:eastAsia="zh-CN"/>
        </w:rPr>
        <w:t>4.2.10 肾精不足证</w:t>
      </w:r>
      <w:bookmarkEnd w:id="84"/>
    </w:p>
    <w:p w14:paraId="7506B4FA">
      <w:pPr>
        <w:pStyle w:val="56"/>
        <w:ind w:firstLine="420"/>
        <w:rPr>
          <w:rFonts w:hint="eastAsia"/>
          <w:lang w:val="en-US" w:eastAsia="zh-CN"/>
        </w:rPr>
      </w:pPr>
      <w:r>
        <w:rPr>
          <w:rFonts w:hint="eastAsia"/>
          <w:lang w:val="en-US" w:eastAsia="zh-CN"/>
        </w:rPr>
        <w:t>核心病机：中年人群肾精自然衰减，或久病消耗、纵欲过度，肾精亏虚，不能濡养脏腑筋骨，机体机能减退。</w:t>
      </w:r>
    </w:p>
    <w:p w14:paraId="24A30518">
      <w:pPr>
        <w:pStyle w:val="56"/>
        <w:ind w:firstLine="420"/>
        <w:rPr>
          <w:rFonts w:hint="eastAsia"/>
          <w:lang w:val="en-US" w:eastAsia="zh-CN"/>
        </w:rPr>
      </w:pPr>
      <w:r>
        <w:rPr>
          <w:rFonts w:hint="eastAsia"/>
          <w:lang w:val="en-US" w:eastAsia="zh-CN"/>
        </w:rPr>
        <w:t>主症：腰膝酸软无力、头晕耳鸣、发脱齿摇、记忆力减退；次症：神疲乏力、性欲减退、夜尿增多、舌淡苔白、脉沉细弱。</w:t>
      </w:r>
    </w:p>
    <w:p w14:paraId="2610D4B0">
      <w:pPr>
        <w:pStyle w:val="56"/>
        <w:ind w:firstLine="420"/>
        <w:rPr>
          <w:rFonts w:hint="eastAsia"/>
          <w:lang w:val="en-US" w:eastAsia="zh-CN"/>
        </w:rPr>
      </w:pPr>
      <w:r>
        <w:rPr>
          <w:rFonts w:hint="eastAsia"/>
          <w:lang w:val="en-US" w:eastAsia="zh-CN"/>
        </w:rPr>
        <w:t>常见诱因：操劳过度、房事不节、久病体虚、年龄增长肾精自然衰减。</w:t>
      </w:r>
    </w:p>
    <w:p w14:paraId="021DBBC7">
      <w:pPr>
        <w:pStyle w:val="104"/>
        <w:numPr>
          <w:ilvl w:val="1"/>
          <w:numId w:val="0"/>
        </w:numPr>
        <w:spacing w:before="240" w:after="240"/>
        <w:ind w:leftChars="0"/>
        <w:rPr>
          <w:rFonts w:hint="eastAsia"/>
        </w:rPr>
      </w:pPr>
      <w:bookmarkStart w:id="85" w:name="_Toc11250"/>
      <w:bookmarkStart w:id="86" w:name="heading_21"/>
      <w:r>
        <w:rPr>
          <w:rFonts w:hint="eastAsia"/>
        </w:rPr>
        <w:t>5 中医治未病干预原则</w:t>
      </w:r>
      <w:bookmarkEnd w:id="85"/>
      <w:bookmarkEnd w:id="86"/>
    </w:p>
    <w:p w14:paraId="6FE94070">
      <w:pPr>
        <w:pStyle w:val="65"/>
        <w:numPr>
          <w:ilvl w:val="3"/>
          <w:numId w:val="0"/>
        </w:numPr>
        <w:spacing w:before="120" w:after="120"/>
        <w:ind w:leftChars="0"/>
        <w:rPr>
          <w:rFonts w:hint="eastAsia"/>
          <w:lang w:val="en-US" w:eastAsia="zh-CN"/>
        </w:rPr>
      </w:pPr>
      <w:bookmarkStart w:id="87" w:name="_Toc24080"/>
      <w:bookmarkStart w:id="88" w:name="heading_22"/>
      <w:r>
        <w:rPr>
          <w:rFonts w:hint="eastAsia"/>
          <w:lang w:val="en-US" w:eastAsia="zh-CN"/>
        </w:rPr>
        <w:t>5.1 整体调理，辨证施护</w:t>
      </w:r>
      <w:bookmarkEnd w:id="87"/>
      <w:bookmarkEnd w:id="88"/>
    </w:p>
    <w:p w14:paraId="664A318D">
      <w:pPr>
        <w:pStyle w:val="56"/>
        <w:ind w:firstLine="420"/>
        <w:rPr>
          <w:rFonts w:hint="eastAsia"/>
          <w:lang w:val="en-US" w:eastAsia="zh-CN"/>
        </w:rPr>
      </w:pPr>
      <w:r>
        <w:rPr>
          <w:rFonts w:hint="eastAsia"/>
          <w:lang w:val="en-US" w:eastAsia="zh-CN"/>
        </w:rPr>
        <w:t>遵循中医整体观念，结合中年人群生理特点、生活习惯及辨证分型（心脾两虚等证型），制定个性化干预方案，兼顾躯体、心理、社会适应等多方面，聚焦受损脏腑，实现气血阴阳调和、脏腑功能恢复。</w:t>
      </w:r>
    </w:p>
    <w:p w14:paraId="5E43AC44">
      <w:pPr>
        <w:pStyle w:val="105"/>
        <w:numPr>
          <w:ilvl w:val="2"/>
          <w:numId w:val="0"/>
        </w:numPr>
        <w:spacing w:before="120" w:after="120"/>
        <w:ind w:leftChars="0"/>
        <w:rPr>
          <w:rFonts w:hint="eastAsia"/>
        </w:rPr>
      </w:pPr>
      <w:bookmarkStart w:id="89" w:name="_Toc17015"/>
      <w:bookmarkStart w:id="90" w:name="heading_23"/>
      <w:r>
        <w:rPr>
          <w:rFonts w:hint="eastAsia"/>
        </w:rPr>
        <w:t>5.2 未病先防，重心前移</w:t>
      </w:r>
      <w:bookmarkEnd w:id="89"/>
      <w:bookmarkEnd w:id="90"/>
    </w:p>
    <w:p w14:paraId="28067D9C">
      <w:pPr>
        <w:pStyle w:val="56"/>
        <w:ind w:firstLine="420"/>
        <w:rPr>
          <w:rFonts w:hint="eastAsia"/>
          <w:lang w:val="en-US" w:eastAsia="zh-CN"/>
        </w:rPr>
      </w:pPr>
      <w:r>
        <w:rPr>
          <w:rFonts w:hint="eastAsia"/>
          <w:lang w:val="en-US" w:eastAsia="zh-CN"/>
        </w:rPr>
        <w:t>针对中年亚健康人群的危险因素（如饮食不规律、熬夜、久坐、压力过大等），结合各证型诱因，提前干预，纠正不良生活方式，阻断亚健康向疾病转化，体现“治未病”核心理念。</w:t>
      </w:r>
    </w:p>
    <w:p w14:paraId="0A28A53A">
      <w:pPr>
        <w:pStyle w:val="105"/>
        <w:numPr>
          <w:ilvl w:val="2"/>
          <w:numId w:val="0"/>
        </w:numPr>
        <w:spacing w:before="120" w:after="120"/>
        <w:ind w:leftChars="0"/>
        <w:rPr>
          <w:rFonts w:hint="eastAsia"/>
        </w:rPr>
      </w:pPr>
      <w:bookmarkStart w:id="91" w:name="_Toc16875"/>
      <w:bookmarkStart w:id="92" w:name="heading_24"/>
      <w:r>
        <w:rPr>
          <w:rFonts w:hint="eastAsia"/>
        </w:rPr>
        <w:t>5.3 标本兼顾，扶正祛邪</w:t>
      </w:r>
      <w:bookmarkEnd w:id="91"/>
      <w:bookmarkEnd w:id="92"/>
    </w:p>
    <w:p w14:paraId="0527B059">
      <w:pPr>
        <w:pStyle w:val="56"/>
        <w:ind w:firstLine="420"/>
        <w:rPr>
          <w:rFonts w:hint="eastAsia"/>
          <w:lang w:val="en-US" w:eastAsia="zh-CN"/>
        </w:rPr>
      </w:pPr>
      <w:r>
        <w:rPr>
          <w:rFonts w:hint="eastAsia"/>
          <w:lang w:val="en-US" w:eastAsia="zh-CN"/>
        </w:rPr>
        <w:t>以“扶正”为核心，补益气血、调和脏腑、平衡阴阳，增强机体正气；同时根据痰湿、湿热、血瘀等邪实表现，适当祛邪，针对心脾两虚、肝肾阴虚等虚证侧重扶正，针对痰湿内阻、气滞血瘀等实证侧重祛邪，实现标本兼顾。</w:t>
      </w:r>
    </w:p>
    <w:p w14:paraId="791CF01A">
      <w:pPr>
        <w:pStyle w:val="105"/>
        <w:numPr>
          <w:ilvl w:val="2"/>
          <w:numId w:val="0"/>
        </w:numPr>
        <w:spacing w:before="120" w:after="120"/>
        <w:ind w:leftChars="0"/>
        <w:rPr>
          <w:rFonts w:hint="eastAsia"/>
        </w:rPr>
      </w:pPr>
      <w:bookmarkStart w:id="93" w:name="_Toc9927"/>
      <w:bookmarkStart w:id="94" w:name="heading_25"/>
      <w:r>
        <w:rPr>
          <w:rFonts w:hint="eastAsia"/>
        </w:rPr>
        <w:t>5.4 循序渐进，长期坚持</w:t>
      </w:r>
      <w:bookmarkEnd w:id="93"/>
      <w:bookmarkEnd w:id="94"/>
    </w:p>
    <w:p w14:paraId="2F5D1A8E">
      <w:pPr>
        <w:pStyle w:val="56"/>
        <w:ind w:firstLine="420"/>
        <w:rPr>
          <w:rFonts w:hint="eastAsia"/>
          <w:lang w:val="en-US" w:eastAsia="zh-CN"/>
        </w:rPr>
      </w:pPr>
      <w:r>
        <w:rPr>
          <w:rFonts w:hint="eastAsia"/>
          <w:lang w:val="en-US" w:eastAsia="zh-CN"/>
        </w:rPr>
        <w:t>中年亚健康状态的形成是长期积累的结果，干预过程需循序渐进，避免急于求成，引导人群长期坚持调理，形成健康的生活方式，巩固干预效果。</w:t>
      </w:r>
    </w:p>
    <w:p w14:paraId="7E5F5548">
      <w:pPr>
        <w:pStyle w:val="105"/>
        <w:numPr>
          <w:ilvl w:val="2"/>
          <w:numId w:val="0"/>
        </w:numPr>
        <w:spacing w:before="120" w:after="120"/>
        <w:ind w:leftChars="0"/>
        <w:rPr>
          <w:rFonts w:hint="eastAsia"/>
        </w:rPr>
      </w:pPr>
      <w:bookmarkStart w:id="95" w:name="_Toc21246"/>
      <w:bookmarkStart w:id="96" w:name="heading_26"/>
      <w:r>
        <w:rPr>
          <w:rFonts w:hint="eastAsia"/>
        </w:rPr>
        <w:t>5.5 中西医结合，优势互补</w:t>
      </w:r>
      <w:bookmarkEnd w:id="95"/>
      <w:bookmarkEnd w:id="96"/>
    </w:p>
    <w:p w14:paraId="3024B499">
      <w:pPr>
        <w:pStyle w:val="56"/>
        <w:ind w:firstLine="420"/>
        <w:rPr>
          <w:rFonts w:hint="eastAsia"/>
          <w:lang w:val="en-US" w:eastAsia="zh-CN"/>
        </w:rPr>
      </w:pPr>
      <w:r>
        <w:rPr>
          <w:rFonts w:hint="eastAsia"/>
          <w:lang w:val="en-US" w:eastAsia="zh-CN"/>
        </w:rPr>
        <w:t>结合现代医学对亚健康的认知，排除器质性疾病，运用中医干预方法调理身心，同时借鉴现代健康管理理念，提升干预的科学性和可操作性。</w:t>
      </w:r>
    </w:p>
    <w:p w14:paraId="207527A6">
      <w:pPr>
        <w:pStyle w:val="104"/>
        <w:numPr>
          <w:ilvl w:val="1"/>
          <w:numId w:val="0"/>
        </w:numPr>
        <w:spacing w:before="240" w:after="240"/>
        <w:ind w:leftChars="0"/>
        <w:rPr>
          <w:rFonts w:hint="eastAsia"/>
        </w:rPr>
      </w:pPr>
      <w:bookmarkStart w:id="97" w:name="heading_27"/>
      <w:bookmarkStart w:id="98" w:name="_Toc28834"/>
      <w:r>
        <w:rPr>
          <w:rFonts w:hint="eastAsia"/>
        </w:rPr>
        <w:t>6 中医治未病具体干预方法</w:t>
      </w:r>
      <w:bookmarkEnd w:id="97"/>
      <w:bookmarkEnd w:id="98"/>
    </w:p>
    <w:p w14:paraId="166870C3">
      <w:pPr>
        <w:pStyle w:val="56"/>
        <w:ind w:firstLine="420"/>
        <w:rPr>
          <w:rFonts w:hint="eastAsia"/>
          <w:lang w:val="en-US" w:eastAsia="zh-CN"/>
        </w:rPr>
      </w:pPr>
      <w:r>
        <w:rPr>
          <w:rFonts w:hint="eastAsia"/>
          <w:lang w:val="en-US" w:eastAsia="zh-CN"/>
        </w:rPr>
        <w:t>干预方法以非药物干预为主，药物干预为辅，结合上述辨证分型，综合运用饮食、起居、情志、运动、中医适宜技术及中药调理等方法，实现全方位、针对性干预。</w:t>
      </w:r>
    </w:p>
    <w:p w14:paraId="31267444">
      <w:pPr>
        <w:pStyle w:val="105"/>
        <w:numPr>
          <w:ilvl w:val="2"/>
          <w:numId w:val="0"/>
        </w:numPr>
        <w:spacing w:before="120" w:after="120"/>
        <w:ind w:leftChars="0"/>
        <w:rPr>
          <w:rFonts w:hint="eastAsia"/>
        </w:rPr>
      </w:pPr>
      <w:bookmarkStart w:id="99" w:name="_Toc22731"/>
      <w:bookmarkStart w:id="100" w:name="heading_28"/>
      <w:r>
        <w:rPr>
          <w:rFonts w:hint="eastAsia"/>
        </w:rPr>
        <w:t>6.1 饮食调理</w:t>
      </w:r>
      <w:bookmarkEnd w:id="99"/>
      <w:bookmarkEnd w:id="100"/>
    </w:p>
    <w:p w14:paraId="74C2A02A">
      <w:pPr>
        <w:pStyle w:val="56"/>
        <w:ind w:firstLine="420"/>
        <w:rPr>
          <w:rFonts w:hint="eastAsia"/>
          <w:lang w:val="en-US" w:eastAsia="zh-CN"/>
        </w:rPr>
      </w:pPr>
      <w:r>
        <w:rPr>
          <w:rFonts w:hint="eastAsia"/>
          <w:lang w:val="en-US" w:eastAsia="zh-CN"/>
        </w:rPr>
        <w:t>核心原则：饮食有节、均衡营养、辨证施食，避免过饥过饱、暴饮暴食，少吃辛辣、油腻、寒凉、生冷食物，戒烟限酒，根据各证型病机特点调整饮食结构，重点调理受损脏腑。</w:t>
      </w:r>
    </w:p>
    <w:p w14:paraId="58D6903B">
      <w:pPr>
        <w:pStyle w:val="65"/>
        <w:numPr>
          <w:ilvl w:val="3"/>
          <w:numId w:val="0"/>
        </w:numPr>
        <w:spacing w:before="120" w:after="120"/>
        <w:ind w:leftChars="0"/>
        <w:rPr>
          <w:rFonts w:hint="eastAsia"/>
          <w:lang w:val="en-US" w:eastAsia="zh-CN"/>
        </w:rPr>
      </w:pPr>
      <w:bookmarkStart w:id="101" w:name="_Toc9539"/>
      <w:bookmarkStart w:id="102" w:name="heading_29"/>
      <w:r>
        <w:rPr>
          <w:rFonts w:hint="eastAsia"/>
          <w:lang w:val="en-US" w:eastAsia="zh-CN"/>
        </w:rPr>
        <w:t>6.1.1 心脾两虚证</w:t>
      </w:r>
      <w:bookmarkEnd w:id="101"/>
      <w:bookmarkEnd w:id="102"/>
    </w:p>
    <w:p w14:paraId="4B6E09C0">
      <w:pPr>
        <w:pStyle w:val="56"/>
        <w:ind w:firstLine="420"/>
        <w:rPr>
          <w:rFonts w:hint="eastAsia"/>
          <w:lang w:val="en-US" w:eastAsia="zh-CN"/>
        </w:rPr>
      </w:pPr>
      <w:r>
        <w:rPr>
          <w:rFonts w:hint="eastAsia"/>
          <w:lang w:val="en-US" w:eastAsia="zh-CN"/>
        </w:rPr>
        <w:t>宜食补气健脾、养心安神之品，如黄芪、党参、山药、桂圆、红枣、莲子、鸡肉、小米等，可制作黄芪红枣粥、桂圆莲子汤、小米粥等食疗方；忌食生冷、油腻、耗气之品，如冰饮、油炸食品、苦瓜等，避免加重心脾负担。</w:t>
      </w:r>
    </w:p>
    <w:p w14:paraId="7BD01F5D">
      <w:pPr>
        <w:pStyle w:val="65"/>
        <w:numPr>
          <w:ilvl w:val="3"/>
          <w:numId w:val="0"/>
        </w:numPr>
        <w:spacing w:before="120" w:after="120"/>
        <w:ind w:leftChars="0"/>
        <w:rPr>
          <w:rFonts w:hint="eastAsia"/>
          <w:lang w:val="en-US" w:eastAsia="zh-CN"/>
        </w:rPr>
      </w:pPr>
      <w:bookmarkStart w:id="103" w:name="heading_30"/>
      <w:bookmarkStart w:id="104" w:name="_Toc6258"/>
      <w:r>
        <w:rPr>
          <w:rFonts w:hint="eastAsia"/>
          <w:lang w:val="en-US" w:eastAsia="zh-CN"/>
        </w:rPr>
        <w:t>6.1.2 肝肾阴虚证</w:t>
      </w:r>
      <w:bookmarkEnd w:id="103"/>
      <w:bookmarkEnd w:id="104"/>
    </w:p>
    <w:p w14:paraId="68AE1E96">
      <w:pPr>
        <w:pStyle w:val="56"/>
        <w:ind w:firstLine="420"/>
        <w:rPr>
          <w:rFonts w:hint="eastAsia"/>
          <w:lang w:val="en-US" w:eastAsia="zh-CN"/>
        </w:rPr>
      </w:pPr>
      <w:r>
        <w:rPr>
          <w:rFonts w:hint="eastAsia"/>
          <w:lang w:val="en-US" w:eastAsia="zh-CN"/>
        </w:rPr>
        <w:t>宜食滋阴补肾、养肝明目之品，如银耳、百合、枸杞、麦冬、沙参、黑芝麻、黑豆、鲈鱼等，可制作百合银耳汤、枸杞麦冬茶、黑芝麻粥等食疗方；忌食辛辣、温热、燥热之品，如辣椒、花椒、羊肉、狗肉等，避免耗伤阴液。</w:t>
      </w:r>
    </w:p>
    <w:p w14:paraId="0F1A833B">
      <w:pPr>
        <w:pStyle w:val="65"/>
        <w:numPr>
          <w:ilvl w:val="3"/>
          <w:numId w:val="0"/>
        </w:numPr>
        <w:spacing w:before="120" w:after="120"/>
        <w:ind w:leftChars="0"/>
        <w:rPr>
          <w:rFonts w:hint="eastAsia"/>
          <w:lang w:val="en-US" w:eastAsia="zh-CN"/>
        </w:rPr>
      </w:pPr>
      <w:bookmarkStart w:id="105" w:name="_Toc16082"/>
      <w:bookmarkStart w:id="106" w:name="heading_31"/>
      <w:r>
        <w:rPr>
          <w:rFonts w:hint="eastAsia"/>
          <w:lang w:val="en-US" w:eastAsia="zh-CN"/>
        </w:rPr>
        <w:t>6.1.3 脾肾阳虚证</w:t>
      </w:r>
      <w:bookmarkEnd w:id="105"/>
      <w:bookmarkEnd w:id="106"/>
    </w:p>
    <w:p w14:paraId="41718CC4">
      <w:pPr>
        <w:pStyle w:val="56"/>
        <w:ind w:firstLine="420"/>
        <w:rPr>
          <w:rFonts w:hint="eastAsia"/>
          <w:lang w:val="en-US" w:eastAsia="zh-CN"/>
        </w:rPr>
      </w:pPr>
      <w:r>
        <w:rPr>
          <w:rFonts w:hint="eastAsia"/>
          <w:lang w:val="en-US" w:eastAsia="zh-CN"/>
        </w:rPr>
        <w:t>宜食温阳散寒、健脾补肾之品，如羊肉、牛肉、桂圆、核桃、生姜、花椒、韭菜等，可制作生姜羊肉汤、桂圆核桃粥、韭菜炒鸡蛋等食疗方；忌食生冷、寒凉、冰镇食物，如冰饮、冰淇淋、苦瓜、西瓜等，避免损伤阳气。</w:t>
      </w:r>
    </w:p>
    <w:p w14:paraId="20005B38">
      <w:pPr>
        <w:pStyle w:val="65"/>
        <w:numPr>
          <w:ilvl w:val="3"/>
          <w:numId w:val="0"/>
        </w:numPr>
        <w:spacing w:before="120" w:after="120"/>
        <w:ind w:leftChars="0"/>
        <w:rPr>
          <w:rFonts w:hint="eastAsia"/>
          <w:lang w:val="en-US" w:eastAsia="zh-CN"/>
        </w:rPr>
      </w:pPr>
      <w:bookmarkStart w:id="107" w:name="_Toc28382"/>
      <w:bookmarkStart w:id="108" w:name="heading_32"/>
      <w:r>
        <w:rPr>
          <w:rFonts w:hint="eastAsia"/>
          <w:lang w:val="en-US" w:eastAsia="zh-CN"/>
        </w:rPr>
        <w:t>6.1.4 痰湿内阻证</w:t>
      </w:r>
      <w:bookmarkEnd w:id="107"/>
      <w:bookmarkEnd w:id="108"/>
    </w:p>
    <w:p w14:paraId="5CDFFD4E">
      <w:pPr>
        <w:pStyle w:val="56"/>
        <w:ind w:firstLine="420"/>
        <w:rPr>
          <w:rFonts w:hint="eastAsia"/>
          <w:lang w:val="en-US" w:eastAsia="zh-CN"/>
        </w:rPr>
      </w:pPr>
      <w:r>
        <w:rPr>
          <w:rFonts w:hint="eastAsia"/>
          <w:lang w:val="en-US" w:eastAsia="zh-CN"/>
        </w:rPr>
        <w:t>宜食健脾祛湿、化痰通络之品，如薏米、红豆、冬瓜、山药、茯苓、陈皮、白萝卜等，可制作薏米红豆粥、陈皮茯苓茶、冬瓜汤等食疗方；忌食肥甘厚味、油腻、生冷、甜食，如肥肉、油炸食品、冰饮、蛋糕等，避免加重痰湿。</w:t>
      </w:r>
    </w:p>
    <w:p w14:paraId="2AB31199">
      <w:pPr>
        <w:pStyle w:val="65"/>
        <w:numPr>
          <w:ilvl w:val="3"/>
          <w:numId w:val="0"/>
        </w:numPr>
        <w:spacing w:before="120" w:after="120"/>
        <w:ind w:leftChars="0"/>
        <w:rPr>
          <w:rFonts w:hint="eastAsia"/>
          <w:lang w:val="en-US" w:eastAsia="zh-CN"/>
        </w:rPr>
      </w:pPr>
      <w:bookmarkStart w:id="109" w:name="heading_33"/>
      <w:bookmarkStart w:id="110" w:name="_Toc19557"/>
      <w:r>
        <w:rPr>
          <w:rFonts w:hint="eastAsia"/>
          <w:lang w:val="en-US" w:eastAsia="zh-CN"/>
        </w:rPr>
        <w:t>6.1.5 肝郁脾虚证</w:t>
      </w:r>
      <w:bookmarkEnd w:id="109"/>
      <w:bookmarkEnd w:id="110"/>
    </w:p>
    <w:p w14:paraId="19EB9A6A">
      <w:pPr>
        <w:pStyle w:val="56"/>
        <w:ind w:firstLine="420"/>
        <w:rPr>
          <w:rFonts w:hint="eastAsia"/>
          <w:lang w:val="en-US" w:eastAsia="zh-CN"/>
        </w:rPr>
      </w:pPr>
      <w:r>
        <w:rPr>
          <w:rFonts w:hint="eastAsia"/>
          <w:lang w:val="en-US" w:eastAsia="zh-CN"/>
        </w:rPr>
        <w:t>宜食疏肝理气、健脾和胃之品，如玫瑰花、陈皮、柴胡、佛手、芹菜、茼蒿、小米、山药等，可制作玫瑰花茶、陈皮佛手汤、小米山药粥等食疗方；忌食辛辣、油腻、生冷之品，避免加重肝气郁滞和脾胃负担。</w:t>
      </w:r>
    </w:p>
    <w:p w14:paraId="1A5FE572">
      <w:pPr>
        <w:pStyle w:val="65"/>
        <w:numPr>
          <w:ilvl w:val="3"/>
          <w:numId w:val="0"/>
        </w:numPr>
        <w:spacing w:before="120" w:after="120"/>
        <w:ind w:leftChars="0"/>
        <w:rPr>
          <w:rFonts w:hint="eastAsia"/>
          <w:lang w:val="en-US" w:eastAsia="zh-CN"/>
        </w:rPr>
      </w:pPr>
      <w:bookmarkStart w:id="111" w:name="heading_34"/>
      <w:bookmarkStart w:id="112" w:name="_Toc9533"/>
      <w:r>
        <w:rPr>
          <w:rFonts w:hint="eastAsia"/>
          <w:lang w:val="en-US" w:eastAsia="zh-CN"/>
        </w:rPr>
        <w:t>6.1.6 气滞血瘀证</w:t>
      </w:r>
      <w:bookmarkEnd w:id="111"/>
      <w:bookmarkEnd w:id="112"/>
    </w:p>
    <w:p w14:paraId="2E5103FD">
      <w:pPr>
        <w:pStyle w:val="56"/>
        <w:ind w:firstLine="420"/>
        <w:rPr>
          <w:rFonts w:hint="eastAsia"/>
          <w:lang w:val="en-US" w:eastAsia="zh-CN"/>
        </w:rPr>
      </w:pPr>
      <w:r>
        <w:rPr>
          <w:rFonts w:hint="eastAsia"/>
          <w:lang w:val="en-US" w:eastAsia="zh-CN"/>
        </w:rPr>
        <w:t>宜食活血化瘀、行气通络之品，如丹参、川芎、当归、山楂、玫瑰花、桃仁、黑木耳等，可制作山楂玫瑰花茶、当归生姜羊肉汤、黑木耳炒芹菜等食疗方；忌食生冷、油腻之品，如冰饮、油炸食品等，避免加重血瘀。</w:t>
      </w:r>
    </w:p>
    <w:p w14:paraId="0E50B70A">
      <w:pPr>
        <w:pStyle w:val="65"/>
        <w:numPr>
          <w:ilvl w:val="3"/>
          <w:numId w:val="0"/>
        </w:numPr>
        <w:spacing w:before="120" w:after="120"/>
        <w:ind w:leftChars="0"/>
        <w:rPr>
          <w:rFonts w:hint="eastAsia"/>
          <w:lang w:val="en-US" w:eastAsia="zh-CN"/>
        </w:rPr>
      </w:pPr>
      <w:bookmarkStart w:id="113" w:name="_Toc22303"/>
      <w:bookmarkStart w:id="114" w:name="heading_35"/>
      <w:r>
        <w:rPr>
          <w:rFonts w:hint="eastAsia"/>
          <w:lang w:val="en-US" w:eastAsia="zh-CN"/>
        </w:rPr>
        <w:t>6.1.7 湿热内蕴证</w:t>
      </w:r>
      <w:bookmarkEnd w:id="113"/>
      <w:bookmarkEnd w:id="114"/>
    </w:p>
    <w:p w14:paraId="0D0A6B83">
      <w:pPr>
        <w:pStyle w:val="56"/>
        <w:ind w:firstLine="420"/>
        <w:rPr>
          <w:rFonts w:hint="eastAsia"/>
          <w:lang w:val="en-US" w:eastAsia="zh-CN"/>
        </w:rPr>
      </w:pPr>
      <w:r>
        <w:rPr>
          <w:rFonts w:hint="eastAsia"/>
          <w:lang w:val="en-US" w:eastAsia="zh-CN"/>
        </w:rPr>
        <w:t>宜食清热利湿、健脾和胃之品，如绿豆、赤小豆、冬瓜、苦瓜、马齿苋、荷叶、薏米等，可制作绿豆汤、荷叶茶、冬瓜薏米汤等食疗方；忌食辛辣、油腻、温热食物，如辣椒、花椒、油炸食品、羊肉等，避免加重湿热。</w:t>
      </w:r>
    </w:p>
    <w:p w14:paraId="286F8C74">
      <w:pPr>
        <w:pStyle w:val="65"/>
        <w:numPr>
          <w:ilvl w:val="3"/>
          <w:numId w:val="0"/>
        </w:numPr>
        <w:spacing w:before="120" w:after="120"/>
        <w:ind w:leftChars="0"/>
        <w:rPr>
          <w:rFonts w:hint="eastAsia"/>
          <w:lang w:val="en-US" w:eastAsia="zh-CN"/>
        </w:rPr>
      </w:pPr>
      <w:bookmarkStart w:id="115" w:name="_Toc6697"/>
      <w:r>
        <w:rPr>
          <w:rFonts w:hint="eastAsia"/>
          <w:lang w:val="en-US" w:eastAsia="zh-CN"/>
        </w:rPr>
        <w:t>6.1.8 肝郁化火证</w:t>
      </w:r>
      <w:bookmarkEnd w:id="115"/>
    </w:p>
    <w:p w14:paraId="5A2B4A36">
      <w:pPr>
        <w:pStyle w:val="56"/>
        <w:ind w:firstLine="420"/>
        <w:rPr>
          <w:rFonts w:hint="eastAsia"/>
          <w:lang w:val="en-US" w:eastAsia="zh-CN"/>
        </w:rPr>
      </w:pPr>
      <w:r>
        <w:rPr>
          <w:rFonts w:hint="eastAsia"/>
          <w:lang w:val="en-US" w:eastAsia="zh-CN"/>
        </w:rPr>
        <w:t>宜食疏肝解郁、清热降火之品，如菊花、金银花、决明子、栀子、芹菜、绿豆、莲藕等，可制作菊花决明子茶、凉拌芹菜、绿豆百合粥等食疗方；忌食辛辣刺激、温燥动火之品，如烈酒、辣椒、花椒、生姜等，避免加重火热之邪。</w:t>
      </w:r>
    </w:p>
    <w:p w14:paraId="0047CA7F">
      <w:pPr>
        <w:pStyle w:val="65"/>
        <w:numPr>
          <w:ilvl w:val="3"/>
          <w:numId w:val="0"/>
        </w:numPr>
        <w:spacing w:before="120" w:after="120"/>
        <w:ind w:leftChars="0"/>
        <w:rPr>
          <w:rFonts w:hint="eastAsia"/>
          <w:lang w:val="en-US" w:eastAsia="zh-CN"/>
        </w:rPr>
      </w:pPr>
      <w:bookmarkStart w:id="116" w:name="_Toc23852"/>
      <w:r>
        <w:rPr>
          <w:rFonts w:hint="eastAsia"/>
          <w:lang w:val="en-US" w:eastAsia="zh-CN"/>
        </w:rPr>
        <w:t>6.1.9 心肾不交证</w:t>
      </w:r>
      <w:bookmarkEnd w:id="116"/>
    </w:p>
    <w:p w14:paraId="62794B71">
      <w:pPr>
        <w:pStyle w:val="56"/>
        <w:ind w:firstLine="420"/>
        <w:rPr>
          <w:rFonts w:hint="eastAsia"/>
          <w:lang w:val="en-US" w:eastAsia="zh-CN"/>
        </w:rPr>
      </w:pPr>
      <w:r>
        <w:rPr>
          <w:rFonts w:hint="eastAsia"/>
          <w:lang w:val="en-US" w:eastAsia="zh-CN"/>
        </w:rPr>
        <w:t>宜食滋阴降火、交通心肾之品，如百合、莲子、银耳、酸枣仁、桑葚、枸杞、山药等，可制作百合莲子粥、酸枣仁茶、桑葚枸杞粥等食疗方；忌食辛辣刺激、温燥助火之品，如烈酒、辣椒、咖啡、浓茶等，避免耗伤阴液，加重不交症状。</w:t>
      </w:r>
    </w:p>
    <w:p w14:paraId="22D50125">
      <w:pPr>
        <w:pStyle w:val="65"/>
        <w:numPr>
          <w:ilvl w:val="3"/>
          <w:numId w:val="0"/>
        </w:numPr>
        <w:spacing w:before="120" w:after="120"/>
        <w:ind w:leftChars="0"/>
        <w:rPr>
          <w:rFonts w:hint="eastAsia"/>
          <w:lang w:val="en-US" w:eastAsia="zh-CN"/>
        </w:rPr>
      </w:pPr>
      <w:bookmarkStart w:id="117" w:name="_Toc27954"/>
      <w:r>
        <w:rPr>
          <w:rFonts w:hint="eastAsia"/>
          <w:lang w:val="en-US" w:eastAsia="zh-CN"/>
        </w:rPr>
        <w:t>6.1.10 肾精不足证</w:t>
      </w:r>
      <w:bookmarkEnd w:id="117"/>
    </w:p>
    <w:p w14:paraId="250CC483">
      <w:pPr>
        <w:pStyle w:val="56"/>
        <w:ind w:firstLine="420"/>
        <w:rPr>
          <w:rFonts w:hint="eastAsia"/>
          <w:lang w:val="en-US" w:eastAsia="zh-CN"/>
        </w:rPr>
      </w:pPr>
      <w:r>
        <w:rPr>
          <w:rFonts w:hint="eastAsia"/>
          <w:lang w:val="en-US" w:eastAsia="zh-CN"/>
        </w:rPr>
        <w:t>宜食补肾填精、温养肾精之品，如黑豆、黑芝麻、核桃、枸杞、桑葚、山药、腰果、韭菜等，可制作核桃芝麻粥、枸杞山药汤、桑葚黑豆粥等食疗方；忌食生冷、寒凉、耗伤肾精之品，如冰镇饮品、生冷瓜果等，避免加重肾精亏虚的症状。</w:t>
      </w:r>
    </w:p>
    <w:p w14:paraId="4CDE96B2">
      <w:pPr>
        <w:pStyle w:val="105"/>
        <w:numPr>
          <w:ilvl w:val="2"/>
          <w:numId w:val="0"/>
        </w:numPr>
        <w:spacing w:before="120" w:after="120"/>
        <w:ind w:leftChars="0"/>
        <w:rPr>
          <w:rFonts w:hint="eastAsia"/>
          <w:lang w:val="en-US" w:eastAsia="zh-CN"/>
        </w:rPr>
      </w:pPr>
      <w:bookmarkStart w:id="118" w:name="heading_36"/>
      <w:bookmarkStart w:id="119" w:name="_Toc31141"/>
      <w:r>
        <w:rPr>
          <w:rFonts w:hint="eastAsia"/>
          <w:lang w:val="en-US" w:eastAsia="zh-CN"/>
        </w:rPr>
        <w:t>6.2 起居调理</w:t>
      </w:r>
      <w:bookmarkEnd w:id="118"/>
      <w:bookmarkEnd w:id="119"/>
    </w:p>
    <w:p w14:paraId="72EC4482">
      <w:pPr>
        <w:pStyle w:val="56"/>
        <w:ind w:firstLine="420"/>
        <w:rPr>
          <w:rFonts w:hint="eastAsia"/>
          <w:lang w:val="en-US" w:eastAsia="zh-CN"/>
        </w:rPr>
      </w:pPr>
      <w:r>
        <w:rPr>
          <w:rFonts w:hint="eastAsia"/>
          <w:lang w:val="en-US" w:eastAsia="zh-CN"/>
        </w:rPr>
        <w:t>核心原则：规律作息、顺应天时、劳逸结合，避免熬夜、过度劳累，维护脏腑功能，调节气血阴阳平衡，结合各证型特点针对性调理。</w:t>
      </w:r>
    </w:p>
    <w:p w14:paraId="7563D628">
      <w:pPr>
        <w:pStyle w:val="56"/>
        <w:ind w:firstLine="420"/>
        <w:rPr>
          <w:rFonts w:hint="eastAsia"/>
          <w:lang w:val="en-US" w:eastAsia="zh-CN"/>
        </w:rPr>
      </w:pPr>
      <w:r>
        <w:rPr>
          <w:rFonts w:hint="eastAsia"/>
          <w:lang w:val="en-US" w:eastAsia="zh-CN"/>
        </w:rPr>
        <w:t>规律作息：每日早睡早起，避免熬夜，心脾两虚、肝肾阴虚证人群建议每晚21:30-22:00入睡，保证7-8小时睡眠，避免熬夜耗气伤阴；养成午睡习惯，11:00-13:00小憩15-30分钟，养护心气、调和气血。</w:t>
      </w:r>
    </w:p>
    <w:p w14:paraId="3919BC3E">
      <w:pPr>
        <w:pStyle w:val="56"/>
        <w:ind w:firstLine="420"/>
        <w:rPr>
          <w:rFonts w:hint="eastAsia"/>
          <w:lang w:val="en-US" w:eastAsia="zh-CN"/>
        </w:rPr>
      </w:pPr>
      <w:r>
        <w:rPr>
          <w:rFonts w:hint="eastAsia"/>
          <w:lang w:val="en-US" w:eastAsia="zh-CN"/>
        </w:rPr>
        <w:t>顺应天时：根据四季变化调整起居，春季早睡早起、舒展形体（疏肝理气，适配肝郁脾虚证），夏季晚睡早起、防暑降温（清热利湿，适配湿热内蕴证），秋季早睡早起、润燥防凉（滋阴润燥，适配肝肾阴虚证），冬季早睡晚起、保暖御寒（温阳散寒，适配脾肾阳虚证）。</w:t>
      </w:r>
    </w:p>
    <w:p w14:paraId="2D9E4A0A">
      <w:pPr>
        <w:pStyle w:val="56"/>
        <w:ind w:firstLine="420"/>
        <w:rPr>
          <w:rFonts w:hint="eastAsia"/>
          <w:lang w:val="en-US" w:eastAsia="zh-CN"/>
        </w:rPr>
      </w:pPr>
      <w:r>
        <w:rPr>
          <w:rFonts w:hint="eastAsia"/>
          <w:lang w:val="en-US" w:eastAsia="zh-CN"/>
        </w:rPr>
        <w:t>劳逸结合：避免过度劳累（包括体力劳动和脑力劳动），心脾两虚、气滞血瘀证人群需减少脑力消耗和久坐，工作间隙及时休息；避免久坐久站，每久坐1小时起身活动5-10分钟，预防肢体麻木、气血瘀滞。</w:t>
      </w:r>
    </w:p>
    <w:p w14:paraId="53E2E9E3">
      <w:pPr>
        <w:pStyle w:val="56"/>
        <w:ind w:firstLine="420"/>
        <w:rPr>
          <w:rFonts w:hint="eastAsia"/>
          <w:lang w:val="en-US" w:eastAsia="zh-CN"/>
        </w:rPr>
      </w:pPr>
      <w:r>
        <w:rPr>
          <w:rFonts w:hint="eastAsia"/>
          <w:lang w:val="en-US" w:eastAsia="zh-CN"/>
        </w:rPr>
        <w:t>其他：脾肾阳虚、痰湿内阻证人群注意保暖，避免受凉，保持居住环境通风干燥；肝肾阴虚、湿热内蕴证人群避免长时间处于高温、干燥环境，适当保湿；所有证型均需节制房事，避免耗伤肾精。</w:t>
      </w:r>
    </w:p>
    <w:p w14:paraId="0828C37B">
      <w:pPr>
        <w:pStyle w:val="105"/>
        <w:numPr>
          <w:ilvl w:val="2"/>
          <w:numId w:val="0"/>
        </w:numPr>
        <w:spacing w:before="120" w:after="120"/>
        <w:ind w:leftChars="0"/>
        <w:rPr>
          <w:rFonts w:hint="eastAsia"/>
        </w:rPr>
      </w:pPr>
      <w:bookmarkStart w:id="120" w:name="_Toc1962"/>
      <w:bookmarkStart w:id="121" w:name="heading_37"/>
      <w:r>
        <w:rPr>
          <w:rFonts w:hint="eastAsia"/>
        </w:rPr>
        <w:t>6.3 情志调理</w:t>
      </w:r>
      <w:bookmarkEnd w:id="120"/>
      <w:bookmarkEnd w:id="121"/>
    </w:p>
    <w:p w14:paraId="0153EB41">
      <w:pPr>
        <w:pStyle w:val="56"/>
        <w:ind w:firstLine="420"/>
        <w:rPr>
          <w:rFonts w:hint="eastAsia"/>
          <w:lang w:val="en-US" w:eastAsia="zh-CN"/>
        </w:rPr>
      </w:pPr>
      <w:r>
        <w:rPr>
          <w:rFonts w:hint="eastAsia"/>
          <w:lang w:val="en-US" w:eastAsia="zh-CN"/>
        </w:rPr>
        <w:t>核心原则：疏肝理气、宁心安神、情志舒畅，避免长期焦虑、抑郁、易怒，调节心理状态，维护气血调和，结合各证型情志特点针对性调理。</w:t>
      </w:r>
    </w:p>
    <w:p w14:paraId="0BF25B25">
      <w:pPr>
        <w:pStyle w:val="56"/>
        <w:ind w:firstLine="420"/>
        <w:rPr>
          <w:rFonts w:hint="eastAsia"/>
          <w:lang w:val="en-US" w:eastAsia="zh-CN"/>
        </w:rPr>
      </w:pPr>
      <w:r>
        <w:rPr>
          <w:rFonts w:hint="eastAsia"/>
          <w:lang w:val="en-US" w:eastAsia="zh-CN"/>
        </w:rPr>
        <w:t>情绪疏导：心脾两虚、肝郁脾虚证人群重点缓解思虑过度、情绪压抑，可通过听舒缓音乐、散步、与家人朋友倾诉等方式释放压力；气滞血瘀证人群避免情绪郁结，可通过倾诉、呐喊等方式疏通气机；肝肾阴虚证人群避免急躁易怒，防止虚火内生。</w:t>
      </w:r>
    </w:p>
    <w:p w14:paraId="5E5704B7">
      <w:pPr>
        <w:pStyle w:val="56"/>
        <w:ind w:firstLine="420"/>
        <w:rPr>
          <w:rFonts w:hint="eastAsia"/>
          <w:lang w:val="en-US" w:eastAsia="zh-CN"/>
        </w:rPr>
      </w:pPr>
      <w:r>
        <w:rPr>
          <w:rFonts w:hint="eastAsia"/>
          <w:lang w:val="en-US" w:eastAsia="zh-CN"/>
        </w:rPr>
        <w:t>宁心安神：心脾两虚、肝肾阴虚证人群可通过冥想、静坐、深呼吸等方式，放松身心，调节心神，改善失眠、健忘等症状；每日静坐10-15分钟，专注呼吸，排除杂念。</w:t>
      </w:r>
    </w:p>
    <w:p w14:paraId="62A7E08D">
      <w:pPr>
        <w:pStyle w:val="56"/>
        <w:ind w:firstLine="420"/>
        <w:rPr>
          <w:rFonts w:hint="eastAsia"/>
          <w:lang w:val="en-US" w:eastAsia="zh-CN"/>
        </w:rPr>
      </w:pPr>
      <w:r>
        <w:rPr>
          <w:rFonts w:hint="eastAsia"/>
          <w:lang w:val="en-US" w:eastAsia="zh-CN"/>
        </w:rPr>
        <w:t>心态调节：树立积极乐观的心态，正确看待中年期的生理变化和生活压力，避免过度追求完美，学会取舍；肝郁脾虚、气滞血瘀证人群多参与社交活动，培养兴趣爱好，转移注意力，缓解情绪压抑。</w:t>
      </w:r>
    </w:p>
    <w:p w14:paraId="003F9244">
      <w:pPr>
        <w:pStyle w:val="56"/>
        <w:ind w:firstLine="420"/>
        <w:rPr>
          <w:rFonts w:hint="eastAsia"/>
          <w:lang w:val="en-US" w:eastAsia="zh-CN"/>
        </w:rPr>
      </w:pPr>
      <w:r>
        <w:rPr>
          <w:rFonts w:hint="eastAsia"/>
          <w:lang w:val="en-US" w:eastAsia="zh-CN"/>
        </w:rPr>
        <w:t>中医情志疗法：可采用音乐疗法、情志疏导法、冥想疗法等，必要时可寻求专业中医师的情志干预指导，尤其适用于肝郁脾虚、心脾两虚证人群。</w:t>
      </w:r>
    </w:p>
    <w:p w14:paraId="183E1D5B">
      <w:pPr>
        <w:pStyle w:val="105"/>
        <w:numPr>
          <w:ilvl w:val="2"/>
          <w:numId w:val="0"/>
        </w:numPr>
        <w:spacing w:before="120" w:after="120"/>
        <w:ind w:leftChars="0"/>
        <w:rPr>
          <w:rFonts w:hint="eastAsia"/>
        </w:rPr>
      </w:pPr>
      <w:bookmarkStart w:id="122" w:name="_Toc18603"/>
      <w:bookmarkStart w:id="123" w:name="heading_38"/>
      <w:r>
        <w:rPr>
          <w:rFonts w:hint="eastAsia"/>
        </w:rPr>
        <w:t>6.4 运动调理</w:t>
      </w:r>
      <w:bookmarkEnd w:id="122"/>
      <w:bookmarkEnd w:id="123"/>
    </w:p>
    <w:p w14:paraId="07BAAD3A">
      <w:pPr>
        <w:pStyle w:val="56"/>
        <w:ind w:firstLine="420"/>
        <w:rPr>
          <w:rFonts w:hint="eastAsia"/>
          <w:lang w:val="en-US" w:eastAsia="zh-CN"/>
        </w:rPr>
      </w:pPr>
      <w:r>
        <w:rPr>
          <w:rFonts w:hint="eastAsia"/>
          <w:lang w:val="en-US" w:eastAsia="zh-CN"/>
        </w:rPr>
        <w:t>核心原则：适度运动、循序渐进、辨证施动，选择适合中年人群的舒缓运动，避免剧烈运动，促进气血运行、增强体质、调节脏腑功能，结合各证型病机特点选择运动方式。</w:t>
      </w:r>
    </w:p>
    <w:p w14:paraId="4097036E">
      <w:pPr>
        <w:pStyle w:val="56"/>
        <w:ind w:firstLine="420"/>
        <w:rPr>
          <w:rFonts w:hint="eastAsia"/>
          <w:lang w:val="en-US" w:eastAsia="zh-CN"/>
        </w:rPr>
      </w:pPr>
      <w:r>
        <w:rPr>
          <w:rFonts w:hint="eastAsia"/>
          <w:lang w:val="en-US" w:eastAsia="zh-CN"/>
        </w:rPr>
        <w:t>推荐运动：以舒缓、温和的运动为主，如太极拳、八段锦、五禽戏、易筋经、慢跑、快走、游泳、广场舞等，契合中医调身、调息、调心理念，适配所有证型。</w:t>
      </w:r>
    </w:p>
    <w:p w14:paraId="759F0097">
      <w:pPr>
        <w:pStyle w:val="56"/>
        <w:ind w:firstLine="420"/>
        <w:rPr>
          <w:rFonts w:hint="eastAsia"/>
          <w:lang w:val="en-US" w:eastAsia="zh-CN"/>
        </w:rPr>
      </w:pPr>
      <w:r>
        <w:rPr>
          <w:rFonts w:hint="eastAsia"/>
          <w:lang w:val="en-US" w:eastAsia="zh-CN"/>
        </w:rPr>
        <w:t>运动强度：根据自身情况调整运动强度，以运动后身体微微出汗、无明显疲劳感为宜；心脾两虚、肝肾阴虚证人群避免过度运动，每周3-4次，每次30-40分钟；痰湿内阻、气滞血瘀、湿热内蕴证人群可适当增加运动强度，每周4-5次，每次30-60分钟。</w:t>
      </w:r>
    </w:p>
    <w:p w14:paraId="7234E7C7">
      <w:pPr>
        <w:pStyle w:val="56"/>
        <w:ind w:firstLine="420"/>
        <w:rPr>
          <w:rFonts w:hint="eastAsia"/>
          <w:lang w:val="en-US" w:eastAsia="zh-CN"/>
        </w:rPr>
      </w:pPr>
      <w:r>
        <w:rPr>
          <w:rFonts w:hint="eastAsia"/>
          <w:lang w:val="en-US" w:eastAsia="zh-CN"/>
        </w:rPr>
        <w:t>辨证施动：心脾两虚证人群选择温和有氧运动，如快走、八段锦，增强气血；肝肾阴虚证人群选择舒缓运动，如太极拳、游泳，避免出汗过多耗伤阴液；脾肾阳虚证人群选择温热性运动，如快走、慢跑，增强阳气；痰湿内阻、气滞血瘀、湿热内蕴证人群选择能促进气血运行、祛湿清热的运动，如快走、游泳、广场舞。</w:t>
      </w:r>
    </w:p>
    <w:p w14:paraId="616806A1">
      <w:pPr>
        <w:pStyle w:val="56"/>
        <w:ind w:firstLine="420"/>
        <w:rPr>
          <w:rFonts w:hint="eastAsia"/>
          <w:lang w:val="en-US" w:eastAsia="zh-CN"/>
        </w:rPr>
      </w:pPr>
      <w:r>
        <w:rPr>
          <w:rFonts w:hint="eastAsia"/>
          <w:lang w:val="en-US" w:eastAsia="zh-CN"/>
        </w:rPr>
        <w:t>注意事项：运动前做好热身，运动后做好放松，避免运动损伤；饭后1小时内避免运动；感冒、疲劳时暂停运动，心脾两虚、肝肾阴虚证人群尤其注意避免运动后受凉。</w:t>
      </w:r>
    </w:p>
    <w:p w14:paraId="6819291C">
      <w:pPr>
        <w:pStyle w:val="105"/>
        <w:numPr>
          <w:ilvl w:val="2"/>
          <w:numId w:val="0"/>
        </w:numPr>
        <w:spacing w:before="120" w:after="120"/>
        <w:ind w:leftChars="0"/>
        <w:rPr>
          <w:rFonts w:hint="eastAsia"/>
        </w:rPr>
      </w:pPr>
      <w:bookmarkStart w:id="124" w:name="_Toc29925"/>
      <w:bookmarkStart w:id="125" w:name="heading_39"/>
      <w:r>
        <w:rPr>
          <w:rFonts w:hint="eastAsia"/>
        </w:rPr>
        <w:t>6.5 中医适宜技术干预</w:t>
      </w:r>
      <w:bookmarkEnd w:id="124"/>
      <w:bookmarkEnd w:id="125"/>
    </w:p>
    <w:p w14:paraId="1E854CF5">
      <w:pPr>
        <w:pStyle w:val="98"/>
        <w:numPr>
          <w:ilvl w:val="5"/>
          <w:numId w:val="0"/>
        </w:numPr>
        <w:spacing w:before="120" w:after="120"/>
        <w:ind w:leftChars="0"/>
        <w:rPr>
          <w:rFonts w:hint="eastAsia"/>
          <w:lang w:val="en-US" w:eastAsia="zh-CN"/>
        </w:rPr>
      </w:pPr>
      <w:bookmarkStart w:id="126" w:name="_Toc20789"/>
      <w:r>
        <w:rPr>
          <w:rFonts w:hint="eastAsia"/>
          <w:lang w:val="en-US" w:eastAsia="zh-CN"/>
        </w:rPr>
        <w:t>6.5.1操作人员要求</w:t>
      </w:r>
      <w:bookmarkEnd w:id="126"/>
    </w:p>
    <w:p w14:paraId="40809D27">
      <w:pPr>
        <w:pStyle w:val="65"/>
        <w:numPr>
          <w:ilvl w:val="3"/>
          <w:numId w:val="0"/>
        </w:numPr>
        <w:spacing w:before="120" w:after="120"/>
        <w:ind w:leftChars="0"/>
        <w:rPr>
          <w:rFonts w:hint="eastAsia" w:ascii="黑体" w:hAnsi="Times New Roman" w:eastAsia="黑体" w:cs="Times New Roman"/>
          <w:sz w:val="21"/>
          <w:lang w:val="en-US" w:eastAsia="zh-CN" w:bidi="ar-SA"/>
        </w:rPr>
      </w:pPr>
      <w:r>
        <w:rPr>
          <w:rFonts w:hint="eastAsia" w:ascii="黑体" w:hAnsi="Times New Roman" w:eastAsia="黑体" w:cs="Times New Roman"/>
          <w:sz w:val="21"/>
          <w:lang w:val="en-US" w:eastAsia="zh-CN" w:bidi="ar-SA"/>
        </w:rPr>
        <w:t>6.5.1.1 资质要求</w:t>
      </w:r>
    </w:p>
    <w:p w14:paraId="3B929340">
      <w:pPr>
        <w:pStyle w:val="56"/>
        <w:ind w:firstLine="420"/>
        <w:rPr>
          <w:rFonts w:hint="eastAsia"/>
          <w:lang w:val="en-US" w:eastAsia="zh-CN"/>
        </w:rPr>
      </w:pPr>
      <w:r>
        <w:rPr>
          <w:rFonts w:hint="eastAsia"/>
          <w:lang w:val="en-US" w:eastAsia="zh-CN"/>
        </w:rPr>
        <w:t>操作人员需具备中医执业医师、中医执业助理医师或健康管理师（中医方向）资质，经专业培训并考核合格后，方可开展中医适宜技术操作；严禁无资质人员擅自进行干预操作。</w:t>
      </w:r>
    </w:p>
    <w:p w14:paraId="656F094A">
      <w:pPr>
        <w:pStyle w:val="162"/>
        <w:keepNext w:val="0"/>
        <w:keepLines w:val="0"/>
        <w:pageBreakBefore w:val="0"/>
        <w:widowControl/>
        <w:numPr>
          <w:ilvl w:val="2"/>
          <w:numId w:val="0"/>
        </w:numPr>
        <w:kinsoku/>
        <w:wordWrap/>
        <w:overflowPunct/>
        <w:topLinePunct w:val="0"/>
        <w:autoSpaceDE/>
        <w:autoSpaceDN/>
        <w:bidi w:val="0"/>
        <w:adjustRightInd/>
        <w:snapToGrid/>
        <w:spacing w:before="157" w:beforeLines="50" w:after="157" w:afterLines="50"/>
        <w:ind w:leftChars="0"/>
        <w:textAlignment w:val="auto"/>
        <w:rPr>
          <w:rFonts w:hint="eastAsia" w:ascii="黑体" w:hAnsi="Times New Roman" w:eastAsia="黑体" w:cs="Times New Roman"/>
          <w:sz w:val="21"/>
          <w:lang w:val="en-US" w:eastAsia="zh-CN" w:bidi="ar-SA"/>
        </w:rPr>
      </w:pPr>
      <w:r>
        <w:rPr>
          <w:rFonts w:hint="eastAsia" w:ascii="黑体" w:hAnsi="Times New Roman" w:eastAsia="黑体" w:cs="Times New Roman"/>
          <w:sz w:val="21"/>
          <w:lang w:val="en-US" w:eastAsia="zh-CN" w:bidi="ar-SA"/>
        </w:rPr>
        <w:t>6.5.1.2 专业要求</w:t>
      </w:r>
    </w:p>
    <w:p w14:paraId="5667DD8C">
      <w:pPr>
        <w:pStyle w:val="56"/>
        <w:ind w:firstLine="420"/>
        <w:rPr>
          <w:rFonts w:hint="eastAsia"/>
          <w:lang w:val="en-US" w:eastAsia="zh-CN"/>
        </w:rPr>
      </w:pPr>
      <w:r>
        <w:rPr>
          <w:rFonts w:hint="eastAsia"/>
          <w:lang w:val="en-US" w:eastAsia="zh-CN"/>
        </w:rPr>
        <w:t>熟练掌握中医基础理论、中医辨证分型知识，熟悉各类中医适宜技术的操作规范、适应证及禁忌证；能够准确判断患者体质及证型，精准选取穴位、控制操作参数（力度、温度、时间等）。</w:t>
      </w:r>
    </w:p>
    <w:p w14:paraId="3DD293D6">
      <w:pPr>
        <w:pStyle w:val="162"/>
        <w:keepNext w:val="0"/>
        <w:keepLines w:val="0"/>
        <w:pageBreakBefore w:val="0"/>
        <w:widowControl/>
        <w:numPr>
          <w:ilvl w:val="2"/>
          <w:numId w:val="0"/>
        </w:numPr>
        <w:kinsoku/>
        <w:wordWrap/>
        <w:overflowPunct/>
        <w:topLinePunct w:val="0"/>
        <w:autoSpaceDE/>
        <w:autoSpaceDN/>
        <w:bidi w:val="0"/>
        <w:adjustRightInd/>
        <w:snapToGrid/>
        <w:spacing w:before="157" w:beforeLines="50" w:after="157" w:afterLines="50"/>
        <w:ind w:leftChars="0"/>
        <w:textAlignment w:val="auto"/>
        <w:rPr>
          <w:rFonts w:hint="eastAsia" w:ascii="黑体" w:hAnsi="Times New Roman" w:eastAsia="黑体" w:cs="Times New Roman"/>
          <w:sz w:val="21"/>
          <w:lang w:val="en-US" w:eastAsia="zh-CN" w:bidi="ar-SA"/>
        </w:rPr>
      </w:pPr>
      <w:r>
        <w:rPr>
          <w:rFonts w:hint="eastAsia" w:ascii="黑体" w:hAnsi="Times New Roman" w:eastAsia="黑体" w:cs="Times New Roman"/>
          <w:sz w:val="21"/>
          <w:lang w:val="en-US" w:eastAsia="zh-CN" w:bidi="ar-SA"/>
        </w:rPr>
        <w:t>6.5.1.3 职业要求</w:t>
      </w:r>
    </w:p>
    <w:p w14:paraId="1B8631D9">
      <w:pPr>
        <w:pStyle w:val="56"/>
        <w:ind w:firstLine="420"/>
        <w:rPr>
          <w:rFonts w:hint="eastAsia"/>
          <w:lang w:val="en-US" w:eastAsia="zh-CN"/>
        </w:rPr>
      </w:pPr>
      <w:r>
        <w:rPr>
          <w:rFonts w:hint="eastAsia"/>
          <w:lang w:val="en-US" w:eastAsia="zh-CN"/>
        </w:rPr>
        <w:t>恪守职业道德，尊重患者隐私，详细告知患者干预相关信息，耐心解答患者疑问；操作过程中严谨细致，密切观察患者反应，及时处理不良事件；定期参加继续教育及技能培训，更新专业知识，提升操作水平。</w:t>
      </w:r>
    </w:p>
    <w:p w14:paraId="12A5CC40">
      <w:pPr>
        <w:pStyle w:val="65"/>
        <w:numPr>
          <w:ilvl w:val="3"/>
          <w:numId w:val="0"/>
        </w:numPr>
        <w:spacing w:before="120" w:after="120"/>
        <w:ind w:leftChars="0"/>
        <w:rPr>
          <w:rFonts w:hint="eastAsia"/>
          <w:lang w:val="en-US" w:eastAsia="zh-CN"/>
        </w:rPr>
      </w:pPr>
      <w:bookmarkStart w:id="127" w:name="_Toc19775"/>
      <w:r>
        <w:rPr>
          <w:rFonts w:hint="eastAsia"/>
          <w:lang w:val="en-US" w:eastAsia="zh-CN"/>
        </w:rPr>
        <w:t>6.5.2 诊疗环节要求</w:t>
      </w:r>
      <w:bookmarkEnd w:id="127"/>
    </w:p>
    <w:p w14:paraId="12D591C3">
      <w:pPr>
        <w:pStyle w:val="162"/>
        <w:keepNext w:val="0"/>
        <w:keepLines w:val="0"/>
        <w:pageBreakBefore w:val="0"/>
        <w:widowControl/>
        <w:numPr>
          <w:ilvl w:val="2"/>
          <w:numId w:val="0"/>
        </w:numPr>
        <w:kinsoku/>
        <w:wordWrap/>
        <w:overflowPunct/>
        <w:topLinePunct w:val="0"/>
        <w:autoSpaceDE/>
        <w:autoSpaceDN/>
        <w:bidi w:val="0"/>
        <w:adjustRightInd/>
        <w:snapToGrid/>
        <w:spacing w:before="157" w:beforeLines="50" w:after="157" w:afterLines="50"/>
        <w:ind w:leftChars="0"/>
        <w:textAlignment w:val="auto"/>
        <w:rPr>
          <w:rFonts w:hint="eastAsia" w:ascii="黑体" w:hAnsi="Times New Roman" w:eastAsia="黑体" w:cs="Times New Roman"/>
          <w:sz w:val="21"/>
          <w:lang w:val="en-US" w:eastAsia="zh-CN" w:bidi="ar-SA"/>
        </w:rPr>
      </w:pPr>
      <w:r>
        <w:rPr>
          <w:rFonts w:hint="eastAsia" w:ascii="黑体" w:hAnsi="Times New Roman" w:eastAsia="黑体" w:cs="Times New Roman"/>
          <w:sz w:val="21"/>
          <w:lang w:val="en-US" w:eastAsia="zh-CN" w:bidi="ar-SA"/>
        </w:rPr>
        <w:t>6.5.2.1 接诊环节</w:t>
      </w:r>
    </w:p>
    <w:p w14:paraId="33401B6A">
      <w:pPr>
        <w:pStyle w:val="56"/>
        <w:ind w:firstLine="420"/>
        <w:rPr>
          <w:rFonts w:hint="eastAsia"/>
          <w:lang w:val="en-US" w:eastAsia="zh-CN"/>
        </w:rPr>
      </w:pPr>
      <w:r>
        <w:rPr>
          <w:rFonts w:hint="eastAsia"/>
          <w:lang w:val="en-US" w:eastAsia="zh-CN"/>
        </w:rPr>
        <w:t>接诊时详细询问患者年龄、性别、病史、生活习惯、情志状态等，结合体格检查（舌诊、脉诊、面色观察等），明确患者亚健康状态及辨证分型，排除禁忌证，建立完整的患者干预档案。</w:t>
      </w:r>
    </w:p>
    <w:p w14:paraId="390AEEED">
      <w:pPr>
        <w:pStyle w:val="162"/>
        <w:keepNext w:val="0"/>
        <w:keepLines w:val="0"/>
        <w:pageBreakBefore w:val="0"/>
        <w:widowControl/>
        <w:numPr>
          <w:ilvl w:val="2"/>
          <w:numId w:val="0"/>
        </w:numPr>
        <w:kinsoku/>
        <w:wordWrap/>
        <w:overflowPunct/>
        <w:topLinePunct w:val="0"/>
        <w:autoSpaceDE/>
        <w:autoSpaceDN/>
        <w:bidi w:val="0"/>
        <w:adjustRightInd/>
        <w:snapToGrid/>
        <w:spacing w:before="157" w:beforeLines="50" w:after="157" w:afterLines="50"/>
        <w:ind w:leftChars="0"/>
        <w:textAlignment w:val="auto"/>
        <w:rPr>
          <w:rFonts w:hint="eastAsia" w:ascii="黑体" w:hAnsi="Times New Roman" w:eastAsia="黑体" w:cs="Times New Roman"/>
          <w:sz w:val="21"/>
          <w:lang w:val="en-US" w:eastAsia="zh-CN" w:bidi="ar-SA"/>
        </w:rPr>
      </w:pPr>
      <w:r>
        <w:rPr>
          <w:rFonts w:hint="eastAsia" w:ascii="黑体" w:hAnsi="Times New Roman" w:eastAsia="黑体" w:cs="Times New Roman"/>
          <w:sz w:val="21"/>
          <w:lang w:val="en-US" w:eastAsia="zh-CN" w:bidi="ar-SA"/>
        </w:rPr>
        <w:t>6.5.2.2 方案制定环节</w:t>
      </w:r>
    </w:p>
    <w:p w14:paraId="4370348E">
      <w:pPr>
        <w:pStyle w:val="56"/>
        <w:ind w:firstLine="420"/>
        <w:rPr>
          <w:rFonts w:hint="eastAsia"/>
          <w:lang w:val="en-US" w:eastAsia="zh-CN"/>
        </w:rPr>
      </w:pPr>
      <w:r>
        <w:rPr>
          <w:rFonts w:hint="eastAsia"/>
          <w:lang w:val="en-US" w:eastAsia="zh-CN"/>
        </w:rPr>
        <w:t>根据患者辨证分型、体质耐受度及需求，制定个体化干预方案，明确选用的中医适宜技术、操作频次、疗程及注意事项；方案制定后需与患者充分沟通，征得患者同意后方可实施。</w:t>
      </w:r>
    </w:p>
    <w:p w14:paraId="112C5E56">
      <w:pPr>
        <w:pStyle w:val="162"/>
        <w:keepNext w:val="0"/>
        <w:keepLines w:val="0"/>
        <w:pageBreakBefore w:val="0"/>
        <w:widowControl/>
        <w:numPr>
          <w:ilvl w:val="2"/>
          <w:numId w:val="0"/>
        </w:numPr>
        <w:kinsoku/>
        <w:wordWrap/>
        <w:overflowPunct/>
        <w:topLinePunct w:val="0"/>
        <w:autoSpaceDE/>
        <w:autoSpaceDN/>
        <w:bidi w:val="0"/>
        <w:adjustRightInd/>
        <w:snapToGrid/>
        <w:spacing w:before="157" w:beforeLines="50" w:after="157" w:afterLines="50"/>
        <w:ind w:leftChars="0"/>
        <w:textAlignment w:val="auto"/>
        <w:rPr>
          <w:rFonts w:hint="eastAsia" w:ascii="黑体" w:hAnsi="Times New Roman" w:eastAsia="黑体" w:cs="Times New Roman"/>
          <w:sz w:val="21"/>
          <w:lang w:val="en-US" w:eastAsia="zh-CN" w:bidi="ar-SA"/>
        </w:rPr>
      </w:pPr>
      <w:r>
        <w:rPr>
          <w:rFonts w:hint="eastAsia" w:ascii="黑体" w:hAnsi="Times New Roman" w:eastAsia="黑体" w:cs="Times New Roman"/>
          <w:sz w:val="21"/>
          <w:lang w:val="en-US" w:eastAsia="zh-CN" w:bidi="ar-SA"/>
        </w:rPr>
        <w:t>6.5.2.3 操作实施环节</w:t>
      </w:r>
    </w:p>
    <w:p w14:paraId="1A53B99E">
      <w:pPr>
        <w:pStyle w:val="56"/>
        <w:ind w:firstLine="420"/>
        <w:rPr>
          <w:rFonts w:hint="eastAsia"/>
          <w:lang w:val="en-US" w:eastAsia="zh-CN"/>
        </w:rPr>
      </w:pPr>
      <w:r>
        <w:rPr>
          <w:rFonts w:hint="eastAsia"/>
          <w:lang w:val="en-US" w:eastAsia="zh-CN"/>
        </w:rPr>
        <w:t>严格按照干预方案及操作规范开展操作，操作前检查工具安全性、清洁度，操作中规范流程、控制参数，操作后做好护理指导及记录；同一疗程内保持操作一致性，如需调整方案，需记录调整原因及具体内容。</w:t>
      </w:r>
    </w:p>
    <w:p w14:paraId="52932009">
      <w:pPr>
        <w:pStyle w:val="162"/>
        <w:keepNext w:val="0"/>
        <w:keepLines w:val="0"/>
        <w:pageBreakBefore w:val="0"/>
        <w:widowControl/>
        <w:numPr>
          <w:ilvl w:val="2"/>
          <w:numId w:val="0"/>
        </w:numPr>
        <w:kinsoku/>
        <w:wordWrap/>
        <w:overflowPunct/>
        <w:topLinePunct w:val="0"/>
        <w:autoSpaceDE/>
        <w:autoSpaceDN/>
        <w:bidi w:val="0"/>
        <w:adjustRightInd/>
        <w:snapToGrid/>
        <w:spacing w:before="157" w:beforeLines="50" w:after="157" w:afterLines="50"/>
        <w:ind w:leftChars="0"/>
        <w:textAlignment w:val="auto"/>
        <w:rPr>
          <w:rFonts w:hint="eastAsia" w:ascii="黑体" w:hAnsi="Times New Roman" w:eastAsia="黑体" w:cs="Times New Roman"/>
          <w:sz w:val="21"/>
          <w:lang w:val="en-US" w:eastAsia="zh-CN" w:bidi="ar-SA"/>
        </w:rPr>
      </w:pPr>
      <w:r>
        <w:rPr>
          <w:rFonts w:hint="eastAsia" w:ascii="黑体" w:hAnsi="Times New Roman" w:eastAsia="黑体" w:cs="Times New Roman"/>
          <w:sz w:val="21"/>
          <w:lang w:val="en-US" w:eastAsia="zh-CN" w:bidi="ar-SA"/>
        </w:rPr>
        <w:t>6.5.2.4 随访环节</w:t>
      </w:r>
    </w:p>
    <w:p w14:paraId="0DB585AA">
      <w:pPr>
        <w:pStyle w:val="56"/>
        <w:ind w:firstLine="420"/>
        <w:rPr>
          <w:rFonts w:hint="eastAsia"/>
          <w:lang w:val="en-US" w:eastAsia="zh-CN"/>
        </w:rPr>
      </w:pPr>
      <w:r>
        <w:rPr>
          <w:rFonts w:hint="eastAsia"/>
          <w:lang w:val="en-US" w:eastAsia="zh-CN"/>
        </w:rPr>
        <w:t>建立随访机制，每个疗程结束后对患者进行随访，了解症状改善情况、干预依从性及有无不良反应；长期干预患者，每3个疗程进行一次全面随访，根据随访结果调整干预方案，确保干预效果。</w:t>
      </w:r>
    </w:p>
    <w:p w14:paraId="7E5628AD">
      <w:pPr>
        <w:pStyle w:val="65"/>
        <w:numPr>
          <w:ilvl w:val="3"/>
          <w:numId w:val="0"/>
        </w:numPr>
        <w:spacing w:before="120" w:after="120"/>
        <w:ind w:leftChars="0"/>
        <w:rPr>
          <w:rFonts w:hint="eastAsia"/>
          <w:lang w:val="en-US" w:eastAsia="zh-CN"/>
        </w:rPr>
      </w:pPr>
      <w:bookmarkStart w:id="128" w:name="_Toc19040"/>
      <w:r>
        <w:rPr>
          <w:rFonts w:hint="eastAsia"/>
          <w:lang w:val="en-US" w:eastAsia="zh-CN"/>
        </w:rPr>
        <w:t>6.5.3 患者评估要求</w:t>
      </w:r>
      <w:bookmarkEnd w:id="128"/>
    </w:p>
    <w:p w14:paraId="72A93689">
      <w:pPr>
        <w:pStyle w:val="162"/>
        <w:keepNext w:val="0"/>
        <w:keepLines w:val="0"/>
        <w:pageBreakBefore w:val="0"/>
        <w:widowControl/>
        <w:numPr>
          <w:ilvl w:val="2"/>
          <w:numId w:val="0"/>
        </w:numPr>
        <w:kinsoku/>
        <w:wordWrap/>
        <w:overflowPunct/>
        <w:topLinePunct w:val="0"/>
        <w:autoSpaceDE/>
        <w:autoSpaceDN/>
        <w:bidi w:val="0"/>
        <w:adjustRightInd/>
        <w:snapToGrid/>
        <w:spacing w:before="157" w:beforeLines="50" w:after="157" w:afterLines="50"/>
        <w:ind w:leftChars="0"/>
        <w:textAlignment w:val="auto"/>
        <w:rPr>
          <w:rFonts w:hint="eastAsia" w:ascii="黑体" w:hAnsi="Times New Roman" w:eastAsia="黑体" w:cs="Times New Roman"/>
          <w:sz w:val="21"/>
          <w:lang w:val="en-US" w:eastAsia="zh-CN" w:bidi="ar-SA"/>
        </w:rPr>
      </w:pPr>
      <w:r>
        <w:rPr>
          <w:rFonts w:hint="eastAsia" w:ascii="黑体" w:hAnsi="Times New Roman" w:eastAsia="黑体" w:cs="Times New Roman"/>
          <w:sz w:val="21"/>
          <w:lang w:val="en-US" w:eastAsia="zh-CN" w:bidi="ar-SA"/>
        </w:rPr>
        <w:t>6.5.3.1 干预前评估</w:t>
      </w:r>
    </w:p>
    <w:p w14:paraId="06401621">
      <w:pPr>
        <w:pStyle w:val="56"/>
        <w:ind w:firstLine="420"/>
        <w:rPr>
          <w:rFonts w:hint="eastAsia"/>
          <w:lang w:val="en-US" w:eastAsia="zh-CN"/>
        </w:rPr>
      </w:pPr>
      <w:r>
        <w:rPr>
          <w:rFonts w:hint="eastAsia"/>
          <w:lang w:val="en-US" w:eastAsia="zh-CN"/>
        </w:rPr>
        <w:t>干预前需对患者进行全面评估，包括躯体症状、心理症状、体质分型、过敏史、既往病史等，结合FS-14、SAS、SDS量表检测结果，明确患者亚健康程度，排除禁忌证，为方案制定提供依据；对体质虚弱、耐受度低的患者，需适当降低干预强度。</w:t>
      </w:r>
    </w:p>
    <w:p w14:paraId="334929DF">
      <w:pPr>
        <w:pStyle w:val="162"/>
        <w:keepNext w:val="0"/>
        <w:keepLines w:val="0"/>
        <w:pageBreakBefore w:val="0"/>
        <w:widowControl/>
        <w:numPr>
          <w:ilvl w:val="2"/>
          <w:numId w:val="0"/>
        </w:numPr>
        <w:kinsoku/>
        <w:wordWrap/>
        <w:overflowPunct/>
        <w:topLinePunct w:val="0"/>
        <w:autoSpaceDE/>
        <w:autoSpaceDN/>
        <w:bidi w:val="0"/>
        <w:adjustRightInd/>
        <w:snapToGrid/>
        <w:spacing w:before="157" w:beforeLines="50" w:after="157" w:afterLines="50"/>
        <w:ind w:leftChars="0"/>
        <w:textAlignment w:val="auto"/>
        <w:rPr>
          <w:rFonts w:hint="eastAsia" w:ascii="黑体" w:hAnsi="Times New Roman" w:eastAsia="黑体" w:cs="Times New Roman"/>
          <w:sz w:val="21"/>
          <w:lang w:val="en-US" w:eastAsia="zh-CN" w:bidi="ar-SA"/>
        </w:rPr>
      </w:pPr>
      <w:r>
        <w:rPr>
          <w:rFonts w:hint="eastAsia" w:ascii="黑体" w:hAnsi="Times New Roman" w:eastAsia="黑体" w:cs="Times New Roman"/>
          <w:sz w:val="21"/>
          <w:lang w:val="en-US" w:eastAsia="zh-CN" w:bidi="ar-SA"/>
        </w:rPr>
        <w:t>6.5.3.2 干预中评估</w:t>
      </w:r>
    </w:p>
    <w:p w14:paraId="68BCFBF0">
      <w:pPr>
        <w:pStyle w:val="56"/>
        <w:ind w:firstLine="420"/>
        <w:rPr>
          <w:rFonts w:hint="eastAsia"/>
          <w:lang w:val="en-US" w:eastAsia="zh-CN"/>
        </w:rPr>
      </w:pPr>
      <w:r>
        <w:rPr>
          <w:rFonts w:hint="eastAsia"/>
          <w:lang w:val="en-US" w:eastAsia="zh-CN"/>
        </w:rPr>
        <w:t>操作过程中实时评估患者反应，观察患者面色、神态、主诉等，若出现头晕、恶心、皮肤过敏、疼痛加剧等不适，立即停止操作，评估不适原因，采取相应处理措施（如晕针者平卧休息、补充温水，过敏者清洁皮肤并外用抗过敏药物）。</w:t>
      </w:r>
    </w:p>
    <w:p w14:paraId="6C38CDF4">
      <w:pPr>
        <w:pStyle w:val="162"/>
        <w:keepNext w:val="0"/>
        <w:keepLines w:val="0"/>
        <w:pageBreakBefore w:val="0"/>
        <w:widowControl/>
        <w:numPr>
          <w:ilvl w:val="2"/>
          <w:numId w:val="0"/>
        </w:numPr>
        <w:kinsoku/>
        <w:wordWrap/>
        <w:overflowPunct/>
        <w:topLinePunct w:val="0"/>
        <w:autoSpaceDE/>
        <w:autoSpaceDN/>
        <w:bidi w:val="0"/>
        <w:adjustRightInd/>
        <w:snapToGrid/>
        <w:spacing w:before="157" w:beforeLines="50" w:after="157" w:afterLines="50"/>
        <w:ind w:leftChars="0"/>
        <w:textAlignment w:val="auto"/>
        <w:rPr>
          <w:rFonts w:hint="eastAsia" w:ascii="黑体" w:hAnsi="Times New Roman" w:eastAsia="黑体" w:cs="Times New Roman"/>
          <w:sz w:val="21"/>
          <w:lang w:val="en-US" w:eastAsia="zh-CN" w:bidi="ar-SA"/>
        </w:rPr>
      </w:pPr>
      <w:r>
        <w:rPr>
          <w:rFonts w:hint="eastAsia" w:ascii="黑体" w:hAnsi="Times New Roman" w:eastAsia="黑体" w:cs="Times New Roman"/>
          <w:sz w:val="21"/>
          <w:lang w:val="en-US" w:eastAsia="zh-CN" w:bidi="ar-SA"/>
        </w:rPr>
        <w:t>6.5.3.3 干预后评估</w:t>
      </w:r>
    </w:p>
    <w:p w14:paraId="2788D6F7">
      <w:pPr>
        <w:pStyle w:val="56"/>
        <w:ind w:firstLine="420"/>
        <w:rPr>
          <w:rFonts w:hint="eastAsia"/>
          <w:lang w:val="en-US" w:eastAsia="zh-CN"/>
        </w:rPr>
      </w:pPr>
      <w:r>
        <w:rPr>
          <w:rFonts w:hint="eastAsia"/>
          <w:lang w:val="en-US" w:eastAsia="zh-CN"/>
        </w:rPr>
        <w:t>每个操作结束后，评估患者即时反应（如皮肤状态、穴位酸胀感、精神状态等）；每个疗程结束后，全面评估患者症状改善、量表得分变化及体质调整情况，判断干预效果，为下一疗程方案调整提供依据；干预全程需动态评估患者依从性，对依从性差的患者，加强健康指导，提高干预配合度。</w:t>
      </w:r>
    </w:p>
    <w:p w14:paraId="2D823DD7">
      <w:pPr>
        <w:pStyle w:val="162"/>
        <w:keepNext w:val="0"/>
        <w:keepLines w:val="0"/>
        <w:pageBreakBefore w:val="0"/>
        <w:widowControl/>
        <w:numPr>
          <w:ilvl w:val="2"/>
          <w:numId w:val="0"/>
        </w:numPr>
        <w:kinsoku/>
        <w:wordWrap/>
        <w:overflowPunct/>
        <w:topLinePunct w:val="0"/>
        <w:autoSpaceDE/>
        <w:autoSpaceDN/>
        <w:bidi w:val="0"/>
        <w:adjustRightInd/>
        <w:snapToGrid/>
        <w:spacing w:before="157" w:beforeLines="50" w:after="157" w:afterLines="50"/>
        <w:ind w:leftChars="0"/>
        <w:textAlignment w:val="auto"/>
        <w:rPr>
          <w:rFonts w:hint="eastAsia" w:ascii="黑体" w:hAnsi="Times New Roman" w:eastAsia="黑体" w:cs="Times New Roman"/>
          <w:sz w:val="21"/>
          <w:lang w:val="en-US" w:eastAsia="zh-CN" w:bidi="ar-SA"/>
        </w:rPr>
      </w:pPr>
      <w:bookmarkStart w:id="129" w:name="_Toc21170"/>
      <w:r>
        <w:rPr>
          <w:rFonts w:hint="eastAsia" w:ascii="黑体" w:hAnsi="Times New Roman" w:eastAsia="黑体" w:cs="Times New Roman"/>
          <w:sz w:val="21"/>
          <w:lang w:val="en-US" w:eastAsia="zh-CN" w:bidi="ar-SA"/>
        </w:rPr>
        <w:t>6.5.4 各证型适宜技术干预方案</w:t>
      </w:r>
      <w:bookmarkEnd w:id="129"/>
    </w:p>
    <w:p w14:paraId="33C4F493">
      <w:pPr>
        <w:pStyle w:val="162"/>
        <w:numPr>
          <w:ilvl w:val="2"/>
          <w:numId w:val="0"/>
        </w:numPr>
        <w:ind w:leftChars="0"/>
        <w:rPr>
          <w:rFonts w:hint="eastAsia"/>
          <w:lang w:val="en-US" w:eastAsia="zh-CN"/>
        </w:rPr>
      </w:pPr>
      <w:r>
        <w:rPr>
          <w:rFonts w:hint="eastAsia"/>
          <w:lang w:val="en-US" w:eastAsia="zh-CN"/>
        </w:rPr>
        <w:t>6.5.4.1 心脾两虚型</w:t>
      </w:r>
    </w:p>
    <w:p w14:paraId="36E73651">
      <w:pPr>
        <w:pStyle w:val="56"/>
        <w:ind w:firstLine="420"/>
        <w:rPr>
          <w:rFonts w:hint="eastAsia"/>
          <w:lang w:val="en-US" w:eastAsia="zh-CN"/>
        </w:rPr>
      </w:pPr>
      <w:r>
        <w:rPr>
          <w:rFonts w:hint="eastAsia"/>
          <w:lang w:val="en-US" w:eastAsia="zh-CN"/>
        </w:rPr>
        <w:t>核心干预：益气健脾、养心安神，选用艾灸、推拿按摩、中药贴敷组合干预，兼顾气血双补，改善神疲、失眠等核心症状。</w:t>
      </w:r>
    </w:p>
    <w:p w14:paraId="1ED485ED">
      <w:pPr>
        <w:pStyle w:val="162"/>
        <w:keepNext w:val="0"/>
        <w:keepLines w:val="0"/>
        <w:pageBreakBefore w:val="0"/>
        <w:widowControl/>
        <w:numPr>
          <w:ilvl w:val="2"/>
          <w:numId w:val="0"/>
        </w:numPr>
        <w:kinsoku/>
        <w:wordWrap/>
        <w:overflowPunct/>
        <w:topLinePunct w:val="0"/>
        <w:autoSpaceDE/>
        <w:autoSpaceDN/>
        <w:bidi w:val="0"/>
        <w:adjustRightInd/>
        <w:snapToGrid/>
        <w:spacing w:before="157" w:beforeLines="50" w:after="157" w:afterLines="50"/>
        <w:ind w:leftChars="0"/>
        <w:textAlignment w:val="auto"/>
        <w:rPr>
          <w:rFonts w:hint="eastAsia" w:ascii="黑体" w:hAnsi="Times New Roman" w:eastAsia="黑体" w:cs="Times New Roman"/>
          <w:sz w:val="21"/>
          <w:lang w:val="en-US" w:eastAsia="zh-CN" w:bidi="ar-SA"/>
        </w:rPr>
      </w:pPr>
      <w:r>
        <w:rPr>
          <w:rFonts w:hint="eastAsia" w:ascii="黑体" w:hAnsi="Times New Roman" w:eastAsia="黑体" w:cs="Times New Roman"/>
          <w:sz w:val="21"/>
          <w:lang w:val="en-US" w:eastAsia="zh-CN" w:bidi="ar-SA"/>
        </w:rPr>
        <w:t>6.5.4.1.1 针灸</w:t>
      </w:r>
    </w:p>
    <w:p w14:paraId="04709F5B">
      <w:pPr>
        <w:pStyle w:val="56"/>
        <w:ind w:firstLine="420"/>
        <w:rPr>
          <w:rFonts w:hint="eastAsia"/>
          <w:lang w:val="en-US" w:eastAsia="zh-CN"/>
        </w:rPr>
      </w:pPr>
      <w:r>
        <w:rPr>
          <w:rFonts w:hint="eastAsia"/>
          <w:lang w:val="en-US" w:eastAsia="zh-CN"/>
        </w:rPr>
        <w:t>核心穴位选取心俞、脾俞、足三里、三阴交、神门、气海，配穴选取内关、公孙（失眠明显者加）、太白（腹胀明显者加）。采用毫针针刺，行平补平泻法，留针20-30分钟，每周2次，4周为1疗程；针刺时避开血管、神经，体质虚弱者可适当缩短留针时间，避免晕针。</w:t>
      </w:r>
    </w:p>
    <w:p w14:paraId="3D222044">
      <w:pPr>
        <w:pStyle w:val="162"/>
        <w:keepNext w:val="0"/>
        <w:keepLines w:val="0"/>
        <w:pageBreakBefore w:val="0"/>
        <w:widowControl/>
        <w:numPr>
          <w:ilvl w:val="2"/>
          <w:numId w:val="0"/>
        </w:numPr>
        <w:kinsoku/>
        <w:wordWrap/>
        <w:overflowPunct/>
        <w:topLinePunct w:val="0"/>
        <w:autoSpaceDE/>
        <w:autoSpaceDN/>
        <w:bidi w:val="0"/>
        <w:adjustRightInd/>
        <w:snapToGrid/>
        <w:spacing w:before="157" w:beforeLines="50" w:after="157" w:afterLines="50"/>
        <w:ind w:leftChars="0"/>
        <w:textAlignment w:val="auto"/>
        <w:rPr>
          <w:rFonts w:hint="eastAsia" w:ascii="黑体" w:hAnsi="Times New Roman" w:eastAsia="黑体" w:cs="Times New Roman"/>
          <w:sz w:val="21"/>
          <w:lang w:val="en-US" w:eastAsia="zh-CN" w:bidi="ar-SA"/>
        </w:rPr>
      </w:pPr>
      <w:r>
        <w:rPr>
          <w:rFonts w:hint="eastAsia" w:ascii="黑体" w:hAnsi="Times New Roman" w:eastAsia="黑体" w:cs="Times New Roman"/>
          <w:sz w:val="21"/>
          <w:lang w:val="en-US" w:eastAsia="zh-CN" w:bidi="ar-SA"/>
        </w:rPr>
        <w:t>6.5.4.1.2 艾灸</w:t>
      </w:r>
    </w:p>
    <w:p w14:paraId="66563E5A">
      <w:pPr>
        <w:pStyle w:val="56"/>
        <w:ind w:firstLine="420"/>
        <w:rPr>
          <w:rFonts w:hint="eastAsia"/>
          <w:lang w:val="en-US" w:eastAsia="zh-CN"/>
        </w:rPr>
      </w:pPr>
      <w:r>
        <w:rPr>
          <w:rFonts w:hint="eastAsia"/>
          <w:lang w:val="en-US" w:eastAsia="zh-CN"/>
        </w:rPr>
        <w:t>选取心俞、脾俞、足三里、三阴交、神门、气海等穴位，采用温和灸，每穴灸10-15分钟，避免烫伤皮肤，每周2-3次，4周为1疗程；气虚明显者，可在气海穴加隔姜灸，增强益气功效。</w:t>
      </w:r>
    </w:p>
    <w:p w14:paraId="728758D5">
      <w:pPr>
        <w:pStyle w:val="162"/>
        <w:keepNext w:val="0"/>
        <w:keepLines w:val="0"/>
        <w:pageBreakBefore w:val="0"/>
        <w:widowControl/>
        <w:numPr>
          <w:ilvl w:val="2"/>
          <w:numId w:val="0"/>
        </w:numPr>
        <w:kinsoku/>
        <w:wordWrap/>
        <w:overflowPunct/>
        <w:topLinePunct w:val="0"/>
        <w:autoSpaceDE/>
        <w:autoSpaceDN/>
        <w:bidi w:val="0"/>
        <w:adjustRightInd/>
        <w:snapToGrid/>
        <w:spacing w:before="157" w:beforeLines="50" w:after="157" w:afterLines="50"/>
        <w:ind w:leftChars="0"/>
        <w:textAlignment w:val="auto"/>
        <w:rPr>
          <w:rFonts w:hint="eastAsia" w:ascii="黑体" w:hAnsi="Times New Roman" w:eastAsia="黑体" w:cs="Times New Roman"/>
          <w:sz w:val="21"/>
          <w:lang w:val="en-US" w:eastAsia="zh-CN" w:bidi="ar-SA"/>
        </w:rPr>
      </w:pPr>
      <w:r>
        <w:rPr>
          <w:rFonts w:hint="eastAsia" w:ascii="黑体" w:hAnsi="Times New Roman" w:eastAsia="黑体" w:cs="Times New Roman"/>
          <w:sz w:val="21"/>
          <w:lang w:val="en-US" w:eastAsia="zh-CN" w:bidi="ar-SA"/>
        </w:rPr>
        <w:t xml:space="preserve">6.5.4.1.3 </w:t>
      </w:r>
      <w:r>
        <w:rPr>
          <w:rFonts w:hint="eastAsia" w:ascii="宋体" w:hAnsi="Times New Roman" w:eastAsia="宋体" w:cs="Times New Roman"/>
          <w:sz w:val="21"/>
          <w:lang w:val="en-US" w:eastAsia="zh-CN" w:bidi="ar-SA"/>
        </w:rPr>
        <w:t>推拿</w:t>
      </w:r>
      <w:r>
        <w:rPr>
          <w:rFonts w:hint="eastAsia" w:ascii="黑体" w:hAnsi="Times New Roman" w:eastAsia="黑体" w:cs="Times New Roman"/>
          <w:sz w:val="21"/>
          <w:lang w:val="en-US" w:eastAsia="zh-CN" w:bidi="ar-SA"/>
        </w:rPr>
        <w:t>按摩</w:t>
      </w:r>
    </w:p>
    <w:p w14:paraId="450809AE">
      <w:pPr>
        <w:pStyle w:val="56"/>
        <w:ind w:firstLine="420"/>
        <w:rPr>
          <w:rFonts w:hint="eastAsia"/>
          <w:lang w:val="en-US" w:eastAsia="zh-CN"/>
        </w:rPr>
      </w:pPr>
      <w:r>
        <w:rPr>
          <w:rFonts w:hint="eastAsia"/>
          <w:lang w:val="en-US" w:eastAsia="zh-CN"/>
        </w:rPr>
        <w:t>重点按摩足三里、三阴交、脾俞、心俞、神门等穴位，采用揉法、按法，每个穴位按摩3-5分钟，力度以酸胀为度；同时顺时针揉按腹部（中脘、关元区域），每次10-15分钟，促进脾胃运化、气血生成，每周2-3次，4周为1疗程。</w:t>
      </w:r>
    </w:p>
    <w:p w14:paraId="7A525CC7">
      <w:pPr>
        <w:pStyle w:val="162"/>
        <w:keepNext w:val="0"/>
        <w:keepLines w:val="0"/>
        <w:pageBreakBefore w:val="0"/>
        <w:widowControl/>
        <w:numPr>
          <w:ilvl w:val="2"/>
          <w:numId w:val="0"/>
        </w:numPr>
        <w:kinsoku/>
        <w:wordWrap/>
        <w:overflowPunct/>
        <w:topLinePunct w:val="0"/>
        <w:autoSpaceDE/>
        <w:autoSpaceDN/>
        <w:bidi w:val="0"/>
        <w:adjustRightInd/>
        <w:snapToGrid/>
        <w:spacing w:before="157" w:beforeLines="50" w:after="157" w:afterLines="50"/>
        <w:ind w:leftChars="0"/>
        <w:textAlignment w:val="auto"/>
        <w:rPr>
          <w:rFonts w:hint="eastAsia" w:ascii="黑体" w:hAnsi="Times New Roman" w:eastAsia="黑体" w:cs="Times New Roman"/>
          <w:sz w:val="21"/>
          <w:lang w:val="en-US" w:eastAsia="zh-CN" w:bidi="ar-SA"/>
        </w:rPr>
      </w:pPr>
      <w:r>
        <w:rPr>
          <w:rFonts w:hint="eastAsia" w:ascii="黑体" w:hAnsi="Times New Roman" w:eastAsia="黑体" w:cs="Times New Roman"/>
          <w:sz w:val="21"/>
          <w:lang w:val="en-US" w:eastAsia="zh-CN" w:bidi="ar-SA"/>
        </w:rPr>
        <w:t>6.5.4.1.4 中药贴敷</w:t>
      </w:r>
    </w:p>
    <w:p w14:paraId="3F9BD4A8">
      <w:pPr>
        <w:pStyle w:val="56"/>
        <w:ind w:firstLine="420"/>
        <w:rPr>
          <w:rFonts w:hint="eastAsia"/>
          <w:lang w:val="en-US" w:eastAsia="zh-CN"/>
        </w:rPr>
      </w:pPr>
      <w:r>
        <w:rPr>
          <w:rFonts w:hint="eastAsia"/>
          <w:lang w:val="en-US" w:eastAsia="zh-CN"/>
        </w:rPr>
        <w:t>选用党参、黄芪、当归、酸枣仁、龙眼肉等中药研粉，用蜂蜜调成糊状，贴于足三里、三阴交、神门、心俞穴位，每次贴敷4-6小时，每周1-2次，4周为1疗程，避免贴敷部位过敏。</w:t>
      </w:r>
    </w:p>
    <w:p w14:paraId="2CE11965">
      <w:pPr>
        <w:pStyle w:val="162"/>
        <w:keepNext w:val="0"/>
        <w:keepLines w:val="0"/>
        <w:pageBreakBefore w:val="0"/>
        <w:widowControl/>
        <w:numPr>
          <w:ilvl w:val="2"/>
          <w:numId w:val="0"/>
        </w:numPr>
        <w:kinsoku/>
        <w:wordWrap/>
        <w:overflowPunct/>
        <w:topLinePunct w:val="0"/>
        <w:autoSpaceDE/>
        <w:autoSpaceDN/>
        <w:bidi w:val="0"/>
        <w:adjustRightInd/>
        <w:snapToGrid/>
        <w:spacing w:before="157" w:beforeLines="50" w:after="157" w:afterLines="50"/>
        <w:ind w:leftChars="0"/>
        <w:textAlignment w:val="auto"/>
        <w:rPr>
          <w:rFonts w:hint="eastAsia" w:ascii="黑体" w:hAnsi="Times New Roman" w:eastAsia="黑体" w:cs="Times New Roman"/>
          <w:sz w:val="21"/>
          <w:lang w:val="en-US" w:eastAsia="zh-CN" w:bidi="ar-SA"/>
        </w:rPr>
      </w:pPr>
      <w:r>
        <w:rPr>
          <w:rFonts w:hint="eastAsia" w:ascii="黑体" w:hAnsi="Times New Roman" w:eastAsia="黑体" w:cs="Times New Roman"/>
          <w:sz w:val="21"/>
          <w:lang w:val="en-US" w:eastAsia="zh-CN" w:bidi="ar-SA"/>
        </w:rPr>
        <w:t>6.5.4.1.5 中药热奄包</w:t>
      </w:r>
    </w:p>
    <w:p w14:paraId="286D71CC">
      <w:pPr>
        <w:pStyle w:val="56"/>
        <w:ind w:firstLine="420"/>
        <w:rPr>
          <w:rFonts w:hint="eastAsia"/>
          <w:lang w:val="en-US" w:eastAsia="zh-CN"/>
        </w:rPr>
      </w:pPr>
      <w:r>
        <w:rPr>
          <w:rFonts w:hint="eastAsia"/>
          <w:lang w:val="en-US" w:eastAsia="zh-CN"/>
        </w:rPr>
        <w:t>选用党参、黄芪、当归、艾叶、生姜等益气养血、温通经络的中药，装入布袋中加热至40-45℃，敷于脾俞、心俞、中脘、关元穴位，每次15-20分钟，每周2次，4周为1疗程；温度适中，避免烫伤，敷后及时保暖。</w:t>
      </w:r>
    </w:p>
    <w:p w14:paraId="626162CB">
      <w:pPr>
        <w:pStyle w:val="162"/>
        <w:keepNext w:val="0"/>
        <w:keepLines w:val="0"/>
        <w:pageBreakBefore w:val="0"/>
        <w:widowControl/>
        <w:numPr>
          <w:ilvl w:val="2"/>
          <w:numId w:val="0"/>
        </w:numPr>
        <w:kinsoku/>
        <w:wordWrap/>
        <w:overflowPunct/>
        <w:topLinePunct w:val="0"/>
        <w:autoSpaceDE/>
        <w:autoSpaceDN/>
        <w:bidi w:val="0"/>
        <w:adjustRightInd/>
        <w:snapToGrid/>
        <w:spacing w:before="157" w:beforeLines="50" w:after="157" w:afterLines="50"/>
        <w:ind w:leftChars="0"/>
        <w:textAlignment w:val="auto"/>
        <w:rPr>
          <w:rFonts w:hint="eastAsia" w:ascii="黑体" w:hAnsi="Times New Roman" w:eastAsia="黑体" w:cs="Times New Roman"/>
          <w:sz w:val="21"/>
          <w:lang w:val="en-US" w:eastAsia="zh-CN" w:bidi="ar-SA"/>
        </w:rPr>
      </w:pPr>
      <w:r>
        <w:rPr>
          <w:rFonts w:hint="eastAsia" w:ascii="黑体" w:hAnsi="Times New Roman" w:eastAsia="黑体" w:cs="Times New Roman"/>
          <w:sz w:val="21"/>
          <w:lang w:val="en-US" w:eastAsia="zh-CN" w:bidi="ar-SA"/>
        </w:rPr>
        <w:t>6.5.4.2 肝肾阴虚型</w:t>
      </w:r>
    </w:p>
    <w:p w14:paraId="1ACB3B12">
      <w:pPr>
        <w:pStyle w:val="56"/>
        <w:ind w:firstLine="420"/>
        <w:rPr>
          <w:rFonts w:hint="eastAsia"/>
          <w:lang w:val="en-US" w:eastAsia="zh-CN"/>
        </w:rPr>
      </w:pPr>
      <w:r>
        <w:rPr>
          <w:rFonts w:hint="eastAsia"/>
          <w:lang w:val="en-US" w:eastAsia="zh-CN"/>
        </w:rPr>
        <w:t>核心干预：滋阴补肾、养肝明目，选用耳穴压豆、中药熏蒸、推拿按摩组合干预，忌温热刺激，注重滋养阴液。</w:t>
      </w:r>
    </w:p>
    <w:p w14:paraId="7E66B78A">
      <w:pPr>
        <w:pStyle w:val="162"/>
        <w:keepNext w:val="0"/>
        <w:keepLines w:val="0"/>
        <w:pageBreakBefore w:val="0"/>
        <w:widowControl/>
        <w:numPr>
          <w:ilvl w:val="2"/>
          <w:numId w:val="0"/>
        </w:numPr>
        <w:kinsoku/>
        <w:wordWrap/>
        <w:overflowPunct/>
        <w:topLinePunct w:val="0"/>
        <w:autoSpaceDE/>
        <w:autoSpaceDN/>
        <w:bidi w:val="0"/>
        <w:adjustRightInd/>
        <w:snapToGrid/>
        <w:spacing w:before="157" w:beforeLines="50" w:after="157" w:afterLines="50"/>
        <w:ind w:leftChars="0"/>
        <w:textAlignment w:val="auto"/>
        <w:rPr>
          <w:rFonts w:hint="eastAsia" w:ascii="黑体" w:hAnsi="Times New Roman" w:eastAsia="黑体" w:cs="Times New Roman"/>
          <w:sz w:val="21"/>
          <w:lang w:val="en-US" w:eastAsia="zh-CN" w:bidi="ar-SA"/>
        </w:rPr>
      </w:pPr>
      <w:r>
        <w:rPr>
          <w:rFonts w:hint="eastAsia" w:ascii="黑体" w:hAnsi="Times New Roman" w:eastAsia="黑体" w:cs="Times New Roman"/>
          <w:sz w:val="21"/>
          <w:lang w:val="en-US" w:eastAsia="zh-CN" w:bidi="ar-SA"/>
        </w:rPr>
        <w:t>6.5.4.2.1 针灸</w:t>
      </w:r>
    </w:p>
    <w:p w14:paraId="0648BB84">
      <w:pPr>
        <w:pStyle w:val="56"/>
        <w:ind w:firstLine="420"/>
        <w:rPr>
          <w:rFonts w:hint="eastAsia"/>
          <w:lang w:val="en-US" w:eastAsia="zh-CN"/>
        </w:rPr>
      </w:pPr>
      <w:r>
        <w:rPr>
          <w:rFonts w:hint="eastAsia"/>
          <w:lang w:val="en-US" w:eastAsia="zh-CN"/>
        </w:rPr>
        <w:t>核心穴位选取肝俞、肾俞、太溪、睛明、风池，配穴选取百会（头晕明显者加）、三阴交（阴虚明显者加）、太冲（肝火旺者加）。采用毫针针刺，行补法，留针20分钟，每周2次，4周为1疗程；忌行强刺激手法，避免耗伤阴液，针刺后及时保暖。</w:t>
      </w:r>
    </w:p>
    <w:p w14:paraId="551D8541">
      <w:pPr>
        <w:pStyle w:val="162"/>
        <w:keepNext w:val="0"/>
        <w:keepLines w:val="0"/>
        <w:pageBreakBefore w:val="0"/>
        <w:widowControl/>
        <w:numPr>
          <w:ilvl w:val="2"/>
          <w:numId w:val="0"/>
        </w:numPr>
        <w:kinsoku/>
        <w:wordWrap/>
        <w:overflowPunct/>
        <w:topLinePunct w:val="0"/>
        <w:autoSpaceDE/>
        <w:autoSpaceDN/>
        <w:bidi w:val="0"/>
        <w:adjustRightInd/>
        <w:snapToGrid/>
        <w:spacing w:before="157" w:beforeLines="50" w:after="157" w:afterLines="50"/>
        <w:ind w:leftChars="0"/>
        <w:textAlignment w:val="auto"/>
        <w:rPr>
          <w:rFonts w:hint="eastAsia" w:ascii="黑体" w:hAnsi="Times New Roman" w:eastAsia="黑体" w:cs="Times New Roman"/>
          <w:sz w:val="21"/>
          <w:lang w:val="en-US" w:eastAsia="zh-CN" w:bidi="ar-SA"/>
        </w:rPr>
      </w:pPr>
      <w:r>
        <w:rPr>
          <w:rFonts w:hint="eastAsia" w:ascii="黑体" w:hAnsi="Times New Roman" w:eastAsia="黑体" w:cs="Times New Roman"/>
          <w:sz w:val="21"/>
          <w:lang w:val="en-US" w:eastAsia="zh-CN" w:bidi="ar-SA"/>
        </w:rPr>
        <w:t>6.5.4.2.2 耳穴压豆</w:t>
      </w:r>
    </w:p>
    <w:p w14:paraId="013AF7C9">
      <w:pPr>
        <w:pStyle w:val="56"/>
        <w:ind w:firstLine="420"/>
        <w:rPr>
          <w:rFonts w:hint="eastAsia"/>
          <w:lang w:val="en-US" w:eastAsia="zh-CN"/>
        </w:rPr>
      </w:pPr>
      <w:r>
        <w:rPr>
          <w:rFonts w:hint="eastAsia"/>
          <w:lang w:val="en-US" w:eastAsia="zh-CN"/>
        </w:rPr>
        <w:t>选用肝、肾、眼、神门、皮质下、涌泉（耳穴对应区）等耳穴，将王不留行籽贴于对应耳穴，每天按压3-5次，每次每穴按压1-2分钟，以酸麻胀痛为度，每周更换1-2次，4周为1疗程。</w:t>
      </w:r>
    </w:p>
    <w:p w14:paraId="30C8B4E2">
      <w:pPr>
        <w:pStyle w:val="162"/>
        <w:keepNext w:val="0"/>
        <w:keepLines w:val="0"/>
        <w:pageBreakBefore w:val="0"/>
        <w:widowControl/>
        <w:numPr>
          <w:ilvl w:val="2"/>
          <w:numId w:val="0"/>
        </w:numPr>
        <w:kinsoku/>
        <w:wordWrap/>
        <w:overflowPunct/>
        <w:topLinePunct w:val="0"/>
        <w:autoSpaceDE/>
        <w:autoSpaceDN/>
        <w:bidi w:val="0"/>
        <w:adjustRightInd/>
        <w:snapToGrid/>
        <w:spacing w:before="157" w:beforeLines="50" w:after="157" w:afterLines="50"/>
        <w:ind w:leftChars="0"/>
        <w:textAlignment w:val="auto"/>
        <w:rPr>
          <w:rFonts w:hint="eastAsia" w:ascii="黑体" w:hAnsi="Times New Roman" w:eastAsia="黑体" w:cs="Times New Roman"/>
          <w:sz w:val="21"/>
          <w:lang w:val="en-US" w:eastAsia="zh-CN" w:bidi="ar-SA"/>
        </w:rPr>
      </w:pPr>
      <w:r>
        <w:rPr>
          <w:rFonts w:hint="eastAsia" w:ascii="黑体" w:hAnsi="Times New Roman" w:eastAsia="黑体" w:cs="Times New Roman"/>
          <w:sz w:val="21"/>
          <w:lang w:val="en-US" w:eastAsia="zh-CN" w:bidi="ar-SA"/>
        </w:rPr>
        <w:t>6.5.4.2.3 中药熏蒸</w:t>
      </w:r>
    </w:p>
    <w:p w14:paraId="07A5E346">
      <w:pPr>
        <w:pStyle w:val="56"/>
        <w:ind w:firstLine="420"/>
        <w:rPr>
          <w:rFonts w:hint="eastAsia"/>
          <w:lang w:val="en-US" w:eastAsia="zh-CN"/>
        </w:rPr>
      </w:pPr>
      <w:r>
        <w:rPr>
          <w:rFonts w:hint="eastAsia"/>
          <w:lang w:val="en-US" w:eastAsia="zh-CN"/>
        </w:rPr>
        <w:t>选用枸杞、菊花、女贞子、墨旱莲、麦冬等滋阴中药，加水煎煮后，熏蒸头部及颈部（避开眼部），每次15-20分钟，温度控制在40-45℃，避免烫伤，每周1-2次，4周为1疗程，熏蒸后及时擦干，避免受凉。</w:t>
      </w:r>
    </w:p>
    <w:p w14:paraId="58ECBDBC">
      <w:pPr>
        <w:pStyle w:val="162"/>
        <w:keepNext w:val="0"/>
        <w:keepLines w:val="0"/>
        <w:pageBreakBefore w:val="0"/>
        <w:widowControl/>
        <w:numPr>
          <w:ilvl w:val="2"/>
          <w:numId w:val="0"/>
        </w:numPr>
        <w:kinsoku/>
        <w:wordWrap/>
        <w:overflowPunct/>
        <w:topLinePunct w:val="0"/>
        <w:autoSpaceDE/>
        <w:autoSpaceDN/>
        <w:bidi w:val="0"/>
        <w:adjustRightInd/>
        <w:snapToGrid/>
        <w:spacing w:before="157" w:beforeLines="50" w:after="157" w:afterLines="50"/>
        <w:ind w:leftChars="0"/>
        <w:textAlignment w:val="auto"/>
        <w:rPr>
          <w:rFonts w:hint="eastAsia" w:ascii="黑体" w:hAnsi="Times New Roman" w:eastAsia="黑体" w:cs="Times New Roman"/>
          <w:sz w:val="21"/>
          <w:lang w:val="en-US" w:eastAsia="zh-CN" w:bidi="ar-SA"/>
        </w:rPr>
      </w:pPr>
      <w:r>
        <w:rPr>
          <w:rFonts w:hint="eastAsia" w:ascii="黑体" w:hAnsi="Times New Roman" w:eastAsia="黑体" w:cs="Times New Roman"/>
          <w:sz w:val="21"/>
          <w:lang w:val="en-US" w:eastAsia="zh-CN" w:bidi="ar-SA"/>
        </w:rPr>
        <w:t>6.5.4.2.4 推拿按摩</w:t>
      </w:r>
    </w:p>
    <w:p w14:paraId="4121E9B3">
      <w:pPr>
        <w:pStyle w:val="56"/>
        <w:ind w:firstLine="420"/>
        <w:rPr>
          <w:rFonts w:hint="eastAsia"/>
          <w:lang w:val="en-US" w:eastAsia="zh-CN"/>
        </w:rPr>
      </w:pPr>
      <w:r>
        <w:rPr>
          <w:rFonts w:hint="eastAsia"/>
          <w:lang w:val="en-US" w:eastAsia="zh-CN"/>
        </w:rPr>
        <w:t>重点按摩肝俞、肾俞、太溪、涌泉、睛明、风池等穴位，采用揉法、按法，力度轻柔，每个穴位按摩3-5分钟，每周2-3次，4周为1疗程，可配合头部按摩，改善头晕、视物模糊症状。</w:t>
      </w:r>
    </w:p>
    <w:p w14:paraId="2739F357">
      <w:pPr>
        <w:pStyle w:val="162"/>
        <w:keepNext w:val="0"/>
        <w:keepLines w:val="0"/>
        <w:pageBreakBefore w:val="0"/>
        <w:widowControl/>
        <w:numPr>
          <w:ilvl w:val="2"/>
          <w:numId w:val="0"/>
        </w:numPr>
        <w:kinsoku/>
        <w:wordWrap/>
        <w:overflowPunct/>
        <w:topLinePunct w:val="0"/>
        <w:autoSpaceDE/>
        <w:autoSpaceDN/>
        <w:bidi w:val="0"/>
        <w:adjustRightInd/>
        <w:snapToGrid/>
        <w:spacing w:before="157" w:beforeLines="50" w:after="157" w:afterLines="50"/>
        <w:ind w:leftChars="0"/>
        <w:textAlignment w:val="auto"/>
        <w:rPr>
          <w:rFonts w:hint="eastAsia" w:ascii="黑体" w:hAnsi="Times New Roman" w:eastAsia="黑体" w:cs="Times New Roman"/>
          <w:sz w:val="21"/>
          <w:lang w:val="en-US" w:eastAsia="zh-CN" w:bidi="ar-SA"/>
        </w:rPr>
      </w:pPr>
      <w:r>
        <w:rPr>
          <w:rFonts w:hint="eastAsia" w:ascii="黑体" w:hAnsi="Times New Roman" w:eastAsia="黑体" w:cs="Times New Roman"/>
          <w:sz w:val="21"/>
          <w:lang w:val="en-US" w:eastAsia="zh-CN" w:bidi="ar-SA"/>
        </w:rPr>
        <w:t>6.5.4.2.5 塌渍</w:t>
      </w:r>
    </w:p>
    <w:p w14:paraId="75E33CBE">
      <w:pPr>
        <w:pStyle w:val="56"/>
        <w:ind w:firstLine="420"/>
        <w:rPr>
          <w:rFonts w:hint="eastAsia"/>
          <w:lang w:val="en-US" w:eastAsia="zh-CN"/>
        </w:rPr>
      </w:pPr>
      <w:r>
        <w:rPr>
          <w:rFonts w:hint="eastAsia"/>
          <w:lang w:val="en-US" w:eastAsia="zh-CN"/>
        </w:rPr>
        <w:t>选用枸杞、菊花、麦冬、女贞子等滋阴养肝的中药，加水煎煮取汁，将无菌纱布浸湿后拧至半干，塌敷于眼部、颈部及肝俞、肾俞区域，每次15分钟，每周2次，4周为1疗程；温度控制在38-40℃，避免烫伤，塌敷后擦干皮肤，避免受凉。</w:t>
      </w:r>
    </w:p>
    <w:p w14:paraId="27D8727F">
      <w:pPr>
        <w:pStyle w:val="162"/>
        <w:keepNext w:val="0"/>
        <w:keepLines w:val="0"/>
        <w:pageBreakBefore w:val="0"/>
        <w:widowControl/>
        <w:numPr>
          <w:ilvl w:val="2"/>
          <w:numId w:val="0"/>
        </w:numPr>
        <w:kinsoku/>
        <w:wordWrap/>
        <w:overflowPunct/>
        <w:topLinePunct w:val="0"/>
        <w:autoSpaceDE/>
        <w:autoSpaceDN/>
        <w:bidi w:val="0"/>
        <w:adjustRightInd/>
        <w:snapToGrid/>
        <w:spacing w:before="157" w:beforeLines="50" w:after="157" w:afterLines="50"/>
        <w:ind w:leftChars="0"/>
        <w:textAlignment w:val="auto"/>
        <w:rPr>
          <w:rFonts w:hint="eastAsia" w:ascii="黑体" w:hAnsi="Times New Roman" w:eastAsia="黑体" w:cs="Times New Roman"/>
          <w:sz w:val="21"/>
          <w:lang w:val="en-US" w:eastAsia="zh-CN" w:bidi="ar-SA"/>
        </w:rPr>
      </w:pPr>
      <w:r>
        <w:rPr>
          <w:rFonts w:hint="eastAsia" w:ascii="黑体" w:hAnsi="Times New Roman" w:eastAsia="黑体" w:cs="Times New Roman"/>
          <w:sz w:val="21"/>
          <w:lang w:val="en-US" w:eastAsia="zh-CN" w:bidi="ar-SA"/>
        </w:rPr>
        <w:t>6.5.4.3 脾肾阳虚型</w:t>
      </w:r>
    </w:p>
    <w:p w14:paraId="0DA90949">
      <w:pPr>
        <w:pStyle w:val="56"/>
        <w:ind w:firstLine="420"/>
        <w:rPr>
          <w:rFonts w:hint="eastAsia"/>
          <w:lang w:val="en-US" w:eastAsia="zh-CN"/>
        </w:rPr>
      </w:pPr>
      <w:r>
        <w:rPr>
          <w:rFonts w:hint="eastAsia"/>
          <w:lang w:val="en-US" w:eastAsia="zh-CN"/>
        </w:rPr>
        <w:t>核心干预：温补脾肾、散寒除湿，选用艾灸、平衡火罐、中药贴敷组合干预，注重温热散寒，增强阳气。</w:t>
      </w:r>
    </w:p>
    <w:p w14:paraId="311586B4">
      <w:pPr>
        <w:pStyle w:val="162"/>
        <w:keepNext w:val="0"/>
        <w:keepLines w:val="0"/>
        <w:pageBreakBefore w:val="0"/>
        <w:widowControl/>
        <w:numPr>
          <w:ilvl w:val="2"/>
          <w:numId w:val="0"/>
        </w:numPr>
        <w:kinsoku/>
        <w:wordWrap/>
        <w:overflowPunct/>
        <w:topLinePunct w:val="0"/>
        <w:autoSpaceDE/>
        <w:autoSpaceDN/>
        <w:bidi w:val="0"/>
        <w:adjustRightInd/>
        <w:snapToGrid/>
        <w:spacing w:before="157" w:beforeLines="50" w:after="157" w:afterLines="50"/>
        <w:ind w:leftChars="0"/>
        <w:textAlignment w:val="auto"/>
        <w:rPr>
          <w:rFonts w:hint="eastAsia" w:ascii="黑体" w:hAnsi="Times New Roman" w:eastAsia="黑体" w:cs="Times New Roman"/>
          <w:sz w:val="21"/>
          <w:lang w:val="en-US" w:eastAsia="zh-CN" w:bidi="ar-SA"/>
        </w:rPr>
      </w:pPr>
      <w:r>
        <w:rPr>
          <w:rFonts w:hint="eastAsia" w:ascii="黑体" w:hAnsi="Times New Roman" w:eastAsia="黑体" w:cs="Times New Roman"/>
          <w:sz w:val="21"/>
          <w:lang w:val="en-US" w:eastAsia="zh-CN" w:bidi="ar-SA"/>
        </w:rPr>
        <w:t>6.5.4.3.1 针灸</w:t>
      </w:r>
    </w:p>
    <w:p w14:paraId="2976116C">
      <w:pPr>
        <w:pStyle w:val="56"/>
        <w:ind w:firstLine="420"/>
        <w:rPr>
          <w:rFonts w:hint="eastAsia"/>
          <w:lang w:val="en-US" w:eastAsia="zh-CN"/>
        </w:rPr>
      </w:pPr>
      <w:r>
        <w:rPr>
          <w:rFonts w:hint="eastAsia"/>
          <w:lang w:val="en-US" w:eastAsia="zh-CN"/>
        </w:rPr>
        <w:t>核心穴位选取脾俞、肾俞、关元、气海、足三里、命门，配穴选取阴陵泉（湿气重者加）、太溪（肾虚明显者加）。采用毫针针刺，行补法，可配合艾灸（温针），留针20-30分钟，每周2-3次，4周为1疗程；温针时控制温度，避免烫伤皮肤。</w:t>
      </w:r>
    </w:p>
    <w:p w14:paraId="5CDC9123">
      <w:pPr>
        <w:pStyle w:val="162"/>
        <w:keepNext w:val="0"/>
        <w:keepLines w:val="0"/>
        <w:pageBreakBefore w:val="0"/>
        <w:widowControl/>
        <w:numPr>
          <w:ilvl w:val="2"/>
          <w:numId w:val="0"/>
        </w:numPr>
        <w:kinsoku/>
        <w:wordWrap/>
        <w:overflowPunct/>
        <w:topLinePunct w:val="0"/>
        <w:autoSpaceDE/>
        <w:autoSpaceDN/>
        <w:bidi w:val="0"/>
        <w:adjustRightInd/>
        <w:snapToGrid/>
        <w:spacing w:before="157" w:beforeLines="50" w:after="157" w:afterLines="50"/>
        <w:ind w:leftChars="0"/>
        <w:textAlignment w:val="auto"/>
        <w:rPr>
          <w:rFonts w:hint="eastAsia" w:ascii="黑体" w:hAnsi="Times New Roman" w:eastAsia="黑体" w:cs="Times New Roman"/>
          <w:sz w:val="21"/>
          <w:lang w:val="en-US" w:eastAsia="zh-CN" w:bidi="ar-SA"/>
        </w:rPr>
      </w:pPr>
      <w:r>
        <w:rPr>
          <w:rFonts w:hint="eastAsia" w:ascii="黑体" w:hAnsi="Times New Roman" w:eastAsia="黑体" w:cs="Times New Roman"/>
          <w:sz w:val="21"/>
          <w:lang w:val="en-US" w:eastAsia="zh-CN" w:bidi="ar-SA"/>
        </w:rPr>
        <w:t>6.5.4.3.2 艾灸</w:t>
      </w:r>
    </w:p>
    <w:p w14:paraId="4EDF0057">
      <w:pPr>
        <w:pStyle w:val="56"/>
        <w:ind w:firstLine="420"/>
        <w:rPr>
          <w:rFonts w:hint="eastAsia"/>
          <w:lang w:val="en-US" w:eastAsia="zh-CN"/>
        </w:rPr>
      </w:pPr>
      <w:r>
        <w:rPr>
          <w:rFonts w:hint="eastAsia"/>
          <w:lang w:val="en-US" w:eastAsia="zh-CN"/>
        </w:rPr>
        <w:t>选取脾俞、肾俞、关元、气海、足三里、命门等穴位，采用温和灸或隔姜灸，每穴灸15-20分钟，每周2-3次，4周为1疗程；畏寒明显者，可增加关元、命门穴位灸疗时间，增强温补功效。</w:t>
      </w:r>
    </w:p>
    <w:p w14:paraId="3A490EDE">
      <w:pPr>
        <w:pStyle w:val="162"/>
        <w:keepNext w:val="0"/>
        <w:keepLines w:val="0"/>
        <w:pageBreakBefore w:val="0"/>
        <w:widowControl/>
        <w:numPr>
          <w:ilvl w:val="2"/>
          <w:numId w:val="0"/>
        </w:numPr>
        <w:kinsoku/>
        <w:wordWrap/>
        <w:overflowPunct/>
        <w:topLinePunct w:val="0"/>
        <w:autoSpaceDE/>
        <w:autoSpaceDN/>
        <w:bidi w:val="0"/>
        <w:adjustRightInd/>
        <w:snapToGrid/>
        <w:spacing w:before="157" w:beforeLines="50" w:after="157" w:afterLines="50"/>
        <w:ind w:leftChars="0"/>
        <w:textAlignment w:val="auto"/>
        <w:rPr>
          <w:rFonts w:hint="eastAsia" w:ascii="黑体" w:hAnsi="Times New Roman" w:eastAsia="黑体" w:cs="Times New Roman"/>
          <w:sz w:val="21"/>
          <w:lang w:val="en-US" w:eastAsia="zh-CN" w:bidi="ar-SA"/>
        </w:rPr>
      </w:pPr>
      <w:r>
        <w:rPr>
          <w:rFonts w:hint="eastAsia" w:ascii="黑体" w:hAnsi="Times New Roman" w:eastAsia="黑体" w:cs="Times New Roman"/>
          <w:sz w:val="21"/>
          <w:lang w:val="en-US" w:eastAsia="zh-CN" w:bidi="ar-SA"/>
        </w:rPr>
        <w:t>6.5.4.3.3 平衡火罐</w:t>
      </w:r>
    </w:p>
    <w:p w14:paraId="532B3DE5">
      <w:pPr>
        <w:pStyle w:val="56"/>
        <w:ind w:firstLine="420"/>
        <w:rPr>
          <w:rFonts w:hint="eastAsia"/>
          <w:lang w:val="en-US" w:eastAsia="zh-CN"/>
        </w:rPr>
      </w:pPr>
      <w:r>
        <w:rPr>
          <w:rFonts w:hint="eastAsia"/>
          <w:lang w:val="en-US" w:eastAsia="zh-CN"/>
        </w:rPr>
        <w:t>重点在背部膀胱经（脾俞、肾俞区域）操作，采用闪罐、留罐结合的方式，左右对称操作，留罐10-15分钟，每周1次，4周为1疗程，避免皮肤破损，罐后注意保暖。</w:t>
      </w:r>
    </w:p>
    <w:p w14:paraId="597D5828">
      <w:pPr>
        <w:pStyle w:val="162"/>
        <w:keepNext w:val="0"/>
        <w:keepLines w:val="0"/>
        <w:pageBreakBefore w:val="0"/>
        <w:widowControl/>
        <w:numPr>
          <w:ilvl w:val="2"/>
          <w:numId w:val="0"/>
        </w:numPr>
        <w:kinsoku/>
        <w:wordWrap/>
        <w:overflowPunct/>
        <w:topLinePunct w:val="0"/>
        <w:autoSpaceDE/>
        <w:autoSpaceDN/>
        <w:bidi w:val="0"/>
        <w:adjustRightInd/>
        <w:snapToGrid/>
        <w:spacing w:before="157" w:beforeLines="50" w:after="157" w:afterLines="50"/>
        <w:ind w:leftChars="0"/>
        <w:textAlignment w:val="auto"/>
        <w:rPr>
          <w:rFonts w:hint="eastAsia" w:ascii="黑体" w:hAnsi="Times New Roman" w:eastAsia="黑体" w:cs="Times New Roman"/>
          <w:sz w:val="21"/>
          <w:lang w:val="en-US" w:eastAsia="zh-CN" w:bidi="ar-SA"/>
        </w:rPr>
      </w:pPr>
      <w:r>
        <w:rPr>
          <w:rFonts w:hint="eastAsia" w:ascii="黑体" w:hAnsi="Times New Roman" w:eastAsia="黑体" w:cs="Times New Roman"/>
          <w:sz w:val="21"/>
          <w:lang w:val="en-US" w:eastAsia="zh-CN" w:bidi="ar-SA"/>
        </w:rPr>
        <w:t>6.5.4.3.4 中药贴敷</w:t>
      </w:r>
    </w:p>
    <w:p w14:paraId="7595A32B">
      <w:pPr>
        <w:pStyle w:val="56"/>
        <w:ind w:firstLine="420"/>
        <w:rPr>
          <w:rFonts w:hint="eastAsia"/>
          <w:lang w:val="en-US" w:eastAsia="zh-CN"/>
        </w:rPr>
      </w:pPr>
      <w:r>
        <w:rPr>
          <w:rFonts w:hint="eastAsia"/>
          <w:lang w:val="en-US" w:eastAsia="zh-CN"/>
        </w:rPr>
        <w:t>选用附子、干姜、肉桂、白术、补骨脂等温热中药研粉，用生姜汁调成糊状，贴于关元、气海、足三里、肾俞穴位，每次贴敷4-6小时，每周1次，4周为1疗程，阴虚火旺者慎用。</w:t>
      </w:r>
    </w:p>
    <w:p w14:paraId="58DAFC32">
      <w:pPr>
        <w:pStyle w:val="162"/>
        <w:keepNext w:val="0"/>
        <w:keepLines w:val="0"/>
        <w:pageBreakBefore w:val="0"/>
        <w:widowControl/>
        <w:numPr>
          <w:ilvl w:val="2"/>
          <w:numId w:val="0"/>
        </w:numPr>
        <w:kinsoku/>
        <w:wordWrap/>
        <w:overflowPunct/>
        <w:topLinePunct w:val="0"/>
        <w:autoSpaceDE/>
        <w:autoSpaceDN/>
        <w:bidi w:val="0"/>
        <w:adjustRightInd/>
        <w:snapToGrid/>
        <w:spacing w:before="157" w:beforeLines="50" w:after="157" w:afterLines="50"/>
        <w:ind w:leftChars="0"/>
        <w:textAlignment w:val="auto"/>
        <w:rPr>
          <w:rFonts w:hint="eastAsia" w:ascii="黑体" w:hAnsi="Times New Roman" w:eastAsia="黑体" w:cs="Times New Roman"/>
          <w:sz w:val="21"/>
          <w:lang w:val="en-US" w:eastAsia="zh-CN" w:bidi="ar-SA"/>
        </w:rPr>
      </w:pPr>
      <w:r>
        <w:rPr>
          <w:rFonts w:hint="eastAsia" w:ascii="黑体" w:hAnsi="Times New Roman" w:eastAsia="黑体" w:cs="Times New Roman"/>
          <w:sz w:val="21"/>
          <w:lang w:val="en-US" w:eastAsia="zh-CN" w:bidi="ar-SA"/>
        </w:rPr>
        <w:t>6.5.4.3.5 中药热奄包</w:t>
      </w:r>
    </w:p>
    <w:p w14:paraId="3A455434">
      <w:pPr>
        <w:pStyle w:val="56"/>
        <w:ind w:firstLine="420"/>
        <w:rPr>
          <w:rFonts w:hint="eastAsia"/>
          <w:lang w:val="en-US" w:eastAsia="zh-CN"/>
        </w:rPr>
      </w:pPr>
      <w:r>
        <w:rPr>
          <w:rFonts w:hint="eastAsia"/>
          <w:lang w:val="en-US" w:eastAsia="zh-CN"/>
        </w:rPr>
        <w:t>选用附子、干姜、肉桂、艾叶、花椒等温中散寒、补肾助阳的中药，装入布袋加热至45-50℃，敷于肾俞、命门、关元、气海穴位，每次20分钟，每周2-3次，4周为1疗程；敷后注意保暖，避免受凉，阴虚火旺者禁用。</w:t>
      </w:r>
    </w:p>
    <w:p w14:paraId="0FDBFC4A">
      <w:pPr>
        <w:pStyle w:val="162"/>
        <w:keepNext w:val="0"/>
        <w:keepLines w:val="0"/>
        <w:pageBreakBefore w:val="0"/>
        <w:widowControl/>
        <w:numPr>
          <w:ilvl w:val="2"/>
          <w:numId w:val="0"/>
        </w:numPr>
        <w:kinsoku/>
        <w:wordWrap/>
        <w:overflowPunct/>
        <w:topLinePunct w:val="0"/>
        <w:autoSpaceDE/>
        <w:autoSpaceDN/>
        <w:bidi w:val="0"/>
        <w:adjustRightInd/>
        <w:snapToGrid/>
        <w:spacing w:before="157" w:beforeLines="50" w:after="157" w:afterLines="50"/>
        <w:ind w:leftChars="0"/>
        <w:textAlignment w:val="auto"/>
        <w:rPr>
          <w:rFonts w:hint="eastAsia" w:ascii="黑体" w:hAnsi="Times New Roman" w:eastAsia="黑体" w:cs="Times New Roman"/>
          <w:sz w:val="21"/>
          <w:lang w:val="en-US" w:eastAsia="zh-CN" w:bidi="ar-SA"/>
        </w:rPr>
      </w:pPr>
      <w:r>
        <w:rPr>
          <w:rFonts w:hint="eastAsia" w:ascii="黑体" w:hAnsi="Times New Roman" w:eastAsia="黑体" w:cs="Times New Roman"/>
          <w:sz w:val="21"/>
          <w:lang w:val="en-US" w:eastAsia="zh-CN" w:bidi="ar-SA"/>
        </w:rPr>
        <w:t>6.5.4.4 痰湿内阻型</w:t>
      </w:r>
    </w:p>
    <w:p w14:paraId="21C18E39">
      <w:pPr>
        <w:pStyle w:val="56"/>
        <w:ind w:firstLine="420"/>
        <w:rPr>
          <w:rFonts w:hint="eastAsia"/>
          <w:lang w:val="en-US" w:eastAsia="zh-CN"/>
        </w:rPr>
      </w:pPr>
      <w:r>
        <w:rPr>
          <w:rFonts w:hint="eastAsia"/>
          <w:lang w:val="en-US" w:eastAsia="zh-CN"/>
        </w:rPr>
        <w:t>核心干预：健脾祛湿、化痰通络，选用刮痧、拔罐、中药熏蒸组合干预，促进痰湿排出，调理脾胃运化功能。</w:t>
      </w:r>
    </w:p>
    <w:p w14:paraId="77064A35">
      <w:pPr>
        <w:pStyle w:val="162"/>
        <w:keepNext w:val="0"/>
        <w:keepLines w:val="0"/>
        <w:pageBreakBefore w:val="0"/>
        <w:widowControl/>
        <w:numPr>
          <w:ilvl w:val="2"/>
          <w:numId w:val="0"/>
        </w:numPr>
        <w:kinsoku/>
        <w:wordWrap/>
        <w:overflowPunct/>
        <w:topLinePunct w:val="0"/>
        <w:autoSpaceDE/>
        <w:autoSpaceDN/>
        <w:bidi w:val="0"/>
        <w:adjustRightInd/>
        <w:snapToGrid/>
        <w:spacing w:before="157" w:beforeLines="50" w:after="157" w:afterLines="50"/>
        <w:ind w:leftChars="0"/>
        <w:textAlignment w:val="auto"/>
        <w:rPr>
          <w:rFonts w:hint="eastAsia" w:ascii="黑体" w:hAnsi="Times New Roman" w:eastAsia="黑体" w:cs="Times New Roman"/>
          <w:sz w:val="21"/>
          <w:lang w:val="en-US" w:eastAsia="zh-CN" w:bidi="ar-SA"/>
        </w:rPr>
      </w:pPr>
      <w:r>
        <w:rPr>
          <w:rFonts w:hint="eastAsia" w:ascii="黑体" w:hAnsi="Times New Roman" w:eastAsia="黑体" w:cs="Times New Roman"/>
          <w:sz w:val="21"/>
          <w:lang w:val="en-US" w:eastAsia="zh-CN" w:bidi="ar-SA"/>
        </w:rPr>
        <w:t>6.5.4.4.1 针灸</w:t>
      </w:r>
    </w:p>
    <w:p w14:paraId="45CCA875">
      <w:pPr>
        <w:pStyle w:val="56"/>
        <w:ind w:firstLine="420"/>
        <w:rPr>
          <w:rFonts w:hint="eastAsia"/>
          <w:lang w:val="en-US" w:eastAsia="zh-CN"/>
        </w:rPr>
      </w:pPr>
      <w:r>
        <w:rPr>
          <w:rFonts w:hint="eastAsia"/>
          <w:lang w:val="en-US" w:eastAsia="zh-CN"/>
        </w:rPr>
        <w:t>核心穴位选取脾俞、胃俞、足三里、阴陵泉、丰隆，配穴选取中脘（腹胀明显者加）、公孙（消化不良者加）。采用毫针针刺，行平补平泻法，留针20分钟，每周2次，4周为1疗程；针刺丰隆穴可适当加大刺激力度，促进痰湿排出。</w:t>
      </w:r>
    </w:p>
    <w:p w14:paraId="1EC55BBA">
      <w:pPr>
        <w:pStyle w:val="162"/>
        <w:keepNext w:val="0"/>
        <w:keepLines w:val="0"/>
        <w:pageBreakBefore w:val="0"/>
        <w:widowControl/>
        <w:numPr>
          <w:ilvl w:val="2"/>
          <w:numId w:val="0"/>
        </w:numPr>
        <w:kinsoku/>
        <w:wordWrap/>
        <w:overflowPunct/>
        <w:topLinePunct w:val="0"/>
        <w:autoSpaceDE/>
        <w:autoSpaceDN/>
        <w:bidi w:val="0"/>
        <w:adjustRightInd/>
        <w:snapToGrid/>
        <w:spacing w:before="157" w:beforeLines="50" w:after="157" w:afterLines="50"/>
        <w:ind w:leftChars="0"/>
        <w:textAlignment w:val="auto"/>
        <w:rPr>
          <w:rFonts w:hint="eastAsia" w:ascii="黑体" w:hAnsi="Times New Roman" w:eastAsia="黑体" w:cs="Times New Roman"/>
          <w:sz w:val="21"/>
          <w:lang w:val="en-US" w:eastAsia="zh-CN" w:bidi="ar-SA"/>
        </w:rPr>
      </w:pPr>
      <w:r>
        <w:rPr>
          <w:rFonts w:hint="eastAsia" w:ascii="黑体" w:hAnsi="Times New Roman" w:eastAsia="黑体" w:cs="Times New Roman"/>
          <w:sz w:val="21"/>
          <w:lang w:val="en-US" w:eastAsia="zh-CN" w:bidi="ar-SA"/>
        </w:rPr>
        <w:t>6.5.4.4.2 刮痧</w:t>
      </w:r>
    </w:p>
    <w:p w14:paraId="66220372">
      <w:pPr>
        <w:pStyle w:val="56"/>
        <w:ind w:firstLine="420"/>
        <w:rPr>
          <w:rFonts w:hint="eastAsia"/>
          <w:lang w:val="en-US" w:eastAsia="zh-CN"/>
        </w:rPr>
      </w:pPr>
      <w:r>
        <w:rPr>
          <w:rFonts w:hint="eastAsia"/>
          <w:lang w:val="en-US" w:eastAsia="zh-CN"/>
        </w:rPr>
        <w:t>选取背部膀胱经、脾经、胃经及腹部，采用刮板自上而下、由内向外刮拭，力度适中，以皮肤出现淡红色或紫红色痧斑为宜，每周1次，4周为1疗程，避免刮破皮肤，刮后及时保暖。</w:t>
      </w:r>
    </w:p>
    <w:p w14:paraId="71D2792D">
      <w:pPr>
        <w:pStyle w:val="162"/>
        <w:keepNext w:val="0"/>
        <w:keepLines w:val="0"/>
        <w:pageBreakBefore w:val="0"/>
        <w:widowControl/>
        <w:numPr>
          <w:ilvl w:val="2"/>
          <w:numId w:val="0"/>
        </w:numPr>
        <w:kinsoku/>
        <w:wordWrap/>
        <w:overflowPunct/>
        <w:topLinePunct w:val="0"/>
        <w:autoSpaceDE/>
        <w:autoSpaceDN/>
        <w:bidi w:val="0"/>
        <w:adjustRightInd/>
        <w:snapToGrid/>
        <w:spacing w:before="157" w:beforeLines="50" w:after="157" w:afterLines="50"/>
        <w:ind w:leftChars="0"/>
        <w:textAlignment w:val="auto"/>
        <w:rPr>
          <w:rFonts w:hint="eastAsia" w:ascii="黑体" w:hAnsi="Times New Roman" w:eastAsia="黑体" w:cs="Times New Roman"/>
          <w:sz w:val="21"/>
          <w:lang w:val="en-US" w:eastAsia="zh-CN" w:bidi="ar-SA"/>
        </w:rPr>
      </w:pPr>
      <w:r>
        <w:rPr>
          <w:rFonts w:hint="eastAsia" w:ascii="黑体" w:hAnsi="Times New Roman" w:eastAsia="黑体" w:cs="Times New Roman"/>
          <w:sz w:val="21"/>
          <w:lang w:val="en-US" w:eastAsia="zh-CN" w:bidi="ar-SA"/>
        </w:rPr>
        <w:t>6.5.4.4.3 拔罐</w:t>
      </w:r>
    </w:p>
    <w:p w14:paraId="35F2AC83">
      <w:pPr>
        <w:pStyle w:val="56"/>
        <w:ind w:firstLine="420"/>
        <w:rPr>
          <w:rFonts w:hint="eastAsia"/>
          <w:lang w:val="en-US" w:eastAsia="zh-CN"/>
        </w:rPr>
      </w:pPr>
      <w:r>
        <w:rPr>
          <w:rFonts w:hint="eastAsia"/>
          <w:lang w:val="en-US" w:eastAsia="zh-CN"/>
        </w:rPr>
        <w:t>选取背部膀胱经、腹部、大腿内侧（脾经循行部位），采用留罐法，留罐10-15分钟，每周1-2次，4周为1疗程，避免烫伤；痰湿较重者，可配合走罐，增强祛湿效果。</w:t>
      </w:r>
    </w:p>
    <w:p w14:paraId="14F7B3D0">
      <w:pPr>
        <w:pStyle w:val="162"/>
        <w:keepNext w:val="0"/>
        <w:keepLines w:val="0"/>
        <w:pageBreakBefore w:val="0"/>
        <w:widowControl/>
        <w:numPr>
          <w:ilvl w:val="2"/>
          <w:numId w:val="0"/>
        </w:numPr>
        <w:kinsoku/>
        <w:wordWrap/>
        <w:overflowPunct/>
        <w:topLinePunct w:val="0"/>
        <w:autoSpaceDE/>
        <w:autoSpaceDN/>
        <w:bidi w:val="0"/>
        <w:adjustRightInd/>
        <w:snapToGrid/>
        <w:spacing w:before="157" w:beforeLines="50" w:after="157" w:afterLines="50"/>
        <w:ind w:leftChars="0"/>
        <w:textAlignment w:val="auto"/>
        <w:rPr>
          <w:rFonts w:hint="eastAsia" w:ascii="黑体" w:hAnsi="Times New Roman" w:eastAsia="黑体" w:cs="Times New Roman"/>
          <w:sz w:val="21"/>
          <w:lang w:val="en-US" w:eastAsia="zh-CN" w:bidi="ar-SA"/>
        </w:rPr>
      </w:pPr>
      <w:r>
        <w:rPr>
          <w:rFonts w:hint="eastAsia" w:ascii="黑体" w:hAnsi="Times New Roman" w:eastAsia="黑体" w:cs="Times New Roman"/>
          <w:sz w:val="21"/>
          <w:lang w:val="en-US" w:eastAsia="zh-CN" w:bidi="ar-SA"/>
        </w:rPr>
        <w:t>6.5.4.4.4 中药熏蒸</w:t>
      </w:r>
    </w:p>
    <w:p w14:paraId="368D6FA0">
      <w:pPr>
        <w:pStyle w:val="56"/>
        <w:ind w:firstLine="420"/>
        <w:rPr>
          <w:rFonts w:hint="eastAsia"/>
          <w:lang w:val="en-US" w:eastAsia="zh-CN"/>
        </w:rPr>
      </w:pPr>
      <w:r>
        <w:rPr>
          <w:rFonts w:hint="eastAsia"/>
          <w:lang w:val="en-US" w:eastAsia="zh-CN"/>
        </w:rPr>
        <w:t>选用陈皮、半夏、茯苓、苍术、薏苡仁等祛湿化痰中药，加水煎煮后，熏蒸全身或腹部，每次20-30分钟，温度控制在40-45℃，每周1-2次，4周为1疗程，熏蒸后避免立即洗澡。</w:t>
      </w:r>
    </w:p>
    <w:p w14:paraId="1030DB6C">
      <w:pPr>
        <w:pStyle w:val="162"/>
        <w:keepNext w:val="0"/>
        <w:keepLines w:val="0"/>
        <w:pageBreakBefore w:val="0"/>
        <w:widowControl/>
        <w:numPr>
          <w:ilvl w:val="2"/>
          <w:numId w:val="0"/>
        </w:numPr>
        <w:kinsoku/>
        <w:wordWrap/>
        <w:overflowPunct/>
        <w:topLinePunct w:val="0"/>
        <w:autoSpaceDE/>
        <w:autoSpaceDN/>
        <w:bidi w:val="0"/>
        <w:adjustRightInd/>
        <w:snapToGrid/>
        <w:spacing w:before="157" w:beforeLines="50" w:after="157" w:afterLines="50"/>
        <w:ind w:leftChars="0"/>
        <w:textAlignment w:val="auto"/>
        <w:rPr>
          <w:rFonts w:hint="eastAsia" w:ascii="黑体" w:hAnsi="Times New Roman" w:eastAsia="黑体" w:cs="Times New Roman"/>
          <w:sz w:val="21"/>
          <w:lang w:val="en-US" w:eastAsia="zh-CN" w:bidi="ar-SA"/>
        </w:rPr>
      </w:pPr>
      <w:r>
        <w:rPr>
          <w:rFonts w:hint="eastAsia" w:ascii="黑体" w:hAnsi="Times New Roman" w:eastAsia="黑体" w:cs="Times New Roman"/>
          <w:sz w:val="21"/>
          <w:lang w:val="en-US" w:eastAsia="zh-CN" w:bidi="ar-SA"/>
        </w:rPr>
        <w:t>6.5.4.4.5 塌渍</w:t>
      </w:r>
    </w:p>
    <w:p w14:paraId="6955B784">
      <w:pPr>
        <w:pStyle w:val="56"/>
        <w:ind w:firstLine="420"/>
        <w:rPr>
          <w:rFonts w:hint="eastAsia"/>
          <w:lang w:val="en-US" w:eastAsia="zh-CN"/>
        </w:rPr>
      </w:pPr>
      <w:r>
        <w:rPr>
          <w:rFonts w:hint="eastAsia"/>
          <w:lang w:val="en-US" w:eastAsia="zh-CN"/>
        </w:rPr>
        <w:t>选用陈皮、半夏、苍术、薏苡仁等健脾祛湿、化痰通络的中药，加水煎煮取汁，将无菌纱布浸湿后拧至半干，塌敷于腹部、脾俞、胃俞及下肢丰隆穴位，每次15-20分钟，每周2次，4周为1疗程；避免温度过高，塌敷后清洁皮肤，忌生冷饮食。</w:t>
      </w:r>
    </w:p>
    <w:p w14:paraId="6B4626A5">
      <w:pPr>
        <w:pStyle w:val="162"/>
        <w:keepNext w:val="0"/>
        <w:keepLines w:val="0"/>
        <w:pageBreakBefore w:val="0"/>
        <w:widowControl/>
        <w:numPr>
          <w:ilvl w:val="2"/>
          <w:numId w:val="0"/>
        </w:numPr>
        <w:kinsoku/>
        <w:wordWrap/>
        <w:overflowPunct/>
        <w:topLinePunct w:val="0"/>
        <w:autoSpaceDE/>
        <w:autoSpaceDN/>
        <w:bidi w:val="0"/>
        <w:adjustRightInd/>
        <w:snapToGrid/>
        <w:spacing w:before="157" w:beforeLines="50" w:after="157" w:afterLines="50"/>
        <w:ind w:leftChars="0"/>
        <w:textAlignment w:val="auto"/>
        <w:rPr>
          <w:rFonts w:hint="eastAsia" w:ascii="黑体" w:hAnsi="Times New Roman" w:eastAsia="黑体" w:cs="Times New Roman"/>
          <w:sz w:val="21"/>
          <w:lang w:val="en-US" w:eastAsia="zh-CN" w:bidi="ar-SA"/>
        </w:rPr>
      </w:pPr>
      <w:r>
        <w:rPr>
          <w:rFonts w:hint="eastAsia" w:ascii="黑体" w:hAnsi="Times New Roman" w:eastAsia="黑体" w:cs="Times New Roman"/>
          <w:sz w:val="21"/>
          <w:lang w:val="en-US" w:eastAsia="zh-CN" w:bidi="ar-SA"/>
        </w:rPr>
        <w:t>6.5.4.5 肝郁脾虚型</w:t>
      </w:r>
    </w:p>
    <w:p w14:paraId="4ADEE629">
      <w:pPr>
        <w:pStyle w:val="56"/>
        <w:ind w:firstLine="420"/>
        <w:rPr>
          <w:rFonts w:hint="eastAsia"/>
          <w:lang w:val="en-US" w:eastAsia="zh-CN"/>
        </w:rPr>
      </w:pPr>
      <w:r>
        <w:rPr>
          <w:rFonts w:hint="eastAsia"/>
          <w:lang w:val="en-US" w:eastAsia="zh-CN"/>
        </w:rPr>
        <w:t>核心干预：疏肝健脾、调和气血，选用推拿按摩、耳穴压豆、刮痧组合干预，兼顾疏肝与健脾，改善情志与消化不适。</w:t>
      </w:r>
    </w:p>
    <w:p w14:paraId="32B3CFE0">
      <w:pPr>
        <w:pStyle w:val="162"/>
        <w:keepNext w:val="0"/>
        <w:keepLines w:val="0"/>
        <w:pageBreakBefore w:val="0"/>
        <w:widowControl/>
        <w:numPr>
          <w:ilvl w:val="2"/>
          <w:numId w:val="0"/>
        </w:numPr>
        <w:kinsoku/>
        <w:wordWrap/>
        <w:overflowPunct/>
        <w:topLinePunct w:val="0"/>
        <w:autoSpaceDE/>
        <w:autoSpaceDN/>
        <w:bidi w:val="0"/>
        <w:adjustRightInd/>
        <w:snapToGrid/>
        <w:spacing w:before="157" w:beforeLines="50" w:after="157" w:afterLines="50"/>
        <w:ind w:leftChars="0"/>
        <w:textAlignment w:val="auto"/>
        <w:rPr>
          <w:rFonts w:hint="eastAsia" w:ascii="黑体" w:hAnsi="Times New Roman" w:eastAsia="黑体" w:cs="Times New Roman"/>
          <w:sz w:val="21"/>
          <w:lang w:val="en-US" w:eastAsia="zh-CN" w:bidi="ar-SA"/>
        </w:rPr>
      </w:pPr>
      <w:r>
        <w:rPr>
          <w:rFonts w:hint="eastAsia" w:ascii="黑体" w:hAnsi="Times New Roman" w:eastAsia="黑体" w:cs="Times New Roman"/>
          <w:sz w:val="21"/>
          <w:lang w:val="en-US" w:eastAsia="zh-CN" w:bidi="ar-SA"/>
        </w:rPr>
        <w:t>6.5.4.5.1 针灸</w:t>
      </w:r>
    </w:p>
    <w:p w14:paraId="1385D960">
      <w:pPr>
        <w:pStyle w:val="56"/>
        <w:ind w:firstLine="420"/>
        <w:rPr>
          <w:rFonts w:hint="eastAsia"/>
          <w:lang w:val="en-US" w:eastAsia="zh-CN"/>
        </w:rPr>
      </w:pPr>
      <w:r>
        <w:rPr>
          <w:rFonts w:hint="eastAsia"/>
          <w:lang w:val="en-US" w:eastAsia="zh-CN"/>
        </w:rPr>
        <w:t>核心穴位选取太冲、期门、脾俞、足三里、中脘，配穴选取行间（肝郁明显者加）、三阴交（脾虚明显者加）。采用毫针针刺，太冲、行间行泻法，脾俞、足三里行补法，留针20分钟，每周2次，4周为1疗程；针刺期门穴时力度轻柔，避免刺伤内脏。</w:t>
      </w:r>
    </w:p>
    <w:p w14:paraId="4FC752C0">
      <w:pPr>
        <w:pStyle w:val="162"/>
        <w:keepNext w:val="0"/>
        <w:keepLines w:val="0"/>
        <w:pageBreakBefore w:val="0"/>
        <w:widowControl/>
        <w:numPr>
          <w:ilvl w:val="2"/>
          <w:numId w:val="0"/>
        </w:numPr>
        <w:kinsoku/>
        <w:wordWrap/>
        <w:overflowPunct/>
        <w:topLinePunct w:val="0"/>
        <w:autoSpaceDE/>
        <w:autoSpaceDN/>
        <w:bidi w:val="0"/>
        <w:adjustRightInd/>
        <w:snapToGrid/>
        <w:spacing w:before="157" w:beforeLines="50" w:after="157" w:afterLines="50"/>
        <w:ind w:leftChars="0"/>
        <w:textAlignment w:val="auto"/>
        <w:rPr>
          <w:rFonts w:hint="eastAsia" w:ascii="黑体" w:hAnsi="Times New Roman" w:eastAsia="黑体" w:cs="Times New Roman"/>
          <w:sz w:val="21"/>
          <w:lang w:val="en-US" w:eastAsia="zh-CN" w:bidi="ar-SA"/>
        </w:rPr>
      </w:pPr>
      <w:r>
        <w:rPr>
          <w:rFonts w:hint="eastAsia" w:ascii="黑体" w:hAnsi="Times New Roman" w:eastAsia="黑体" w:cs="Times New Roman"/>
          <w:sz w:val="21"/>
          <w:lang w:val="en-US" w:eastAsia="zh-CN" w:bidi="ar-SA"/>
        </w:rPr>
        <w:t>6.5.4.5.2 推拿按摩</w:t>
      </w:r>
    </w:p>
    <w:p w14:paraId="39106931">
      <w:pPr>
        <w:pStyle w:val="56"/>
        <w:ind w:firstLine="420"/>
        <w:rPr>
          <w:rFonts w:hint="eastAsia"/>
          <w:lang w:val="en-US" w:eastAsia="zh-CN"/>
        </w:rPr>
      </w:pPr>
      <w:r>
        <w:rPr>
          <w:rFonts w:hint="eastAsia"/>
          <w:lang w:val="en-US" w:eastAsia="zh-CN"/>
        </w:rPr>
        <w:t>重点按摩太冲、行间、期门、脾俞、足三里、中脘等穴位，采用揉法、推法，每个穴位按摩3-5分钟，力度以酸胀为度；同时按摩胁肋部（疏肝）、腹部（健脾），每次15-20分钟，每周2-3次，4周为1疗程。</w:t>
      </w:r>
    </w:p>
    <w:p w14:paraId="2F0B6ED9">
      <w:pPr>
        <w:pStyle w:val="162"/>
        <w:keepNext w:val="0"/>
        <w:keepLines w:val="0"/>
        <w:pageBreakBefore w:val="0"/>
        <w:widowControl/>
        <w:numPr>
          <w:ilvl w:val="2"/>
          <w:numId w:val="0"/>
        </w:numPr>
        <w:kinsoku/>
        <w:wordWrap/>
        <w:overflowPunct/>
        <w:topLinePunct w:val="0"/>
        <w:autoSpaceDE/>
        <w:autoSpaceDN/>
        <w:bidi w:val="0"/>
        <w:adjustRightInd/>
        <w:snapToGrid/>
        <w:spacing w:before="157" w:beforeLines="50" w:after="157" w:afterLines="50"/>
        <w:ind w:leftChars="0"/>
        <w:textAlignment w:val="auto"/>
        <w:rPr>
          <w:rFonts w:hint="eastAsia" w:ascii="黑体" w:hAnsi="Times New Roman" w:eastAsia="黑体" w:cs="Times New Roman"/>
          <w:sz w:val="21"/>
          <w:lang w:val="en-US" w:eastAsia="zh-CN" w:bidi="ar-SA"/>
        </w:rPr>
      </w:pPr>
      <w:r>
        <w:rPr>
          <w:rFonts w:hint="eastAsia" w:ascii="黑体" w:hAnsi="Times New Roman" w:eastAsia="黑体" w:cs="Times New Roman"/>
          <w:sz w:val="21"/>
          <w:lang w:val="en-US" w:eastAsia="zh-CN" w:bidi="ar-SA"/>
        </w:rPr>
        <w:t>6.5.4.5.3 耳穴压豆</w:t>
      </w:r>
    </w:p>
    <w:p w14:paraId="3637D6D4">
      <w:pPr>
        <w:pStyle w:val="56"/>
        <w:ind w:firstLine="420"/>
        <w:rPr>
          <w:rFonts w:hint="eastAsia"/>
          <w:lang w:val="en-US" w:eastAsia="zh-CN"/>
        </w:rPr>
      </w:pPr>
      <w:r>
        <w:rPr>
          <w:rFonts w:hint="eastAsia"/>
          <w:lang w:val="en-US" w:eastAsia="zh-CN"/>
        </w:rPr>
        <w:t>选用肝、脾、神门、皮质下、胃等耳穴，操作同6.5.4.2.1，每天按压3-5次，每周更换1-2次，4周为1疗程，可缓解情绪烦躁与腹胀不适。</w:t>
      </w:r>
    </w:p>
    <w:p w14:paraId="397357D5">
      <w:pPr>
        <w:pStyle w:val="162"/>
        <w:keepNext w:val="0"/>
        <w:keepLines w:val="0"/>
        <w:pageBreakBefore w:val="0"/>
        <w:widowControl/>
        <w:numPr>
          <w:ilvl w:val="2"/>
          <w:numId w:val="0"/>
        </w:numPr>
        <w:kinsoku/>
        <w:wordWrap/>
        <w:overflowPunct/>
        <w:topLinePunct w:val="0"/>
        <w:autoSpaceDE/>
        <w:autoSpaceDN/>
        <w:bidi w:val="0"/>
        <w:adjustRightInd/>
        <w:snapToGrid/>
        <w:spacing w:before="157" w:beforeLines="50" w:after="157" w:afterLines="50"/>
        <w:ind w:leftChars="0"/>
        <w:textAlignment w:val="auto"/>
        <w:rPr>
          <w:rFonts w:hint="eastAsia" w:ascii="黑体" w:hAnsi="Times New Roman" w:eastAsia="黑体" w:cs="Times New Roman"/>
          <w:sz w:val="21"/>
          <w:lang w:val="en-US" w:eastAsia="zh-CN" w:bidi="ar-SA"/>
        </w:rPr>
      </w:pPr>
      <w:r>
        <w:rPr>
          <w:rFonts w:hint="eastAsia" w:ascii="黑体" w:hAnsi="Times New Roman" w:eastAsia="黑体" w:cs="Times New Roman"/>
          <w:sz w:val="21"/>
          <w:lang w:val="en-US" w:eastAsia="zh-CN" w:bidi="ar-SA"/>
        </w:rPr>
        <w:t>6.5.4.5.4 刮痧</w:t>
      </w:r>
    </w:p>
    <w:p w14:paraId="3B06CA36">
      <w:pPr>
        <w:pStyle w:val="56"/>
        <w:ind w:firstLine="420"/>
        <w:rPr>
          <w:rFonts w:hint="eastAsia"/>
          <w:lang w:val="en-US" w:eastAsia="zh-CN"/>
        </w:rPr>
      </w:pPr>
      <w:r>
        <w:rPr>
          <w:rFonts w:hint="eastAsia"/>
          <w:lang w:val="en-US" w:eastAsia="zh-CN"/>
        </w:rPr>
        <w:t>选取肝经、脾经、督脉及胁肋部，采用刮板轻柔刮拭，以皮肤淡红为度，避免过度刮拭，每周1次，4周为1疗程，重点刮拭期门、章门穴位，增强疏肝健脾功效。</w:t>
      </w:r>
    </w:p>
    <w:p w14:paraId="6EF56C42">
      <w:pPr>
        <w:pStyle w:val="162"/>
        <w:keepNext w:val="0"/>
        <w:keepLines w:val="0"/>
        <w:pageBreakBefore w:val="0"/>
        <w:widowControl/>
        <w:numPr>
          <w:ilvl w:val="2"/>
          <w:numId w:val="0"/>
        </w:numPr>
        <w:kinsoku/>
        <w:wordWrap/>
        <w:overflowPunct/>
        <w:topLinePunct w:val="0"/>
        <w:autoSpaceDE/>
        <w:autoSpaceDN/>
        <w:bidi w:val="0"/>
        <w:adjustRightInd/>
        <w:snapToGrid/>
        <w:spacing w:before="157" w:beforeLines="50" w:after="157" w:afterLines="50"/>
        <w:ind w:leftChars="0"/>
        <w:textAlignment w:val="auto"/>
        <w:rPr>
          <w:rFonts w:hint="eastAsia" w:ascii="黑体" w:hAnsi="Times New Roman" w:eastAsia="黑体" w:cs="Times New Roman"/>
          <w:sz w:val="21"/>
          <w:lang w:val="en-US" w:eastAsia="zh-CN" w:bidi="ar-SA"/>
        </w:rPr>
      </w:pPr>
      <w:r>
        <w:rPr>
          <w:rFonts w:hint="eastAsia" w:ascii="黑体" w:hAnsi="Times New Roman" w:eastAsia="黑体" w:cs="Times New Roman"/>
          <w:sz w:val="21"/>
          <w:lang w:val="en-US" w:eastAsia="zh-CN" w:bidi="ar-SA"/>
        </w:rPr>
        <w:t>6.5.4.5.5 中药热奄包</w:t>
      </w:r>
    </w:p>
    <w:p w14:paraId="72B94019">
      <w:pPr>
        <w:pStyle w:val="56"/>
        <w:ind w:firstLine="420"/>
        <w:rPr>
          <w:rFonts w:hint="eastAsia"/>
          <w:lang w:val="en-US" w:eastAsia="zh-CN"/>
        </w:rPr>
      </w:pPr>
      <w:r>
        <w:rPr>
          <w:rFonts w:hint="eastAsia"/>
          <w:lang w:val="en-US" w:eastAsia="zh-CN"/>
        </w:rPr>
        <w:t>选用柴胡、香附、陈皮、白术、生姜等疏肝健脾、理气和胃的中药，装入布袋加热至40-45℃，敷于期门、章门、中脘、胁肋部，每次15-20分钟，每周2次，4周为1疗程；敷后按摩局部，促进气血运行，缓解胁肋胀痛。</w:t>
      </w:r>
    </w:p>
    <w:p w14:paraId="3A17794B">
      <w:pPr>
        <w:pStyle w:val="162"/>
        <w:keepNext w:val="0"/>
        <w:keepLines w:val="0"/>
        <w:pageBreakBefore w:val="0"/>
        <w:widowControl/>
        <w:numPr>
          <w:ilvl w:val="2"/>
          <w:numId w:val="0"/>
        </w:numPr>
        <w:kinsoku/>
        <w:wordWrap/>
        <w:overflowPunct/>
        <w:topLinePunct w:val="0"/>
        <w:autoSpaceDE/>
        <w:autoSpaceDN/>
        <w:bidi w:val="0"/>
        <w:adjustRightInd/>
        <w:snapToGrid/>
        <w:spacing w:before="157" w:beforeLines="50" w:after="157" w:afterLines="50"/>
        <w:ind w:leftChars="0"/>
        <w:textAlignment w:val="auto"/>
        <w:rPr>
          <w:rFonts w:hint="eastAsia" w:ascii="黑体" w:hAnsi="Times New Roman" w:eastAsia="黑体" w:cs="Times New Roman"/>
          <w:sz w:val="21"/>
          <w:lang w:val="en-US" w:eastAsia="zh-CN" w:bidi="ar-SA"/>
        </w:rPr>
      </w:pPr>
      <w:r>
        <w:rPr>
          <w:rFonts w:hint="eastAsia" w:ascii="黑体" w:hAnsi="Times New Roman" w:eastAsia="黑体" w:cs="Times New Roman"/>
          <w:sz w:val="21"/>
          <w:lang w:val="en-US" w:eastAsia="zh-CN" w:bidi="ar-SA"/>
        </w:rPr>
        <w:t>6.5.4.6 气滞血瘀型</w:t>
      </w:r>
    </w:p>
    <w:p w14:paraId="622D0CE6">
      <w:pPr>
        <w:pStyle w:val="56"/>
        <w:ind w:firstLine="420"/>
        <w:rPr>
          <w:rFonts w:hint="eastAsia"/>
          <w:lang w:val="en-US" w:eastAsia="zh-CN"/>
        </w:rPr>
      </w:pPr>
      <w:r>
        <w:rPr>
          <w:rFonts w:hint="eastAsia"/>
          <w:lang w:val="en-US" w:eastAsia="zh-CN"/>
        </w:rPr>
        <w:t>核心干预：益气活血、通络止痛，选用推拿按摩、艾灸、砭石温灸组合干预，促进气血运行，缓解瘀滞症状。</w:t>
      </w:r>
    </w:p>
    <w:p w14:paraId="348315A0">
      <w:pPr>
        <w:pStyle w:val="162"/>
        <w:keepNext w:val="0"/>
        <w:keepLines w:val="0"/>
        <w:pageBreakBefore w:val="0"/>
        <w:widowControl/>
        <w:numPr>
          <w:ilvl w:val="2"/>
          <w:numId w:val="0"/>
        </w:numPr>
        <w:kinsoku/>
        <w:wordWrap/>
        <w:overflowPunct/>
        <w:topLinePunct w:val="0"/>
        <w:autoSpaceDE/>
        <w:autoSpaceDN/>
        <w:bidi w:val="0"/>
        <w:adjustRightInd/>
        <w:snapToGrid/>
        <w:spacing w:before="157" w:beforeLines="50" w:after="157" w:afterLines="50"/>
        <w:ind w:leftChars="0"/>
        <w:textAlignment w:val="auto"/>
        <w:rPr>
          <w:rFonts w:hint="eastAsia" w:ascii="黑体" w:hAnsi="Times New Roman" w:eastAsia="黑体" w:cs="Times New Roman"/>
          <w:sz w:val="21"/>
          <w:lang w:val="en-US" w:eastAsia="zh-CN" w:bidi="ar-SA"/>
        </w:rPr>
      </w:pPr>
      <w:r>
        <w:rPr>
          <w:rFonts w:hint="eastAsia" w:ascii="黑体" w:hAnsi="Times New Roman" w:eastAsia="黑体" w:cs="Times New Roman"/>
          <w:sz w:val="21"/>
          <w:lang w:val="en-US" w:eastAsia="zh-CN" w:bidi="ar-SA"/>
        </w:rPr>
        <w:t>6.5.4.6.1 针灸</w:t>
      </w:r>
    </w:p>
    <w:p w14:paraId="3F35C822">
      <w:pPr>
        <w:pStyle w:val="56"/>
        <w:ind w:firstLine="420"/>
        <w:rPr>
          <w:rFonts w:hint="eastAsia"/>
          <w:lang w:val="en-US" w:eastAsia="zh-CN"/>
        </w:rPr>
      </w:pPr>
      <w:r>
        <w:rPr>
          <w:rFonts w:hint="eastAsia"/>
          <w:lang w:val="en-US" w:eastAsia="zh-CN"/>
        </w:rPr>
        <w:t>核心穴位选取气海、血海、足三里、膈俞、合谷，配穴选取太冲（气滞明显者加）、三阴交（血虚明显者加）、阿是穴（疼痛部位）。采用毫针针刺，气海、足三里行补法，血海、膈俞行平补平泻法，阿是穴行泻法，留针20-30分钟，每周2次，4周为1疗程；针刺阿是穴时可根据疼痛程度调整刺激力度。</w:t>
      </w:r>
    </w:p>
    <w:p w14:paraId="78E7388F">
      <w:pPr>
        <w:pStyle w:val="162"/>
        <w:keepNext w:val="0"/>
        <w:keepLines w:val="0"/>
        <w:pageBreakBefore w:val="0"/>
        <w:widowControl/>
        <w:numPr>
          <w:ilvl w:val="2"/>
          <w:numId w:val="0"/>
        </w:numPr>
        <w:kinsoku/>
        <w:wordWrap/>
        <w:overflowPunct/>
        <w:topLinePunct w:val="0"/>
        <w:autoSpaceDE/>
        <w:autoSpaceDN/>
        <w:bidi w:val="0"/>
        <w:adjustRightInd/>
        <w:snapToGrid/>
        <w:spacing w:before="157" w:beforeLines="50" w:after="157" w:afterLines="50"/>
        <w:ind w:leftChars="0"/>
        <w:textAlignment w:val="auto"/>
        <w:rPr>
          <w:rFonts w:hint="eastAsia" w:ascii="黑体" w:hAnsi="Times New Roman" w:eastAsia="黑体" w:cs="Times New Roman"/>
          <w:sz w:val="21"/>
          <w:lang w:val="en-US" w:eastAsia="zh-CN" w:bidi="ar-SA"/>
        </w:rPr>
      </w:pPr>
      <w:r>
        <w:rPr>
          <w:rFonts w:hint="eastAsia" w:ascii="黑体" w:hAnsi="Times New Roman" w:eastAsia="黑体" w:cs="Times New Roman"/>
          <w:sz w:val="21"/>
          <w:lang w:val="en-US" w:eastAsia="zh-CN" w:bidi="ar-SA"/>
        </w:rPr>
        <w:t>6.5.4.6.2 推拿按摩</w:t>
      </w:r>
    </w:p>
    <w:p w14:paraId="7305CC31">
      <w:pPr>
        <w:pStyle w:val="56"/>
        <w:ind w:firstLine="420"/>
        <w:rPr>
          <w:rFonts w:hint="eastAsia"/>
          <w:lang w:val="en-US" w:eastAsia="zh-CN"/>
        </w:rPr>
      </w:pPr>
      <w:r>
        <w:rPr>
          <w:rFonts w:hint="eastAsia"/>
          <w:lang w:val="en-US" w:eastAsia="zh-CN"/>
        </w:rPr>
        <w:t>重点按摩足三里、气海、血海、膈俞、合谷、太冲等穴位，采用揉法、按法、推法，每个穴位按摩3-5分钟；同时按摩肢体麻木、疼痛部位，采用滚法、揉法，每次15-20分钟，每周2-3次，4周为1疗程。</w:t>
      </w:r>
    </w:p>
    <w:p w14:paraId="663174EF">
      <w:pPr>
        <w:pStyle w:val="162"/>
        <w:keepNext w:val="0"/>
        <w:keepLines w:val="0"/>
        <w:pageBreakBefore w:val="0"/>
        <w:widowControl/>
        <w:numPr>
          <w:ilvl w:val="2"/>
          <w:numId w:val="0"/>
        </w:numPr>
        <w:kinsoku/>
        <w:wordWrap/>
        <w:overflowPunct/>
        <w:topLinePunct w:val="0"/>
        <w:autoSpaceDE/>
        <w:autoSpaceDN/>
        <w:bidi w:val="0"/>
        <w:adjustRightInd/>
        <w:snapToGrid/>
        <w:spacing w:before="157" w:beforeLines="50" w:after="157" w:afterLines="50"/>
        <w:ind w:leftChars="0"/>
        <w:textAlignment w:val="auto"/>
        <w:rPr>
          <w:rFonts w:hint="eastAsia" w:ascii="黑体" w:hAnsi="Times New Roman" w:eastAsia="黑体" w:cs="Times New Roman"/>
          <w:sz w:val="21"/>
          <w:lang w:val="en-US" w:eastAsia="zh-CN" w:bidi="ar-SA"/>
        </w:rPr>
      </w:pPr>
      <w:r>
        <w:rPr>
          <w:rFonts w:hint="eastAsia" w:ascii="黑体" w:hAnsi="Times New Roman" w:eastAsia="黑体" w:cs="Times New Roman"/>
          <w:sz w:val="21"/>
          <w:lang w:val="en-US" w:eastAsia="zh-CN" w:bidi="ar-SA"/>
        </w:rPr>
        <w:t>6.5.4.6.3 艾灸</w:t>
      </w:r>
    </w:p>
    <w:p w14:paraId="4A7CEFF3">
      <w:pPr>
        <w:pStyle w:val="56"/>
        <w:ind w:firstLine="420"/>
        <w:rPr>
          <w:rFonts w:hint="eastAsia"/>
          <w:lang w:val="en-US" w:eastAsia="zh-CN"/>
        </w:rPr>
      </w:pPr>
      <w:r>
        <w:rPr>
          <w:rFonts w:hint="eastAsia"/>
          <w:lang w:val="en-US" w:eastAsia="zh-CN"/>
        </w:rPr>
        <w:t>选取气海、血海、足三里、膈俞、三阴交等穴位，采用温和灸，每穴灸10-15分钟，每周2-3次，4周为1疗程，可增强益气活血功效，改善面色晦暗、肢体麻木。</w:t>
      </w:r>
    </w:p>
    <w:p w14:paraId="18903A5D">
      <w:pPr>
        <w:pStyle w:val="162"/>
        <w:keepNext w:val="0"/>
        <w:keepLines w:val="0"/>
        <w:pageBreakBefore w:val="0"/>
        <w:widowControl/>
        <w:numPr>
          <w:ilvl w:val="2"/>
          <w:numId w:val="0"/>
        </w:numPr>
        <w:kinsoku/>
        <w:wordWrap/>
        <w:overflowPunct/>
        <w:topLinePunct w:val="0"/>
        <w:autoSpaceDE/>
        <w:autoSpaceDN/>
        <w:bidi w:val="0"/>
        <w:adjustRightInd/>
        <w:snapToGrid/>
        <w:spacing w:before="157" w:beforeLines="50" w:after="157" w:afterLines="50"/>
        <w:ind w:leftChars="0"/>
        <w:textAlignment w:val="auto"/>
        <w:rPr>
          <w:rFonts w:hint="eastAsia" w:ascii="黑体" w:hAnsi="Times New Roman" w:eastAsia="黑体" w:cs="Times New Roman"/>
          <w:sz w:val="21"/>
          <w:lang w:val="en-US" w:eastAsia="zh-CN" w:bidi="ar-SA"/>
        </w:rPr>
      </w:pPr>
      <w:r>
        <w:rPr>
          <w:rFonts w:hint="eastAsia" w:ascii="黑体" w:hAnsi="Times New Roman" w:eastAsia="黑体" w:cs="Times New Roman"/>
          <w:sz w:val="21"/>
          <w:lang w:val="en-US" w:eastAsia="zh-CN" w:bidi="ar-SA"/>
        </w:rPr>
        <w:t>6.5.4.6.4 砭石温灸</w:t>
      </w:r>
    </w:p>
    <w:p w14:paraId="4B41B811">
      <w:pPr>
        <w:pStyle w:val="56"/>
        <w:ind w:firstLine="420"/>
        <w:rPr>
          <w:rFonts w:hint="eastAsia"/>
          <w:lang w:val="en-US" w:eastAsia="zh-CN"/>
        </w:rPr>
      </w:pPr>
      <w:r>
        <w:rPr>
          <w:rFonts w:hint="eastAsia"/>
          <w:lang w:val="en-US" w:eastAsia="zh-CN"/>
        </w:rPr>
        <w:t>将加热后的砭石工具，在背部膀胱经、肢体疼痛部位进行熨烫、推按，每次15-20分钟，每周2次，4周为1疗程，温度适中（40-45℃），避免烫伤，促进局部气血循环。</w:t>
      </w:r>
    </w:p>
    <w:p w14:paraId="5DBBA9A7">
      <w:pPr>
        <w:pStyle w:val="162"/>
        <w:keepNext w:val="0"/>
        <w:keepLines w:val="0"/>
        <w:pageBreakBefore w:val="0"/>
        <w:widowControl/>
        <w:numPr>
          <w:ilvl w:val="2"/>
          <w:numId w:val="0"/>
        </w:numPr>
        <w:kinsoku/>
        <w:wordWrap/>
        <w:overflowPunct/>
        <w:topLinePunct w:val="0"/>
        <w:autoSpaceDE/>
        <w:autoSpaceDN/>
        <w:bidi w:val="0"/>
        <w:adjustRightInd/>
        <w:snapToGrid/>
        <w:spacing w:before="157" w:beforeLines="50" w:after="157" w:afterLines="50"/>
        <w:ind w:leftChars="0"/>
        <w:textAlignment w:val="auto"/>
        <w:rPr>
          <w:rFonts w:hint="eastAsia" w:ascii="黑体" w:hAnsi="Times New Roman" w:eastAsia="黑体" w:cs="Times New Roman"/>
          <w:sz w:val="21"/>
          <w:lang w:val="en-US" w:eastAsia="zh-CN" w:bidi="ar-SA"/>
        </w:rPr>
      </w:pPr>
      <w:r>
        <w:rPr>
          <w:rFonts w:hint="eastAsia" w:ascii="黑体" w:hAnsi="Times New Roman" w:eastAsia="黑体" w:cs="Times New Roman"/>
          <w:sz w:val="21"/>
          <w:lang w:val="en-US" w:eastAsia="zh-CN" w:bidi="ar-SA"/>
        </w:rPr>
        <w:t>6.5.4.6.5 塌渍</w:t>
      </w:r>
    </w:p>
    <w:p w14:paraId="24632767">
      <w:pPr>
        <w:pStyle w:val="56"/>
        <w:ind w:firstLine="420"/>
        <w:rPr>
          <w:rFonts w:hint="eastAsia"/>
          <w:lang w:val="en-US" w:eastAsia="zh-CN"/>
        </w:rPr>
      </w:pPr>
      <w:r>
        <w:rPr>
          <w:rFonts w:hint="eastAsia"/>
          <w:lang w:val="en-US" w:eastAsia="zh-CN"/>
        </w:rPr>
        <w:t>选用当归、川芎、红花、桃仁、黄芪等益气活血、通络止痛的中药，加水煎煮取汁，将无菌纱布浸湿后拧至半干，塌敷于肢体麻木、疼痛部位及膈俞、血海穴位，每次20分钟，每周2次，4周为1疗程；可配合局部按摩，增强活血通络效果。</w:t>
      </w:r>
    </w:p>
    <w:p w14:paraId="23F2E110">
      <w:pPr>
        <w:pStyle w:val="162"/>
        <w:keepNext w:val="0"/>
        <w:keepLines w:val="0"/>
        <w:pageBreakBefore w:val="0"/>
        <w:widowControl/>
        <w:numPr>
          <w:ilvl w:val="2"/>
          <w:numId w:val="0"/>
        </w:numPr>
        <w:kinsoku/>
        <w:wordWrap/>
        <w:overflowPunct/>
        <w:topLinePunct w:val="0"/>
        <w:autoSpaceDE/>
        <w:autoSpaceDN/>
        <w:bidi w:val="0"/>
        <w:adjustRightInd/>
        <w:snapToGrid/>
        <w:spacing w:before="157" w:beforeLines="50" w:after="157" w:afterLines="50"/>
        <w:ind w:leftChars="0"/>
        <w:textAlignment w:val="auto"/>
        <w:rPr>
          <w:rFonts w:hint="eastAsia" w:ascii="黑体" w:hAnsi="Times New Roman" w:eastAsia="黑体" w:cs="Times New Roman"/>
          <w:sz w:val="21"/>
          <w:lang w:val="en-US" w:eastAsia="zh-CN" w:bidi="ar-SA"/>
        </w:rPr>
      </w:pPr>
      <w:r>
        <w:rPr>
          <w:rFonts w:hint="eastAsia" w:ascii="黑体" w:hAnsi="Times New Roman" w:eastAsia="黑体" w:cs="Times New Roman"/>
          <w:sz w:val="21"/>
          <w:lang w:val="en-US" w:eastAsia="zh-CN" w:bidi="ar-SA"/>
        </w:rPr>
        <w:t>6.5.4.7 湿热内蕴型</w:t>
      </w:r>
    </w:p>
    <w:p w14:paraId="0AA72A4D">
      <w:pPr>
        <w:pStyle w:val="56"/>
        <w:ind w:firstLine="420"/>
        <w:rPr>
          <w:rFonts w:hint="eastAsia"/>
          <w:lang w:val="en-US" w:eastAsia="zh-CN"/>
        </w:rPr>
      </w:pPr>
      <w:r>
        <w:rPr>
          <w:rFonts w:hint="eastAsia"/>
          <w:lang w:val="en-US" w:eastAsia="zh-CN"/>
        </w:rPr>
        <w:t>核心干预：清热利湿、健脾和胃，选用刮痧、中药熏蒸、耳穴压豆组合干预，忌温热刺激，注重清热与祛湿兼顾。</w:t>
      </w:r>
    </w:p>
    <w:p w14:paraId="12B2527C">
      <w:pPr>
        <w:pStyle w:val="162"/>
        <w:keepNext w:val="0"/>
        <w:keepLines w:val="0"/>
        <w:pageBreakBefore w:val="0"/>
        <w:widowControl/>
        <w:numPr>
          <w:ilvl w:val="2"/>
          <w:numId w:val="0"/>
        </w:numPr>
        <w:kinsoku/>
        <w:wordWrap/>
        <w:overflowPunct/>
        <w:topLinePunct w:val="0"/>
        <w:autoSpaceDE/>
        <w:autoSpaceDN/>
        <w:bidi w:val="0"/>
        <w:adjustRightInd/>
        <w:snapToGrid/>
        <w:spacing w:before="157" w:beforeLines="50" w:after="157" w:afterLines="50"/>
        <w:ind w:leftChars="0"/>
        <w:textAlignment w:val="auto"/>
        <w:rPr>
          <w:rFonts w:hint="eastAsia" w:ascii="黑体" w:hAnsi="Times New Roman" w:eastAsia="黑体" w:cs="Times New Roman"/>
          <w:sz w:val="21"/>
          <w:lang w:val="en-US" w:eastAsia="zh-CN" w:bidi="ar-SA"/>
        </w:rPr>
      </w:pPr>
      <w:r>
        <w:rPr>
          <w:rFonts w:hint="eastAsia" w:ascii="黑体" w:hAnsi="Times New Roman" w:eastAsia="黑体" w:cs="Times New Roman"/>
          <w:sz w:val="21"/>
          <w:lang w:val="en-US" w:eastAsia="zh-CN" w:bidi="ar-SA"/>
        </w:rPr>
        <w:t>6.5.4.7.1 针灸</w:t>
      </w:r>
    </w:p>
    <w:p w14:paraId="2EDF87FE">
      <w:pPr>
        <w:pStyle w:val="56"/>
        <w:ind w:firstLine="420"/>
        <w:rPr>
          <w:rFonts w:hint="eastAsia"/>
          <w:lang w:val="en-US" w:eastAsia="zh-CN"/>
        </w:rPr>
      </w:pPr>
      <w:r>
        <w:rPr>
          <w:rFonts w:hint="eastAsia"/>
          <w:lang w:val="en-US" w:eastAsia="zh-CN"/>
        </w:rPr>
        <w:t>核心穴位选取脾俞、胃俞、足三里、阴陵泉、内庭，配穴选取太冲（肝火旺盛者加）、曲池（湿热明显者加）。采用毫针针刺，行泻法，留针20分钟，每周2次，4周为1疗程；忌用温针，避免加重湿热症状，针刺后及时清洁针孔。</w:t>
      </w:r>
    </w:p>
    <w:p w14:paraId="4280AD8B">
      <w:pPr>
        <w:pStyle w:val="162"/>
        <w:keepNext w:val="0"/>
        <w:keepLines w:val="0"/>
        <w:pageBreakBefore w:val="0"/>
        <w:widowControl/>
        <w:numPr>
          <w:ilvl w:val="2"/>
          <w:numId w:val="0"/>
        </w:numPr>
        <w:kinsoku/>
        <w:wordWrap/>
        <w:overflowPunct/>
        <w:topLinePunct w:val="0"/>
        <w:autoSpaceDE/>
        <w:autoSpaceDN/>
        <w:bidi w:val="0"/>
        <w:adjustRightInd/>
        <w:snapToGrid/>
        <w:spacing w:before="157" w:beforeLines="50" w:after="157" w:afterLines="50"/>
        <w:ind w:leftChars="0"/>
        <w:textAlignment w:val="auto"/>
        <w:rPr>
          <w:rFonts w:hint="eastAsia" w:ascii="黑体" w:hAnsi="Times New Roman" w:eastAsia="黑体" w:cs="Times New Roman"/>
          <w:sz w:val="21"/>
          <w:lang w:val="en-US" w:eastAsia="zh-CN" w:bidi="ar-SA"/>
        </w:rPr>
      </w:pPr>
      <w:r>
        <w:rPr>
          <w:rFonts w:hint="eastAsia" w:ascii="黑体" w:hAnsi="Times New Roman" w:eastAsia="黑体" w:cs="Times New Roman"/>
          <w:sz w:val="21"/>
          <w:lang w:val="en-US" w:eastAsia="zh-CN" w:bidi="ar-SA"/>
        </w:rPr>
        <w:t>6.5.4.7.2 刮痧</w:t>
      </w:r>
    </w:p>
    <w:p w14:paraId="1EE29DE7">
      <w:pPr>
        <w:pStyle w:val="56"/>
        <w:ind w:firstLine="420"/>
        <w:rPr>
          <w:rFonts w:hint="eastAsia"/>
          <w:lang w:val="en-US" w:eastAsia="zh-CN"/>
        </w:rPr>
      </w:pPr>
      <w:r>
        <w:rPr>
          <w:rFonts w:hint="eastAsia"/>
          <w:lang w:val="en-US" w:eastAsia="zh-CN"/>
        </w:rPr>
        <w:t>选取背部膀胱经、脾经、胃经及下肢三阴交至涌泉段，采用刮板刮拭，力度适中，以皮肤出现紫红色痧斑为宜，每周1-2次，4周为1疗程，可促进湿热排出。</w:t>
      </w:r>
    </w:p>
    <w:p w14:paraId="5AA3DAAD">
      <w:pPr>
        <w:pStyle w:val="162"/>
        <w:keepNext w:val="0"/>
        <w:keepLines w:val="0"/>
        <w:pageBreakBefore w:val="0"/>
        <w:widowControl/>
        <w:numPr>
          <w:ilvl w:val="2"/>
          <w:numId w:val="0"/>
        </w:numPr>
        <w:kinsoku/>
        <w:wordWrap/>
        <w:overflowPunct/>
        <w:topLinePunct w:val="0"/>
        <w:autoSpaceDE/>
        <w:autoSpaceDN/>
        <w:bidi w:val="0"/>
        <w:adjustRightInd/>
        <w:snapToGrid/>
        <w:spacing w:before="157" w:beforeLines="50" w:after="157" w:afterLines="50"/>
        <w:ind w:leftChars="0"/>
        <w:textAlignment w:val="auto"/>
        <w:rPr>
          <w:rFonts w:hint="eastAsia" w:ascii="黑体" w:hAnsi="Times New Roman" w:eastAsia="黑体" w:cs="Times New Roman"/>
          <w:sz w:val="21"/>
          <w:lang w:val="en-US" w:eastAsia="zh-CN" w:bidi="ar-SA"/>
        </w:rPr>
      </w:pPr>
      <w:r>
        <w:rPr>
          <w:rFonts w:hint="eastAsia" w:ascii="黑体" w:hAnsi="Times New Roman" w:eastAsia="黑体" w:cs="Times New Roman"/>
          <w:sz w:val="21"/>
          <w:lang w:val="en-US" w:eastAsia="zh-CN" w:bidi="ar-SA"/>
        </w:rPr>
        <w:t>6.5.4.7.3 中药熏蒸</w:t>
      </w:r>
    </w:p>
    <w:p w14:paraId="76473898">
      <w:pPr>
        <w:pStyle w:val="56"/>
        <w:ind w:firstLine="420"/>
        <w:rPr>
          <w:rFonts w:hint="eastAsia"/>
          <w:lang w:val="en-US" w:eastAsia="zh-CN"/>
        </w:rPr>
      </w:pPr>
      <w:r>
        <w:rPr>
          <w:rFonts w:hint="eastAsia"/>
          <w:lang w:val="en-US" w:eastAsia="zh-CN"/>
        </w:rPr>
        <w:t>选用黄连、黄芩、薏苡仁、苍术、车前子等清热利湿中药，加水煎煮后，熏蒸下肢及腹部，每次15-20分钟，温度控制在38-42℃，每周1-2次，4周为1疗程，避免温度过高加重湿热。</w:t>
      </w:r>
    </w:p>
    <w:p w14:paraId="0958F433">
      <w:pPr>
        <w:pStyle w:val="162"/>
        <w:keepNext w:val="0"/>
        <w:keepLines w:val="0"/>
        <w:pageBreakBefore w:val="0"/>
        <w:widowControl/>
        <w:numPr>
          <w:ilvl w:val="2"/>
          <w:numId w:val="0"/>
        </w:numPr>
        <w:kinsoku/>
        <w:wordWrap/>
        <w:overflowPunct/>
        <w:topLinePunct w:val="0"/>
        <w:autoSpaceDE/>
        <w:autoSpaceDN/>
        <w:bidi w:val="0"/>
        <w:adjustRightInd/>
        <w:snapToGrid/>
        <w:spacing w:before="157" w:beforeLines="50" w:after="157" w:afterLines="50"/>
        <w:ind w:leftChars="0"/>
        <w:textAlignment w:val="auto"/>
        <w:rPr>
          <w:rFonts w:hint="eastAsia" w:ascii="黑体" w:hAnsi="Times New Roman" w:eastAsia="黑体" w:cs="Times New Roman"/>
          <w:sz w:val="21"/>
          <w:lang w:val="en-US" w:eastAsia="zh-CN" w:bidi="ar-SA"/>
        </w:rPr>
      </w:pPr>
      <w:r>
        <w:rPr>
          <w:rFonts w:hint="eastAsia" w:ascii="黑体" w:hAnsi="Times New Roman" w:eastAsia="黑体" w:cs="Times New Roman"/>
          <w:sz w:val="21"/>
          <w:lang w:val="en-US" w:eastAsia="zh-CN" w:bidi="ar-SA"/>
        </w:rPr>
        <w:t>6.5.4.7.4 耳穴压豆</w:t>
      </w:r>
    </w:p>
    <w:p w14:paraId="4AF38B7E">
      <w:pPr>
        <w:pStyle w:val="56"/>
        <w:ind w:firstLine="420"/>
        <w:rPr>
          <w:rFonts w:hint="eastAsia"/>
          <w:lang w:val="en-US" w:eastAsia="zh-CN"/>
        </w:rPr>
      </w:pPr>
      <w:r>
        <w:rPr>
          <w:rFonts w:hint="eastAsia"/>
          <w:lang w:val="en-US" w:eastAsia="zh-CN"/>
        </w:rPr>
        <w:t>选用肝、脾、胃、三焦、神门等耳穴，操作同6.5.4.2.1，每周更换1-2次，4周为1疗程，可缓解口苦、腹胀、大便黏腻等症状。</w:t>
      </w:r>
    </w:p>
    <w:p w14:paraId="04740CB3">
      <w:pPr>
        <w:pStyle w:val="162"/>
        <w:keepNext w:val="0"/>
        <w:keepLines w:val="0"/>
        <w:pageBreakBefore w:val="0"/>
        <w:widowControl/>
        <w:numPr>
          <w:ilvl w:val="2"/>
          <w:numId w:val="0"/>
        </w:numPr>
        <w:kinsoku/>
        <w:wordWrap/>
        <w:overflowPunct/>
        <w:topLinePunct w:val="0"/>
        <w:autoSpaceDE/>
        <w:autoSpaceDN/>
        <w:bidi w:val="0"/>
        <w:adjustRightInd/>
        <w:snapToGrid/>
        <w:spacing w:before="157" w:beforeLines="50" w:after="157" w:afterLines="50"/>
        <w:ind w:leftChars="0"/>
        <w:textAlignment w:val="auto"/>
        <w:rPr>
          <w:rFonts w:hint="eastAsia" w:ascii="黑体" w:hAnsi="Times New Roman" w:eastAsia="黑体" w:cs="Times New Roman"/>
          <w:sz w:val="21"/>
          <w:lang w:val="en-US" w:eastAsia="zh-CN" w:bidi="ar-SA"/>
        </w:rPr>
      </w:pPr>
      <w:r>
        <w:rPr>
          <w:rFonts w:hint="eastAsia" w:ascii="黑体" w:hAnsi="Times New Roman" w:eastAsia="黑体" w:cs="Times New Roman"/>
          <w:sz w:val="21"/>
          <w:lang w:val="en-US" w:eastAsia="zh-CN" w:bidi="ar-SA"/>
        </w:rPr>
        <w:t>6.5.4.7.5 塌渍</w:t>
      </w:r>
    </w:p>
    <w:p w14:paraId="18A051B9">
      <w:pPr>
        <w:pStyle w:val="56"/>
        <w:ind w:firstLine="420"/>
        <w:rPr>
          <w:rFonts w:hint="eastAsia"/>
          <w:lang w:val="en-US" w:eastAsia="zh-CN"/>
        </w:rPr>
      </w:pPr>
      <w:r>
        <w:rPr>
          <w:rFonts w:hint="eastAsia"/>
          <w:lang w:val="en-US" w:eastAsia="zh-CN"/>
        </w:rPr>
        <w:t>选用黄连、黄芩、薏苡仁、苍术、车前子等清热利湿的中药，加水煎煮取汁，放凉至38-40℃，将无菌纱布浸湿后拧至半干，塌敷于腹部、下肢三阴交至涌泉段，每次15分钟，每周2次，4周为1疗程；忌温热刺激，塌敷后及时擦干皮肤。</w:t>
      </w:r>
    </w:p>
    <w:p w14:paraId="1D7BDDFF">
      <w:pPr>
        <w:pStyle w:val="162"/>
        <w:keepNext w:val="0"/>
        <w:keepLines w:val="0"/>
        <w:pageBreakBefore w:val="0"/>
        <w:widowControl/>
        <w:numPr>
          <w:ilvl w:val="2"/>
          <w:numId w:val="0"/>
        </w:numPr>
        <w:kinsoku/>
        <w:wordWrap/>
        <w:overflowPunct/>
        <w:topLinePunct w:val="0"/>
        <w:autoSpaceDE/>
        <w:autoSpaceDN/>
        <w:bidi w:val="0"/>
        <w:adjustRightInd/>
        <w:snapToGrid/>
        <w:spacing w:before="157" w:beforeLines="50" w:after="157" w:afterLines="50"/>
        <w:ind w:leftChars="0"/>
        <w:textAlignment w:val="auto"/>
        <w:rPr>
          <w:rFonts w:hint="eastAsia" w:ascii="黑体" w:hAnsi="Times New Roman" w:eastAsia="黑体" w:cs="Times New Roman"/>
          <w:sz w:val="21"/>
          <w:lang w:val="en-US" w:eastAsia="zh-CN" w:bidi="ar-SA"/>
        </w:rPr>
      </w:pPr>
      <w:r>
        <w:rPr>
          <w:rFonts w:hint="eastAsia" w:ascii="黑体" w:hAnsi="Times New Roman" w:eastAsia="黑体" w:cs="Times New Roman"/>
          <w:sz w:val="21"/>
          <w:lang w:val="en-US" w:eastAsia="zh-CN" w:bidi="ar-SA"/>
        </w:rPr>
        <w:t>6.5.4.8 肝郁化火型</w:t>
      </w:r>
    </w:p>
    <w:p w14:paraId="6C0AC964">
      <w:pPr>
        <w:pStyle w:val="56"/>
        <w:ind w:firstLine="420"/>
        <w:rPr>
          <w:rFonts w:hint="eastAsia"/>
          <w:lang w:val="en-US" w:eastAsia="zh-CN"/>
        </w:rPr>
      </w:pPr>
      <w:r>
        <w:rPr>
          <w:rFonts w:hint="eastAsia"/>
          <w:lang w:val="en-US" w:eastAsia="zh-CN"/>
        </w:rPr>
        <w:t>核心干预：疏肝泻火、清热安神，选用刮痧、耳穴压豆、推拿按摩组合干预，注重清热降火，平复情志。</w:t>
      </w:r>
    </w:p>
    <w:p w14:paraId="69BCCD02">
      <w:pPr>
        <w:pStyle w:val="162"/>
        <w:keepNext w:val="0"/>
        <w:keepLines w:val="0"/>
        <w:pageBreakBefore w:val="0"/>
        <w:widowControl/>
        <w:numPr>
          <w:ilvl w:val="2"/>
          <w:numId w:val="0"/>
        </w:numPr>
        <w:kinsoku/>
        <w:wordWrap/>
        <w:overflowPunct/>
        <w:topLinePunct w:val="0"/>
        <w:autoSpaceDE/>
        <w:autoSpaceDN/>
        <w:bidi w:val="0"/>
        <w:adjustRightInd/>
        <w:snapToGrid/>
        <w:spacing w:before="157" w:beforeLines="50" w:after="157" w:afterLines="50"/>
        <w:ind w:leftChars="0"/>
        <w:textAlignment w:val="auto"/>
        <w:rPr>
          <w:rFonts w:hint="eastAsia" w:ascii="黑体" w:hAnsi="Times New Roman" w:eastAsia="黑体" w:cs="Times New Roman"/>
          <w:sz w:val="21"/>
          <w:lang w:val="en-US" w:eastAsia="zh-CN" w:bidi="ar-SA"/>
        </w:rPr>
      </w:pPr>
      <w:r>
        <w:rPr>
          <w:rFonts w:hint="eastAsia" w:ascii="黑体" w:hAnsi="Times New Roman" w:eastAsia="黑体" w:cs="Times New Roman"/>
          <w:sz w:val="21"/>
          <w:lang w:val="en-US" w:eastAsia="zh-CN" w:bidi="ar-SA"/>
        </w:rPr>
        <w:t>6.5.4.8.1 针灸</w:t>
      </w:r>
    </w:p>
    <w:p w14:paraId="4CC17BC8">
      <w:pPr>
        <w:pStyle w:val="56"/>
        <w:ind w:firstLine="420"/>
        <w:rPr>
          <w:rFonts w:hint="eastAsia"/>
          <w:lang w:val="en-US" w:eastAsia="zh-CN"/>
        </w:rPr>
      </w:pPr>
      <w:r>
        <w:rPr>
          <w:rFonts w:hint="eastAsia"/>
          <w:lang w:val="en-US" w:eastAsia="zh-CN"/>
        </w:rPr>
        <w:t>核心穴位选取太冲、行间、期门、膻中、神门，配穴选取合谷（上火明显者加）、百会（头晕者加）。采用毫针针刺，行泻法，留针20分钟，每周2次，4周为1疗程；针刺太冲、行间时可适当加大刺激力度，以泻肝火，避免晕针。</w:t>
      </w:r>
    </w:p>
    <w:p w14:paraId="0848A417">
      <w:pPr>
        <w:pStyle w:val="162"/>
        <w:keepNext w:val="0"/>
        <w:keepLines w:val="0"/>
        <w:pageBreakBefore w:val="0"/>
        <w:widowControl/>
        <w:numPr>
          <w:ilvl w:val="2"/>
          <w:numId w:val="0"/>
        </w:numPr>
        <w:kinsoku/>
        <w:wordWrap/>
        <w:overflowPunct/>
        <w:topLinePunct w:val="0"/>
        <w:autoSpaceDE/>
        <w:autoSpaceDN/>
        <w:bidi w:val="0"/>
        <w:adjustRightInd/>
        <w:snapToGrid/>
        <w:spacing w:before="157" w:beforeLines="50" w:after="157" w:afterLines="50"/>
        <w:ind w:leftChars="0"/>
        <w:textAlignment w:val="auto"/>
        <w:rPr>
          <w:rFonts w:hint="eastAsia" w:ascii="黑体" w:hAnsi="Times New Roman" w:eastAsia="黑体" w:cs="Times New Roman"/>
          <w:sz w:val="21"/>
          <w:lang w:val="en-US" w:eastAsia="zh-CN" w:bidi="ar-SA"/>
        </w:rPr>
      </w:pPr>
      <w:r>
        <w:rPr>
          <w:rFonts w:hint="eastAsia" w:ascii="黑体" w:hAnsi="Times New Roman" w:eastAsia="黑体" w:cs="Times New Roman"/>
          <w:sz w:val="21"/>
          <w:lang w:val="en-US" w:eastAsia="zh-CN" w:bidi="ar-SA"/>
        </w:rPr>
        <w:t>6.5.4.8.2 刮痧</w:t>
      </w:r>
    </w:p>
    <w:p w14:paraId="10A392BB">
      <w:pPr>
        <w:pStyle w:val="56"/>
        <w:ind w:firstLine="420"/>
        <w:rPr>
          <w:rFonts w:hint="eastAsia"/>
          <w:lang w:val="en-US" w:eastAsia="zh-CN"/>
        </w:rPr>
      </w:pPr>
      <w:r>
        <w:rPr>
          <w:rFonts w:hint="eastAsia"/>
          <w:lang w:val="en-US" w:eastAsia="zh-CN"/>
        </w:rPr>
        <w:t>选取肝经、胆经、督脉及头部太阳穴周围，采用刮板轻柔刮拭，以皮肤淡红或紫红色为度，每周1次，4周为1疗程，重点刮拭太冲、行间穴位，增强泻火功效。</w:t>
      </w:r>
    </w:p>
    <w:p w14:paraId="08F07167">
      <w:pPr>
        <w:pStyle w:val="162"/>
        <w:keepNext w:val="0"/>
        <w:keepLines w:val="0"/>
        <w:pageBreakBefore w:val="0"/>
        <w:widowControl/>
        <w:numPr>
          <w:ilvl w:val="2"/>
          <w:numId w:val="0"/>
        </w:numPr>
        <w:kinsoku/>
        <w:wordWrap/>
        <w:overflowPunct/>
        <w:topLinePunct w:val="0"/>
        <w:autoSpaceDE/>
        <w:autoSpaceDN/>
        <w:bidi w:val="0"/>
        <w:adjustRightInd/>
        <w:snapToGrid/>
        <w:spacing w:before="157" w:beforeLines="50" w:after="157" w:afterLines="50"/>
        <w:ind w:leftChars="0"/>
        <w:textAlignment w:val="auto"/>
        <w:rPr>
          <w:rFonts w:hint="eastAsia" w:ascii="黑体" w:hAnsi="Times New Roman" w:eastAsia="黑体" w:cs="Times New Roman"/>
          <w:sz w:val="21"/>
          <w:lang w:val="en-US" w:eastAsia="zh-CN" w:bidi="ar-SA"/>
        </w:rPr>
      </w:pPr>
      <w:r>
        <w:rPr>
          <w:rFonts w:hint="eastAsia" w:ascii="黑体" w:hAnsi="Times New Roman" w:eastAsia="黑体" w:cs="Times New Roman"/>
          <w:sz w:val="21"/>
          <w:lang w:val="en-US" w:eastAsia="zh-CN" w:bidi="ar-SA"/>
        </w:rPr>
        <w:t>6.5.4.8.3 耳穴压豆</w:t>
      </w:r>
    </w:p>
    <w:p w14:paraId="5B6160FC">
      <w:pPr>
        <w:pStyle w:val="56"/>
        <w:ind w:firstLine="420"/>
        <w:rPr>
          <w:rFonts w:hint="eastAsia"/>
          <w:lang w:val="en-US" w:eastAsia="zh-CN"/>
        </w:rPr>
      </w:pPr>
      <w:r>
        <w:rPr>
          <w:rFonts w:hint="eastAsia"/>
          <w:lang w:val="en-US" w:eastAsia="zh-CN"/>
        </w:rPr>
        <w:t>选用肝、胆、神门、皮质下、心等耳穴，将王不留行籽贴于对应耳穴，每天按压3-5次，每次每穴按压1-2分钟，以酸麻胀痛为度，每周更换1-2次，4周为1疗程，可缓解烦躁、失眠、口苦。</w:t>
      </w:r>
    </w:p>
    <w:p w14:paraId="7E7EB576">
      <w:pPr>
        <w:pStyle w:val="162"/>
        <w:keepNext w:val="0"/>
        <w:keepLines w:val="0"/>
        <w:pageBreakBefore w:val="0"/>
        <w:widowControl/>
        <w:numPr>
          <w:ilvl w:val="2"/>
          <w:numId w:val="0"/>
        </w:numPr>
        <w:kinsoku/>
        <w:wordWrap/>
        <w:overflowPunct/>
        <w:topLinePunct w:val="0"/>
        <w:autoSpaceDE/>
        <w:autoSpaceDN/>
        <w:bidi w:val="0"/>
        <w:adjustRightInd/>
        <w:snapToGrid/>
        <w:spacing w:before="157" w:beforeLines="50" w:after="157" w:afterLines="50"/>
        <w:ind w:leftChars="0"/>
        <w:textAlignment w:val="auto"/>
        <w:rPr>
          <w:rFonts w:hint="eastAsia" w:ascii="黑体" w:hAnsi="Times New Roman" w:eastAsia="黑体" w:cs="Times New Roman"/>
          <w:sz w:val="21"/>
          <w:lang w:val="en-US" w:eastAsia="zh-CN" w:bidi="ar-SA"/>
        </w:rPr>
      </w:pPr>
      <w:r>
        <w:rPr>
          <w:rFonts w:hint="eastAsia" w:ascii="黑体" w:hAnsi="Times New Roman" w:eastAsia="黑体" w:cs="Times New Roman"/>
          <w:sz w:val="21"/>
          <w:lang w:val="en-US" w:eastAsia="zh-CN" w:bidi="ar-SA"/>
        </w:rPr>
        <w:t>6.5.4.8.4 推拿按摩</w:t>
      </w:r>
    </w:p>
    <w:p w14:paraId="1E25BB34">
      <w:pPr>
        <w:pStyle w:val="56"/>
        <w:ind w:firstLine="420"/>
        <w:rPr>
          <w:rFonts w:hint="eastAsia"/>
          <w:lang w:val="en-US" w:eastAsia="zh-CN"/>
        </w:rPr>
      </w:pPr>
      <w:r>
        <w:rPr>
          <w:rFonts w:hint="eastAsia"/>
          <w:lang w:val="en-US" w:eastAsia="zh-CN"/>
        </w:rPr>
        <w:t>重点按摩太冲、行间、期门、膻中、内关等穴位，采用揉法、按法，力度适中，每个穴位按摩3-5分钟；同时按摩头部，采用点按法按摩太阳穴、风池穴，每次10-15分钟，每周2-3次，4周为1疗程。</w:t>
      </w:r>
    </w:p>
    <w:p w14:paraId="5BA14035">
      <w:pPr>
        <w:pStyle w:val="162"/>
        <w:keepNext w:val="0"/>
        <w:keepLines w:val="0"/>
        <w:pageBreakBefore w:val="0"/>
        <w:widowControl/>
        <w:numPr>
          <w:ilvl w:val="2"/>
          <w:numId w:val="0"/>
        </w:numPr>
        <w:kinsoku/>
        <w:wordWrap/>
        <w:overflowPunct/>
        <w:topLinePunct w:val="0"/>
        <w:autoSpaceDE/>
        <w:autoSpaceDN/>
        <w:bidi w:val="0"/>
        <w:adjustRightInd/>
        <w:snapToGrid/>
        <w:spacing w:before="157" w:beforeLines="50" w:after="157" w:afterLines="50"/>
        <w:ind w:leftChars="0"/>
        <w:textAlignment w:val="auto"/>
        <w:rPr>
          <w:rFonts w:hint="eastAsia" w:ascii="黑体" w:hAnsi="Times New Roman" w:eastAsia="黑体" w:cs="Times New Roman"/>
          <w:sz w:val="21"/>
          <w:lang w:val="en-US" w:eastAsia="zh-CN" w:bidi="ar-SA"/>
        </w:rPr>
      </w:pPr>
      <w:r>
        <w:rPr>
          <w:rFonts w:hint="eastAsia" w:ascii="黑体" w:hAnsi="Times New Roman" w:eastAsia="黑体" w:cs="Times New Roman"/>
          <w:sz w:val="21"/>
          <w:lang w:val="en-US" w:eastAsia="zh-CN" w:bidi="ar-SA"/>
        </w:rPr>
        <w:t>6.5.4.8.5 中药热奄包</w:t>
      </w:r>
    </w:p>
    <w:p w14:paraId="7383D9F7">
      <w:pPr>
        <w:pStyle w:val="56"/>
        <w:ind w:firstLine="420"/>
        <w:rPr>
          <w:rFonts w:hint="eastAsia"/>
          <w:lang w:val="en-US" w:eastAsia="zh-CN"/>
        </w:rPr>
      </w:pPr>
      <w:r>
        <w:rPr>
          <w:rFonts w:hint="eastAsia"/>
          <w:lang w:val="en-US" w:eastAsia="zh-CN"/>
        </w:rPr>
        <w:t>选用柴胡、龙胆草、菊花、薄荷等疏肝泻火、清热安神的中药，装入布袋加热至38-40℃（温和温度，避免燥热），敷于期门、膻中、太阳穴周围，每次15分钟，每周2次，4周为1疗程；忌高温，避免加重肝火。</w:t>
      </w:r>
    </w:p>
    <w:p w14:paraId="41AC0F0A">
      <w:pPr>
        <w:pStyle w:val="162"/>
        <w:keepNext w:val="0"/>
        <w:keepLines w:val="0"/>
        <w:pageBreakBefore w:val="0"/>
        <w:widowControl/>
        <w:numPr>
          <w:ilvl w:val="2"/>
          <w:numId w:val="0"/>
        </w:numPr>
        <w:kinsoku/>
        <w:wordWrap/>
        <w:overflowPunct/>
        <w:topLinePunct w:val="0"/>
        <w:autoSpaceDE/>
        <w:autoSpaceDN/>
        <w:bidi w:val="0"/>
        <w:adjustRightInd/>
        <w:snapToGrid/>
        <w:spacing w:before="157" w:beforeLines="50" w:after="157" w:afterLines="50"/>
        <w:ind w:leftChars="0"/>
        <w:textAlignment w:val="auto"/>
        <w:rPr>
          <w:rFonts w:hint="eastAsia" w:ascii="黑体" w:hAnsi="Times New Roman" w:eastAsia="黑体" w:cs="Times New Roman"/>
          <w:sz w:val="21"/>
          <w:lang w:val="en-US" w:eastAsia="zh-CN" w:bidi="ar-SA"/>
        </w:rPr>
      </w:pPr>
      <w:r>
        <w:rPr>
          <w:rFonts w:hint="eastAsia" w:ascii="黑体" w:hAnsi="Times New Roman" w:eastAsia="黑体" w:cs="Times New Roman"/>
          <w:sz w:val="21"/>
          <w:lang w:val="en-US" w:eastAsia="zh-CN" w:bidi="ar-SA"/>
        </w:rPr>
        <w:t>6.5.4.9 心肾不交型</w:t>
      </w:r>
    </w:p>
    <w:p w14:paraId="3686F062">
      <w:pPr>
        <w:pStyle w:val="56"/>
        <w:ind w:firstLine="420"/>
        <w:rPr>
          <w:rFonts w:hint="eastAsia"/>
          <w:lang w:val="en-US" w:eastAsia="zh-CN"/>
        </w:rPr>
      </w:pPr>
      <w:r>
        <w:rPr>
          <w:rFonts w:hint="eastAsia"/>
          <w:lang w:val="en-US" w:eastAsia="zh-CN"/>
        </w:rPr>
        <w:t>核心干预：滋阴降火、交通心肾，选用耳穴压豆、中药贴敷、推拿按摩组合干预，兼顾养心与补肾，改善心肾失衡症状。</w:t>
      </w:r>
    </w:p>
    <w:p w14:paraId="7E4268DF">
      <w:pPr>
        <w:pStyle w:val="162"/>
        <w:keepNext w:val="0"/>
        <w:keepLines w:val="0"/>
        <w:pageBreakBefore w:val="0"/>
        <w:widowControl/>
        <w:numPr>
          <w:ilvl w:val="2"/>
          <w:numId w:val="0"/>
        </w:numPr>
        <w:kinsoku/>
        <w:wordWrap/>
        <w:overflowPunct/>
        <w:topLinePunct w:val="0"/>
        <w:autoSpaceDE/>
        <w:autoSpaceDN/>
        <w:bidi w:val="0"/>
        <w:adjustRightInd/>
        <w:snapToGrid/>
        <w:spacing w:before="157" w:beforeLines="50" w:after="157" w:afterLines="50"/>
        <w:ind w:leftChars="0"/>
        <w:textAlignment w:val="auto"/>
        <w:rPr>
          <w:rFonts w:hint="eastAsia" w:ascii="黑体" w:hAnsi="Times New Roman" w:eastAsia="黑体" w:cs="Times New Roman"/>
          <w:sz w:val="21"/>
          <w:lang w:val="en-US" w:eastAsia="zh-CN" w:bidi="ar-SA"/>
        </w:rPr>
      </w:pPr>
      <w:r>
        <w:rPr>
          <w:rFonts w:hint="eastAsia" w:ascii="黑体" w:hAnsi="Times New Roman" w:eastAsia="黑体" w:cs="Times New Roman"/>
          <w:sz w:val="21"/>
          <w:lang w:val="en-US" w:eastAsia="zh-CN" w:bidi="ar-SA"/>
        </w:rPr>
        <w:t>6.5.4.9.1 针灸</w:t>
      </w:r>
    </w:p>
    <w:p w14:paraId="17A09D82">
      <w:pPr>
        <w:pStyle w:val="56"/>
        <w:ind w:firstLine="420"/>
        <w:rPr>
          <w:rFonts w:hint="eastAsia"/>
          <w:lang w:val="en-US" w:eastAsia="zh-CN"/>
        </w:rPr>
      </w:pPr>
      <w:r>
        <w:rPr>
          <w:rFonts w:hint="eastAsia"/>
          <w:lang w:val="en-US" w:eastAsia="zh-CN"/>
        </w:rPr>
        <w:t>核心穴位选取心俞、肾俞、太溪、神门、涌泉，配穴选取内关（心悸明显者加）、三阴交（阴虚明显者加）。采用毫针针刺，心俞、神门行平补平泻法，肾俞、太溪行补法，留针20分钟，每周2次，4周为1疗程；力度轻柔，避免强刺激，针刺涌泉穴时可适当捻转。</w:t>
      </w:r>
    </w:p>
    <w:p w14:paraId="4AFEA188">
      <w:pPr>
        <w:pStyle w:val="162"/>
        <w:keepNext w:val="0"/>
        <w:keepLines w:val="0"/>
        <w:pageBreakBefore w:val="0"/>
        <w:widowControl/>
        <w:numPr>
          <w:ilvl w:val="2"/>
          <w:numId w:val="0"/>
        </w:numPr>
        <w:kinsoku/>
        <w:wordWrap/>
        <w:overflowPunct/>
        <w:topLinePunct w:val="0"/>
        <w:autoSpaceDE/>
        <w:autoSpaceDN/>
        <w:bidi w:val="0"/>
        <w:adjustRightInd/>
        <w:snapToGrid/>
        <w:spacing w:before="157" w:beforeLines="50" w:after="157" w:afterLines="50"/>
        <w:ind w:leftChars="0"/>
        <w:textAlignment w:val="auto"/>
        <w:rPr>
          <w:rFonts w:hint="eastAsia" w:ascii="黑体" w:hAnsi="Times New Roman" w:eastAsia="黑体" w:cs="Times New Roman"/>
          <w:sz w:val="21"/>
          <w:lang w:val="en-US" w:eastAsia="zh-CN" w:bidi="ar-SA"/>
        </w:rPr>
      </w:pPr>
      <w:r>
        <w:rPr>
          <w:rFonts w:hint="eastAsia" w:ascii="黑体" w:hAnsi="Times New Roman" w:eastAsia="黑体" w:cs="Times New Roman"/>
          <w:sz w:val="21"/>
          <w:lang w:val="en-US" w:eastAsia="zh-CN" w:bidi="ar-SA"/>
        </w:rPr>
        <w:t>6.5.4.9.2 耳穴压豆</w:t>
      </w:r>
    </w:p>
    <w:p w14:paraId="093636FF">
      <w:pPr>
        <w:pStyle w:val="56"/>
        <w:ind w:firstLine="420"/>
        <w:rPr>
          <w:rFonts w:hint="eastAsia"/>
          <w:lang w:val="en-US" w:eastAsia="zh-CN"/>
        </w:rPr>
      </w:pPr>
      <w:r>
        <w:rPr>
          <w:rFonts w:hint="eastAsia"/>
          <w:lang w:val="en-US" w:eastAsia="zh-CN"/>
        </w:rPr>
        <w:t>选用心、肾、神门、皮质下、涌泉（耳穴对应区）等耳穴，操作同6.5.4.2.1，每周更换1-2次，4周为1疗程，可缓解失眠、多梦、潮热等症状。</w:t>
      </w:r>
    </w:p>
    <w:p w14:paraId="1DCCCFEF">
      <w:pPr>
        <w:pStyle w:val="162"/>
        <w:keepNext w:val="0"/>
        <w:keepLines w:val="0"/>
        <w:pageBreakBefore w:val="0"/>
        <w:widowControl/>
        <w:numPr>
          <w:ilvl w:val="2"/>
          <w:numId w:val="0"/>
        </w:numPr>
        <w:kinsoku/>
        <w:wordWrap/>
        <w:overflowPunct/>
        <w:topLinePunct w:val="0"/>
        <w:autoSpaceDE/>
        <w:autoSpaceDN/>
        <w:bidi w:val="0"/>
        <w:adjustRightInd/>
        <w:snapToGrid/>
        <w:spacing w:before="157" w:beforeLines="50" w:after="157" w:afterLines="50"/>
        <w:ind w:leftChars="0"/>
        <w:textAlignment w:val="auto"/>
        <w:rPr>
          <w:rFonts w:hint="eastAsia" w:ascii="黑体" w:hAnsi="Times New Roman" w:eastAsia="黑体" w:cs="Times New Roman"/>
          <w:sz w:val="21"/>
          <w:lang w:val="en-US" w:eastAsia="zh-CN" w:bidi="ar-SA"/>
        </w:rPr>
      </w:pPr>
      <w:r>
        <w:rPr>
          <w:rFonts w:hint="eastAsia" w:ascii="黑体" w:hAnsi="Times New Roman" w:eastAsia="黑体" w:cs="Times New Roman"/>
          <w:sz w:val="21"/>
          <w:lang w:val="en-US" w:eastAsia="zh-CN" w:bidi="ar-SA"/>
        </w:rPr>
        <w:t>6.5.4.9.3 中药贴敷</w:t>
      </w:r>
    </w:p>
    <w:p w14:paraId="5CF625E9">
      <w:pPr>
        <w:pStyle w:val="56"/>
        <w:ind w:firstLine="420"/>
        <w:rPr>
          <w:rFonts w:hint="eastAsia"/>
          <w:lang w:val="en-US" w:eastAsia="zh-CN"/>
        </w:rPr>
      </w:pPr>
      <w:r>
        <w:rPr>
          <w:rFonts w:hint="eastAsia"/>
          <w:lang w:val="en-US" w:eastAsia="zh-CN"/>
        </w:rPr>
        <w:t>选用麦冬、百合、枸杞、酸枣仁、黄连等中药研粉，用蜂蜜调成糊状，贴于心俞、肾俞、神门、涌泉穴位，每次贴敷4-6小时，每周1-2次，4周为1疗程，避免贴敷部位过敏。</w:t>
      </w:r>
    </w:p>
    <w:p w14:paraId="660DBE8C">
      <w:pPr>
        <w:pStyle w:val="162"/>
        <w:keepNext w:val="0"/>
        <w:keepLines w:val="0"/>
        <w:pageBreakBefore w:val="0"/>
        <w:widowControl/>
        <w:numPr>
          <w:ilvl w:val="2"/>
          <w:numId w:val="0"/>
        </w:numPr>
        <w:kinsoku/>
        <w:wordWrap/>
        <w:overflowPunct/>
        <w:topLinePunct w:val="0"/>
        <w:autoSpaceDE/>
        <w:autoSpaceDN/>
        <w:bidi w:val="0"/>
        <w:adjustRightInd/>
        <w:snapToGrid/>
        <w:spacing w:before="157" w:beforeLines="50" w:after="157" w:afterLines="50"/>
        <w:ind w:leftChars="0"/>
        <w:textAlignment w:val="auto"/>
        <w:rPr>
          <w:rFonts w:hint="eastAsia" w:ascii="黑体" w:hAnsi="Times New Roman" w:eastAsia="黑体" w:cs="Times New Roman"/>
          <w:sz w:val="21"/>
          <w:lang w:val="en-US" w:eastAsia="zh-CN" w:bidi="ar-SA"/>
        </w:rPr>
      </w:pPr>
      <w:r>
        <w:rPr>
          <w:rFonts w:hint="eastAsia" w:ascii="黑体" w:hAnsi="Times New Roman" w:eastAsia="黑体" w:cs="Times New Roman"/>
          <w:sz w:val="21"/>
          <w:lang w:val="en-US" w:eastAsia="zh-CN" w:bidi="ar-SA"/>
        </w:rPr>
        <w:t>6.5.4.9.4 推拿按摩</w:t>
      </w:r>
    </w:p>
    <w:p w14:paraId="70E8F97A">
      <w:pPr>
        <w:pStyle w:val="56"/>
        <w:ind w:firstLine="420"/>
        <w:rPr>
          <w:rFonts w:hint="eastAsia"/>
          <w:lang w:val="en-US" w:eastAsia="zh-CN"/>
        </w:rPr>
      </w:pPr>
      <w:r>
        <w:rPr>
          <w:rFonts w:hint="eastAsia"/>
          <w:lang w:val="en-US" w:eastAsia="zh-CN"/>
        </w:rPr>
        <w:t>重点按摩心俞、肾俞、太溪、涌泉、神门等穴位，采用揉法、按法，力度轻柔，每个穴位按摩3-5分钟；同时按摩背部心俞至肾俞区域，采用揉法，每次15-20分钟，每周2-3次，4周为1疗程。</w:t>
      </w:r>
    </w:p>
    <w:p w14:paraId="50710B42">
      <w:pPr>
        <w:pStyle w:val="162"/>
        <w:keepNext w:val="0"/>
        <w:keepLines w:val="0"/>
        <w:pageBreakBefore w:val="0"/>
        <w:widowControl/>
        <w:numPr>
          <w:ilvl w:val="2"/>
          <w:numId w:val="0"/>
        </w:numPr>
        <w:kinsoku/>
        <w:wordWrap/>
        <w:overflowPunct/>
        <w:topLinePunct w:val="0"/>
        <w:autoSpaceDE/>
        <w:autoSpaceDN/>
        <w:bidi w:val="0"/>
        <w:adjustRightInd/>
        <w:snapToGrid/>
        <w:spacing w:before="157" w:beforeLines="50" w:after="157" w:afterLines="50"/>
        <w:ind w:leftChars="0"/>
        <w:textAlignment w:val="auto"/>
        <w:rPr>
          <w:rFonts w:hint="eastAsia" w:ascii="黑体" w:hAnsi="Times New Roman" w:eastAsia="黑体" w:cs="Times New Roman"/>
          <w:sz w:val="21"/>
          <w:lang w:val="en-US" w:eastAsia="zh-CN" w:bidi="ar-SA"/>
        </w:rPr>
      </w:pPr>
      <w:r>
        <w:rPr>
          <w:rFonts w:hint="eastAsia" w:ascii="黑体" w:hAnsi="Times New Roman" w:eastAsia="黑体" w:cs="Times New Roman"/>
          <w:sz w:val="21"/>
          <w:lang w:val="en-US" w:eastAsia="zh-CN" w:bidi="ar-SA"/>
        </w:rPr>
        <w:t>6.5.4.9.5 塌渍</w:t>
      </w:r>
    </w:p>
    <w:p w14:paraId="347ACB83">
      <w:pPr>
        <w:pStyle w:val="56"/>
        <w:ind w:firstLine="420"/>
        <w:rPr>
          <w:rFonts w:hint="eastAsia"/>
          <w:lang w:val="en-US" w:eastAsia="zh-CN"/>
        </w:rPr>
      </w:pPr>
      <w:r>
        <w:rPr>
          <w:rFonts w:hint="eastAsia"/>
          <w:lang w:val="en-US" w:eastAsia="zh-CN"/>
        </w:rPr>
        <w:t>选用麦冬、百合、枸杞、酸枣仁等滋阴养心、补肾安神的中药，加水煎煮取汁，放凉至38℃左右，将无菌纱布浸湿后拧至半干，塌敷于心俞、肾俞、涌泉穴位，每次15分钟，每周2次，4周为1疗程；避免受凉，敷后饮用温水。</w:t>
      </w:r>
    </w:p>
    <w:p w14:paraId="4CBBC7A4">
      <w:pPr>
        <w:pStyle w:val="162"/>
        <w:keepNext w:val="0"/>
        <w:keepLines w:val="0"/>
        <w:pageBreakBefore w:val="0"/>
        <w:widowControl/>
        <w:numPr>
          <w:ilvl w:val="2"/>
          <w:numId w:val="0"/>
        </w:numPr>
        <w:kinsoku/>
        <w:wordWrap/>
        <w:overflowPunct/>
        <w:topLinePunct w:val="0"/>
        <w:autoSpaceDE/>
        <w:autoSpaceDN/>
        <w:bidi w:val="0"/>
        <w:adjustRightInd/>
        <w:snapToGrid/>
        <w:spacing w:before="157" w:beforeLines="50" w:after="157" w:afterLines="50"/>
        <w:ind w:leftChars="0"/>
        <w:textAlignment w:val="auto"/>
        <w:rPr>
          <w:rFonts w:hint="eastAsia" w:ascii="黑体" w:hAnsi="Times New Roman" w:eastAsia="黑体" w:cs="Times New Roman"/>
          <w:sz w:val="21"/>
          <w:lang w:val="en-US" w:eastAsia="zh-CN" w:bidi="ar-SA"/>
        </w:rPr>
      </w:pPr>
      <w:r>
        <w:rPr>
          <w:rFonts w:hint="eastAsia" w:ascii="黑体" w:hAnsi="Times New Roman" w:eastAsia="黑体" w:cs="Times New Roman"/>
          <w:sz w:val="21"/>
          <w:lang w:val="en-US" w:eastAsia="zh-CN" w:bidi="ar-SA"/>
        </w:rPr>
        <w:t>6.5.4.10 肾精不足型</w:t>
      </w:r>
    </w:p>
    <w:p w14:paraId="541199AF">
      <w:pPr>
        <w:pStyle w:val="162"/>
        <w:keepNext w:val="0"/>
        <w:keepLines w:val="0"/>
        <w:pageBreakBefore w:val="0"/>
        <w:widowControl/>
        <w:numPr>
          <w:ilvl w:val="2"/>
          <w:numId w:val="0"/>
        </w:numPr>
        <w:kinsoku/>
        <w:wordWrap/>
        <w:overflowPunct/>
        <w:topLinePunct w:val="0"/>
        <w:autoSpaceDE/>
        <w:autoSpaceDN/>
        <w:bidi w:val="0"/>
        <w:adjustRightInd/>
        <w:snapToGrid/>
        <w:ind w:leftChars="0" w:firstLine="420" w:firstLineChars="200"/>
        <w:textAlignment w:val="auto"/>
        <w:rPr>
          <w:rFonts w:hint="eastAsia" w:ascii="宋体" w:hAnsi="Times New Roman" w:eastAsia="宋体" w:cs="Times New Roman"/>
          <w:sz w:val="21"/>
          <w:lang w:val="en-US" w:eastAsia="zh-CN" w:bidi="ar-SA"/>
        </w:rPr>
      </w:pPr>
      <w:r>
        <w:rPr>
          <w:rFonts w:hint="eastAsia" w:ascii="宋体" w:hAnsi="Times New Roman" w:eastAsia="宋体" w:cs="Times New Roman"/>
          <w:sz w:val="21"/>
          <w:lang w:val="en-US" w:eastAsia="zh-CN" w:bidi="ar-SA"/>
        </w:rPr>
        <w:t>核心干预：补肾填精、益髓健脑，选用艾灸、推拿按摩、中药贴敷组合干预，注重滋养肾精，增强体质。</w:t>
      </w:r>
    </w:p>
    <w:p w14:paraId="66AB35FB">
      <w:pPr>
        <w:pStyle w:val="162"/>
        <w:keepNext w:val="0"/>
        <w:keepLines w:val="0"/>
        <w:pageBreakBefore w:val="0"/>
        <w:widowControl/>
        <w:numPr>
          <w:ilvl w:val="2"/>
          <w:numId w:val="0"/>
        </w:numPr>
        <w:kinsoku/>
        <w:wordWrap/>
        <w:overflowPunct/>
        <w:topLinePunct w:val="0"/>
        <w:autoSpaceDE/>
        <w:autoSpaceDN/>
        <w:bidi w:val="0"/>
        <w:adjustRightInd/>
        <w:snapToGrid/>
        <w:spacing w:before="157" w:beforeLines="50" w:after="157" w:afterLines="50"/>
        <w:ind w:leftChars="0"/>
        <w:textAlignment w:val="auto"/>
        <w:rPr>
          <w:rFonts w:hint="eastAsia" w:ascii="黑体" w:hAnsi="Times New Roman" w:eastAsia="黑体" w:cs="Times New Roman"/>
          <w:sz w:val="21"/>
          <w:lang w:val="en-US" w:eastAsia="zh-CN" w:bidi="ar-SA"/>
        </w:rPr>
      </w:pPr>
      <w:r>
        <w:rPr>
          <w:rFonts w:hint="eastAsia" w:ascii="黑体" w:hAnsi="Times New Roman" w:eastAsia="黑体" w:cs="Times New Roman"/>
          <w:sz w:val="21"/>
          <w:lang w:val="en-US" w:eastAsia="zh-CN" w:bidi="ar-SA"/>
        </w:rPr>
        <w:t>6.5.4.10.1 针灸</w:t>
      </w:r>
    </w:p>
    <w:p w14:paraId="767C2AAB">
      <w:pPr>
        <w:pStyle w:val="56"/>
        <w:ind w:firstLine="420"/>
        <w:rPr>
          <w:rFonts w:hint="eastAsia"/>
          <w:lang w:val="en-US" w:eastAsia="zh-CN"/>
        </w:rPr>
      </w:pPr>
      <w:r>
        <w:rPr>
          <w:rFonts w:hint="eastAsia"/>
          <w:lang w:val="en-US" w:eastAsia="zh-CN"/>
        </w:rPr>
        <w:t>核心穴位选取肾俞、命门、关元、气海、太溪，配穴选取三阴交（精血不足者加）、百会（头晕健忘者加）。采用毫针针刺，行补法，可配合温针，留针20-30分钟，每周2次，4周为1疗程；温针时控制艾柱大小，避免烫伤，体质虚弱者可减少针刺频次。</w:t>
      </w:r>
    </w:p>
    <w:p w14:paraId="43422677">
      <w:pPr>
        <w:pStyle w:val="162"/>
        <w:keepNext w:val="0"/>
        <w:keepLines w:val="0"/>
        <w:pageBreakBefore w:val="0"/>
        <w:widowControl/>
        <w:numPr>
          <w:ilvl w:val="2"/>
          <w:numId w:val="0"/>
        </w:numPr>
        <w:kinsoku/>
        <w:wordWrap/>
        <w:overflowPunct/>
        <w:topLinePunct w:val="0"/>
        <w:autoSpaceDE/>
        <w:autoSpaceDN/>
        <w:bidi w:val="0"/>
        <w:adjustRightInd/>
        <w:snapToGrid/>
        <w:spacing w:before="157" w:beforeLines="50" w:after="157" w:afterLines="50"/>
        <w:ind w:leftChars="0"/>
        <w:textAlignment w:val="auto"/>
        <w:rPr>
          <w:rFonts w:hint="eastAsia" w:ascii="黑体" w:hAnsi="Times New Roman" w:eastAsia="黑体" w:cs="Times New Roman"/>
          <w:sz w:val="21"/>
          <w:lang w:val="en-US" w:eastAsia="zh-CN" w:bidi="ar-SA"/>
        </w:rPr>
      </w:pPr>
      <w:r>
        <w:rPr>
          <w:rFonts w:hint="eastAsia" w:ascii="黑体" w:hAnsi="Times New Roman" w:eastAsia="黑体" w:cs="Times New Roman"/>
          <w:sz w:val="21"/>
          <w:lang w:val="en-US" w:eastAsia="zh-CN" w:bidi="ar-SA"/>
        </w:rPr>
        <w:t>6.5.4.10.2 艾灸</w:t>
      </w:r>
    </w:p>
    <w:p w14:paraId="69B5D3F0">
      <w:pPr>
        <w:pStyle w:val="56"/>
        <w:ind w:firstLine="420"/>
        <w:rPr>
          <w:rFonts w:hint="eastAsia"/>
          <w:lang w:val="en-US" w:eastAsia="zh-CN"/>
        </w:rPr>
      </w:pPr>
      <w:r>
        <w:rPr>
          <w:rFonts w:hint="eastAsia"/>
          <w:lang w:val="en-US" w:eastAsia="zh-CN"/>
        </w:rPr>
        <w:t>选取肾俞、命门、关元、气海、太溪等穴位，采用温和灸，每穴灸15-20分钟，每周2-3次，4周为1疗程；肾精亏虚明显者，可在命门、关元穴加隔附子灸，增强补肾填精功效。</w:t>
      </w:r>
    </w:p>
    <w:p w14:paraId="3F23E9AD">
      <w:pPr>
        <w:pStyle w:val="162"/>
        <w:keepNext w:val="0"/>
        <w:keepLines w:val="0"/>
        <w:pageBreakBefore w:val="0"/>
        <w:widowControl/>
        <w:numPr>
          <w:ilvl w:val="2"/>
          <w:numId w:val="0"/>
        </w:numPr>
        <w:kinsoku/>
        <w:wordWrap/>
        <w:overflowPunct/>
        <w:topLinePunct w:val="0"/>
        <w:autoSpaceDE/>
        <w:autoSpaceDN/>
        <w:bidi w:val="0"/>
        <w:adjustRightInd/>
        <w:snapToGrid/>
        <w:spacing w:before="157" w:beforeLines="50" w:after="157" w:afterLines="50"/>
        <w:ind w:leftChars="0"/>
        <w:textAlignment w:val="auto"/>
        <w:rPr>
          <w:rFonts w:hint="eastAsia" w:ascii="黑体" w:hAnsi="Times New Roman" w:eastAsia="黑体" w:cs="Times New Roman"/>
          <w:sz w:val="21"/>
          <w:lang w:val="en-US" w:eastAsia="zh-CN" w:bidi="ar-SA"/>
        </w:rPr>
      </w:pPr>
      <w:r>
        <w:rPr>
          <w:rFonts w:hint="eastAsia" w:ascii="黑体" w:hAnsi="Times New Roman" w:eastAsia="黑体" w:cs="Times New Roman"/>
          <w:sz w:val="21"/>
          <w:lang w:val="en-US" w:eastAsia="zh-CN" w:bidi="ar-SA"/>
        </w:rPr>
        <w:t>6.5.4.10.3 推拿按摩</w:t>
      </w:r>
    </w:p>
    <w:p w14:paraId="5CEE0817">
      <w:pPr>
        <w:pStyle w:val="56"/>
        <w:ind w:firstLine="420"/>
        <w:rPr>
          <w:rFonts w:hint="eastAsia"/>
          <w:lang w:val="en-US" w:eastAsia="zh-CN"/>
        </w:rPr>
      </w:pPr>
      <w:r>
        <w:rPr>
          <w:rFonts w:hint="eastAsia"/>
          <w:lang w:val="en-US" w:eastAsia="zh-CN"/>
        </w:rPr>
        <w:t>重点按摩肾俞、命门、太溪、涌泉、三阴交等穴位，采用揉法、按法，力度适中，每个穴位按摩3-5分钟；同时按摩腰部，采用滚法、揉法，每次15-20分钟，每周2-3次，4周为1疗程，可改善腰膝酸软、记忆力减退。</w:t>
      </w:r>
    </w:p>
    <w:p w14:paraId="1B61EF11">
      <w:pPr>
        <w:pStyle w:val="162"/>
        <w:keepNext w:val="0"/>
        <w:keepLines w:val="0"/>
        <w:pageBreakBefore w:val="0"/>
        <w:widowControl/>
        <w:numPr>
          <w:ilvl w:val="2"/>
          <w:numId w:val="0"/>
        </w:numPr>
        <w:kinsoku/>
        <w:wordWrap/>
        <w:overflowPunct/>
        <w:topLinePunct w:val="0"/>
        <w:autoSpaceDE/>
        <w:autoSpaceDN/>
        <w:bidi w:val="0"/>
        <w:adjustRightInd/>
        <w:snapToGrid/>
        <w:spacing w:before="157" w:beforeLines="50" w:after="157" w:afterLines="50"/>
        <w:ind w:leftChars="0"/>
        <w:textAlignment w:val="auto"/>
        <w:rPr>
          <w:rFonts w:hint="eastAsia" w:ascii="黑体" w:hAnsi="Times New Roman" w:eastAsia="黑体" w:cs="Times New Roman"/>
          <w:sz w:val="21"/>
          <w:lang w:val="en-US" w:eastAsia="zh-CN" w:bidi="ar-SA"/>
        </w:rPr>
      </w:pPr>
      <w:r>
        <w:rPr>
          <w:rFonts w:hint="eastAsia" w:ascii="黑体" w:hAnsi="Times New Roman" w:eastAsia="黑体" w:cs="Times New Roman"/>
          <w:sz w:val="21"/>
          <w:lang w:val="en-US" w:eastAsia="zh-CN" w:bidi="ar-SA"/>
        </w:rPr>
        <w:t>6.5.4.10.4 中药贴敷</w:t>
      </w:r>
    </w:p>
    <w:p w14:paraId="3CCEEE1C">
      <w:pPr>
        <w:pStyle w:val="56"/>
        <w:ind w:firstLine="420"/>
        <w:rPr>
          <w:rFonts w:hint="eastAsia"/>
          <w:lang w:val="en-US" w:eastAsia="zh-CN"/>
        </w:rPr>
      </w:pPr>
      <w:r>
        <w:rPr>
          <w:rFonts w:hint="eastAsia"/>
          <w:lang w:val="en-US" w:eastAsia="zh-CN"/>
        </w:rPr>
        <w:t>选用熟地、枸杞、菟丝子、杜仲、山药等中药研粉，用蜂蜜调成糊状，贴于肾俞、命门、关元、太溪穴位，每次贴敷4-6小时，每周1次，4周为1疗程，阴虚火旺者慎用。</w:t>
      </w:r>
    </w:p>
    <w:p w14:paraId="63278E84">
      <w:pPr>
        <w:pStyle w:val="162"/>
        <w:keepNext w:val="0"/>
        <w:keepLines w:val="0"/>
        <w:pageBreakBefore w:val="0"/>
        <w:widowControl/>
        <w:numPr>
          <w:ilvl w:val="2"/>
          <w:numId w:val="0"/>
        </w:numPr>
        <w:kinsoku/>
        <w:wordWrap/>
        <w:overflowPunct/>
        <w:topLinePunct w:val="0"/>
        <w:autoSpaceDE/>
        <w:autoSpaceDN/>
        <w:bidi w:val="0"/>
        <w:adjustRightInd/>
        <w:snapToGrid/>
        <w:spacing w:before="157" w:beforeLines="50" w:after="157" w:afterLines="50"/>
        <w:ind w:leftChars="0"/>
        <w:textAlignment w:val="auto"/>
        <w:rPr>
          <w:rFonts w:hint="eastAsia" w:ascii="黑体" w:hAnsi="Times New Roman" w:eastAsia="黑体" w:cs="Times New Roman"/>
          <w:sz w:val="21"/>
          <w:lang w:val="en-US" w:eastAsia="zh-CN" w:bidi="ar-SA"/>
        </w:rPr>
      </w:pPr>
      <w:r>
        <w:rPr>
          <w:rFonts w:hint="eastAsia" w:ascii="黑体" w:hAnsi="Times New Roman" w:eastAsia="黑体" w:cs="Times New Roman"/>
          <w:sz w:val="21"/>
          <w:lang w:val="en-US" w:eastAsia="zh-CN" w:bidi="ar-SA"/>
        </w:rPr>
        <w:t>6.5.4.10.5 中药热奄包</w:t>
      </w:r>
    </w:p>
    <w:p w14:paraId="6829EF8A">
      <w:pPr>
        <w:pStyle w:val="56"/>
        <w:ind w:firstLine="420"/>
        <w:rPr>
          <w:rFonts w:hint="eastAsia"/>
          <w:lang w:val="en-US" w:eastAsia="zh-CN"/>
        </w:rPr>
      </w:pPr>
      <w:r>
        <w:rPr>
          <w:rFonts w:hint="eastAsia"/>
          <w:lang w:val="en-US" w:eastAsia="zh-CN"/>
        </w:rPr>
        <w:t>选用熟地、枸杞、杜仲、艾叶、核桃等补肾填精、温通经络的中药，装入布袋加热至45℃左右，敷于肾俞、命门、关元穴位，每次20分钟，每周2次，4周为1疗程；温而不燥，避免烫伤，阴虚火旺者慎用。</w:t>
      </w:r>
    </w:p>
    <w:p w14:paraId="0E4A79CC">
      <w:pPr>
        <w:pStyle w:val="162"/>
        <w:keepNext w:val="0"/>
        <w:keepLines w:val="0"/>
        <w:pageBreakBefore w:val="0"/>
        <w:widowControl/>
        <w:numPr>
          <w:ilvl w:val="2"/>
          <w:numId w:val="0"/>
        </w:numPr>
        <w:kinsoku/>
        <w:wordWrap/>
        <w:overflowPunct/>
        <w:topLinePunct w:val="0"/>
        <w:autoSpaceDE/>
        <w:autoSpaceDN/>
        <w:bidi w:val="0"/>
        <w:adjustRightInd/>
        <w:snapToGrid/>
        <w:spacing w:before="157" w:beforeLines="50" w:after="157" w:afterLines="50"/>
        <w:ind w:leftChars="0"/>
        <w:textAlignment w:val="auto"/>
        <w:rPr>
          <w:rFonts w:hint="eastAsia" w:ascii="黑体" w:hAnsi="Times New Roman" w:eastAsia="黑体" w:cs="Times New Roman"/>
          <w:sz w:val="21"/>
          <w:lang w:val="en-US" w:eastAsia="zh-CN" w:bidi="ar-SA"/>
        </w:rPr>
      </w:pPr>
      <w:r>
        <w:rPr>
          <w:rFonts w:hint="eastAsia" w:ascii="黑体" w:hAnsi="Times New Roman" w:eastAsia="黑体" w:cs="Times New Roman"/>
          <w:sz w:val="21"/>
          <w:lang w:val="en-US" w:eastAsia="zh-CN" w:bidi="ar-SA"/>
        </w:rPr>
        <w:t>6.5.5.2禁忌症及注意事项</w:t>
      </w:r>
    </w:p>
    <w:p w14:paraId="7027EB31">
      <w:pPr>
        <w:pStyle w:val="162"/>
        <w:keepNext w:val="0"/>
        <w:keepLines w:val="0"/>
        <w:pageBreakBefore w:val="0"/>
        <w:widowControl/>
        <w:numPr>
          <w:ilvl w:val="2"/>
          <w:numId w:val="0"/>
        </w:numPr>
        <w:kinsoku/>
        <w:wordWrap/>
        <w:overflowPunct/>
        <w:topLinePunct w:val="0"/>
        <w:autoSpaceDE/>
        <w:autoSpaceDN/>
        <w:bidi w:val="0"/>
        <w:adjustRightInd/>
        <w:snapToGrid/>
        <w:spacing w:before="157" w:beforeLines="50" w:after="157" w:afterLines="50"/>
        <w:ind w:leftChars="0"/>
        <w:textAlignment w:val="auto"/>
        <w:rPr>
          <w:rFonts w:hint="eastAsia" w:ascii="黑体" w:hAnsi="Times New Roman" w:eastAsia="黑体" w:cs="Times New Roman"/>
          <w:sz w:val="21"/>
          <w:lang w:val="en-US" w:eastAsia="zh-CN" w:bidi="ar-SA"/>
        </w:rPr>
      </w:pPr>
      <w:r>
        <w:rPr>
          <w:rFonts w:hint="eastAsia" w:ascii="黑体" w:hAnsi="Times New Roman" w:eastAsia="黑体" w:cs="Times New Roman"/>
          <w:sz w:val="21"/>
          <w:lang w:val="en-US" w:eastAsia="zh-CN" w:bidi="ar-SA"/>
        </w:rPr>
        <w:t>6.5.5.2.1禁忌症</w:t>
      </w:r>
    </w:p>
    <w:p w14:paraId="4F777F3C">
      <w:pPr>
        <w:pStyle w:val="162"/>
        <w:numPr>
          <w:ilvl w:val="2"/>
          <w:numId w:val="0"/>
        </w:numPr>
        <w:ind w:leftChars="0"/>
        <w:rPr>
          <w:rFonts w:hint="eastAsia"/>
          <w:lang w:val="en-US" w:eastAsia="zh-CN"/>
        </w:rPr>
      </w:pPr>
      <w:r>
        <w:rPr>
          <w:rFonts w:hint="eastAsia" w:ascii="黑体" w:hAnsi="Times New Roman" w:eastAsia="黑体" w:cs="Times New Roman"/>
          <w:sz w:val="21"/>
          <w:lang w:val="en-US" w:eastAsia="zh-CN" w:bidi="ar-SA"/>
        </w:rPr>
        <w:t xml:space="preserve">6.5.5.2.1.1 </w:t>
      </w:r>
      <w:r>
        <w:rPr>
          <w:rFonts w:hint="eastAsia"/>
          <w:lang w:val="en-US" w:eastAsia="zh-CN"/>
        </w:rPr>
        <w:t>皮肤存在破损、溃疡、皮疹、感染灶，或患有严重传染性皮肤病者，禁止使用刮痧、拔罐、中药熏蒸、塌渍、贴敷、热奄包等接触皮肤的干预方法，避免加重皮肤损伤或引发交叉感染。</w:t>
      </w:r>
    </w:p>
    <w:p w14:paraId="57C51FD8">
      <w:pPr>
        <w:pStyle w:val="162"/>
        <w:numPr>
          <w:ilvl w:val="2"/>
          <w:numId w:val="0"/>
        </w:numPr>
        <w:ind w:leftChars="0"/>
        <w:rPr>
          <w:rFonts w:hint="eastAsia"/>
          <w:lang w:val="en-US" w:eastAsia="zh-CN"/>
        </w:rPr>
      </w:pPr>
      <w:r>
        <w:rPr>
          <w:rFonts w:hint="eastAsia" w:ascii="黑体" w:hAnsi="Times New Roman" w:eastAsia="黑体" w:cs="Times New Roman"/>
          <w:sz w:val="21"/>
          <w:lang w:val="en-US" w:eastAsia="zh-CN" w:bidi="ar-SA"/>
        </w:rPr>
        <w:t xml:space="preserve">6.5.5.2.1.2 </w:t>
      </w:r>
      <w:r>
        <w:rPr>
          <w:rFonts w:hint="eastAsia"/>
          <w:lang w:val="en-US" w:eastAsia="zh-CN"/>
        </w:rPr>
        <w:t>存在严重出血性疾病，凝血功能障碍，或近期使用抗凝药物有出血风险者，禁止使用针刺、刮痧、拔罐等有创或可导致皮下出血的操作。</w:t>
      </w:r>
    </w:p>
    <w:p w14:paraId="488DF38C">
      <w:pPr>
        <w:pStyle w:val="162"/>
        <w:numPr>
          <w:ilvl w:val="2"/>
          <w:numId w:val="0"/>
        </w:numPr>
        <w:ind w:leftChars="0"/>
        <w:rPr>
          <w:rFonts w:hint="eastAsia"/>
          <w:lang w:val="en-US" w:eastAsia="zh-CN"/>
        </w:rPr>
      </w:pPr>
      <w:r>
        <w:rPr>
          <w:rFonts w:hint="eastAsia" w:ascii="黑体" w:hAnsi="Times New Roman" w:eastAsia="黑体" w:cs="Times New Roman"/>
          <w:sz w:val="21"/>
          <w:lang w:val="en-US" w:eastAsia="zh-CN" w:bidi="ar-SA"/>
        </w:rPr>
        <w:t xml:space="preserve">6.5.5.2.1.3 </w:t>
      </w:r>
      <w:r>
        <w:rPr>
          <w:rFonts w:hint="eastAsia"/>
          <w:lang w:val="en-US" w:eastAsia="zh-CN"/>
        </w:rPr>
        <w:t>孕妇的腰骶部、腹部及合谷、三阴交等特殊穴位禁止进行任何适宜技术干预，避免诱发宫缩；月经期经量过多者，暂停所有干预操作。</w:t>
      </w:r>
    </w:p>
    <w:p w14:paraId="3A85753F">
      <w:pPr>
        <w:pStyle w:val="162"/>
        <w:numPr>
          <w:ilvl w:val="2"/>
          <w:numId w:val="0"/>
        </w:numPr>
        <w:ind w:leftChars="0"/>
        <w:rPr>
          <w:rFonts w:hint="eastAsia"/>
          <w:lang w:val="en-US" w:eastAsia="zh-CN"/>
        </w:rPr>
      </w:pPr>
      <w:r>
        <w:rPr>
          <w:rFonts w:hint="eastAsia" w:ascii="黑体" w:hAnsi="Times New Roman" w:eastAsia="黑体" w:cs="Times New Roman"/>
          <w:sz w:val="21"/>
          <w:lang w:val="en-US" w:eastAsia="zh-CN" w:bidi="ar-SA"/>
        </w:rPr>
        <w:t xml:space="preserve">6.5.5.2.1.4 </w:t>
      </w:r>
      <w:r>
        <w:rPr>
          <w:rFonts w:hint="eastAsia"/>
          <w:lang w:val="en-US" w:eastAsia="zh-CN"/>
        </w:rPr>
        <w:t>过度劳累、饥饿、饱食、醉酒、情绪极度不稳者，需调整状态后再行干预，避免诱发晕针、晕罐等不良反应。</w:t>
      </w:r>
    </w:p>
    <w:p w14:paraId="3E2FB47C">
      <w:pPr>
        <w:pStyle w:val="162"/>
        <w:numPr>
          <w:ilvl w:val="2"/>
          <w:numId w:val="0"/>
        </w:numPr>
        <w:ind w:leftChars="0"/>
        <w:rPr>
          <w:rFonts w:hint="eastAsia"/>
          <w:lang w:val="en-US" w:eastAsia="zh-CN"/>
        </w:rPr>
      </w:pPr>
      <w:r>
        <w:rPr>
          <w:rFonts w:hint="eastAsia" w:ascii="黑体" w:hAnsi="Times New Roman" w:eastAsia="黑体" w:cs="Times New Roman"/>
          <w:sz w:val="21"/>
          <w:lang w:val="en-US" w:eastAsia="zh-CN" w:bidi="ar-SA"/>
        </w:rPr>
        <w:t xml:space="preserve">6.5.5.2.1.5 </w:t>
      </w:r>
      <w:r>
        <w:rPr>
          <w:rFonts w:hint="eastAsia"/>
          <w:lang w:val="en-US" w:eastAsia="zh-CN"/>
        </w:rPr>
        <w:t>肿瘤患者、严重心脑肺肝肾功能不全者，禁止进行大面积、强刺激的干预操作。</w:t>
      </w:r>
    </w:p>
    <w:p w14:paraId="23858E2E">
      <w:pPr>
        <w:pStyle w:val="162"/>
        <w:keepNext w:val="0"/>
        <w:keepLines w:val="0"/>
        <w:pageBreakBefore w:val="0"/>
        <w:widowControl/>
        <w:numPr>
          <w:ilvl w:val="2"/>
          <w:numId w:val="0"/>
        </w:numPr>
        <w:kinsoku/>
        <w:wordWrap/>
        <w:overflowPunct/>
        <w:topLinePunct w:val="0"/>
        <w:autoSpaceDE/>
        <w:autoSpaceDN/>
        <w:bidi w:val="0"/>
        <w:adjustRightInd/>
        <w:snapToGrid/>
        <w:spacing w:before="157" w:beforeLines="50" w:after="157" w:afterLines="50"/>
        <w:ind w:leftChars="0"/>
        <w:textAlignment w:val="auto"/>
        <w:rPr>
          <w:rFonts w:hint="eastAsia" w:ascii="黑体" w:hAnsi="Times New Roman" w:eastAsia="黑体" w:cs="Times New Roman"/>
          <w:sz w:val="21"/>
          <w:lang w:val="en-US" w:eastAsia="zh-CN" w:bidi="ar-SA"/>
        </w:rPr>
      </w:pPr>
      <w:r>
        <w:rPr>
          <w:rFonts w:hint="eastAsia" w:ascii="黑体" w:hAnsi="Times New Roman" w:eastAsia="黑体" w:cs="Times New Roman"/>
          <w:sz w:val="21"/>
          <w:lang w:val="en-US" w:eastAsia="zh-CN" w:bidi="ar-SA"/>
        </w:rPr>
        <w:t>6.5.5.2.2注意事项</w:t>
      </w:r>
    </w:p>
    <w:p w14:paraId="29ADBC4D">
      <w:pPr>
        <w:pStyle w:val="162"/>
        <w:numPr>
          <w:ilvl w:val="2"/>
          <w:numId w:val="0"/>
        </w:numPr>
        <w:ind w:leftChars="0"/>
        <w:rPr>
          <w:rFonts w:hint="eastAsia"/>
          <w:lang w:val="en-US" w:eastAsia="zh-CN"/>
        </w:rPr>
      </w:pPr>
      <w:r>
        <w:rPr>
          <w:rFonts w:hint="eastAsia" w:ascii="黑体" w:hAnsi="Times New Roman" w:eastAsia="黑体" w:cs="Times New Roman"/>
          <w:sz w:val="21"/>
          <w:lang w:val="en-US" w:eastAsia="zh-CN" w:bidi="ar-SA"/>
        </w:rPr>
        <w:t xml:space="preserve">6.5.5.2.2.1 </w:t>
      </w:r>
      <w:r>
        <w:rPr>
          <w:rFonts w:hint="eastAsia"/>
          <w:lang w:val="en-US" w:eastAsia="zh-CN"/>
        </w:rPr>
        <w:t>所有操作需由经过培训的专业人员实施，严格遵循无菌操作规范，各类侵入性器具需做到一人一用一消毒，避免交叉感染。</w:t>
      </w:r>
    </w:p>
    <w:p w14:paraId="7E4AF6BD">
      <w:pPr>
        <w:pStyle w:val="162"/>
        <w:numPr>
          <w:ilvl w:val="2"/>
          <w:numId w:val="0"/>
        </w:numPr>
        <w:ind w:leftChars="0"/>
        <w:rPr>
          <w:rFonts w:hint="eastAsia"/>
          <w:lang w:val="en-US" w:eastAsia="zh-CN"/>
        </w:rPr>
      </w:pPr>
      <w:r>
        <w:rPr>
          <w:rFonts w:hint="eastAsia" w:ascii="黑体" w:hAnsi="Times New Roman" w:eastAsia="黑体" w:cs="Times New Roman"/>
          <w:sz w:val="21"/>
          <w:lang w:val="en-US" w:eastAsia="zh-CN" w:bidi="ar-SA"/>
        </w:rPr>
        <w:t xml:space="preserve">6.5.5.2.2.2 </w:t>
      </w:r>
      <w:r>
        <w:rPr>
          <w:rFonts w:hint="eastAsia"/>
          <w:lang w:val="en-US" w:eastAsia="zh-CN"/>
        </w:rPr>
        <w:t>操作过程中需全程观察患者反应，若出现头晕、心慌、出冷汗、恶心等不适症状，需立即停止操作，让患者平卧休息，必要时给予对应处理。</w:t>
      </w:r>
    </w:p>
    <w:p w14:paraId="0EB1FAF5">
      <w:pPr>
        <w:pStyle w:val="162"/>
        <w:numPr>
          <w:ilvl w:val="2"/>
          <w:numId w:val="0"/>
        </w:numPr>
        <w:ind w:leftChars="0"/>
        <w:rPr>
          <w:rFonts w:hint="eastAsia"/>
          <w:lang w:val="en-US" w:eastAsia="zh-CN"/>
        </w:rPr>
      </w:pPr>
      <w:r>
        <w:rPr>
          <w:rFonts w:hint="eastAsia" w:ascii="黑体" w:hAnsi="Times New Roman" w:eastAsia="黑体" w:cs="Times New Roman"/>
          <w:sz w:val="21"/>
          <w:lang w:val="en-US" w:eastAsia="zh-CN" w:bidi="ar-SA"/>
        </w:rPr>
        <w:t xml:space="preserve">6.5.5.2.2.3 </w:t>
      </w:r>
      <w:r>
        <w:rPr>
          <w:rFonts w:hint="eastAsia"/>
          <w:lang w:val="en-US" w:eastAsia="zh-CN"/>
        </w:rPr>
        <w:t>开展温热类干预如艾灸、中药熏蒸、热奄包时，需严格控制温度，年老体弱、感觉减退者需适当降低温度，避免烫伤。</w:t>
      </w:r>
    </w:p>
    <w:p w14:paraId="2238718A">
      <w:pPr>
        <w:pStyle w:val="162"/>
        <w:numPr>
          <w:ilvl w:val="2"/>
          <w:numId w:val="0"/>
        </w:numPr>
        <w:ind w:leftChars="0"/>
        <w:rPr>
          <w:rFonts w:hint="eastAsia"/>
          <w:lang w:val="en-US" w:eastAsia="zh-CN"/>
        </w:rPr>
      </w:pPr>
      <w:r>
        <w:rPr>
          <w:rFonts w:hint="eastAsia" w:ascii="黑体" w:hAnsi="Times New Roman" w:eastAsia="黑体" w:cs="Times New Roman"/>
          <w:sz w:val="21"/>
          <w:lang w:val="en-US" w:eastAsia="zh-CN" w:bidi="ar-SA"/>
        </w:rPr>
        <w:t xml:space="preserve">6.5.5.2.2.4 </w:t>
      </w:r>
      <w:r>
        <w:rPr>
          <w:rFonts w:hint="eastAsia"/>
          <w:lang w:val="en-US" w:eastAsia="zh-CN"/>
        </w:rPr>
        <w:t>干预后需嘱患者24小时内避免吹风受凉，避免洗澡水温过低，针刺部位4小时内避免沾水，保持局部清洁。</w:t>
      </w:r>
    </w:p>
    <w:p w14:paraId="07270DDB">
      <w:pPr>
        <w:pStyle w:val="162"/>
        <w:numPr>
          <w:ilvl w:val="2"/>
          <w:numId w:val="0"/>
        </w:numPr>
        <w:ind w:leftChars="0"/>
        <w:rPr>
          <w:rFonts w:hint="eastAsia"/>
          <w:lang w:val="en-US" w:eastAsia="zh-CN"/>
        </w:rPr>
      </w:pPr>
      <w:r>
        <w:rPr>
          <w:rFonts w:hint="eastAsia" w:ascii="黑体" w:hAnsi="Times New Roman" w:eastAsia="黑体" w:cs="Times New Roman"/>
          <w:sz w:val="21"/>
          <w:lang w:val="en-US" w:eastAsia="zh-CN" w:bidi="ar-SA"/>
        </w:rPr>
        <w:t xml:space="preserve">6.5.5.2.2.5 </w:t>
      </w:r>
      <w:r>
        <w:rPr>
          <w:rFonts w:hint="eastAsia"/>
          <w:lang w:val="en-US" w:eastAsia="zh-CN"/>
        </w:rPr>
        <w:t>需根据患者的年龄、体质、耐受程度调整操作力度、频次与干预时长，不可一味追求刺激强度，干预疗程结束后需根据患者症状改善情况调整方案。</w:t>
      </w:r>
    </w:p>
    <w:p w14:paraId="5361C47F">
      <w:pPr>
        <w:pStyle w:val="104"/>
        <w:numPr>
          <w:ilvl w:val="1"/>
          <w:numId w:val="0"/>
        </w:numPr>
        <w:spacing w:before="240" w:after="240"/>
        <w:ind w:leftChars="0"/>
        <w:rPr>
          <w:rFonts w:hint="eastAsia"/>
        </w:rPr>
      </w:pPr>
      <w:bookmarkStart w:id="130" w:name="_Toc75"/>
      <w:r>
        <w:rPr>
          <w:rFonts w:hint="eastAsia"/>
          <w:lang w:val="en-US" w:eastAsia="zh-CN"/>
        </w:rPr>
        <w:t>7</w:t>
      </w:r>
      <w:r>
        <w:rPr>
          <w:rFonts w:hint="eastAsia"/>
        </w:rPr>
        <w:t xml:space="preserve"> 干预疗效评价</w:t>
      </w:r>
      <w:bookmarkEnd w:id="130"/>
    </w:p>
    <w:p w14:paraId="22F0C74F">
      <w:pPr>
        <w:pStyle w:val="56"/>
        <w:ind w:firstLine="420"/>
        <w:rPr>
          <w:rFonts w:hint="eastAsia"/>
          <w:lang w:val="en-US" w:eastAsia="zh-CN"/>
        </w:rPr>
      </w:pPr>
      <w:r>
        <w:rPr>
          <w:rFonts w:hint="eastAsia"/>
          <w:lang w:val="en-US" w:eastAsia="zh-CN"/>
        </w:rPr>
        <w:t>本章明确中年亚健康人群中医适宜技术干预的疗效评价标准、评价流程及评价方法，规范评价行为，确保评价结果科学、客观、可追溯，为干预方案调整及效果验证提供依据。</w:t>
      </w:r>
    </w:p>
    <w:p w14:paraId="4C4813ED">
      <w:pPr>
        <w:pStyle w:val="105"/>
        <w:numPr>
          <w:ilvl w:val="2"/>
          <w:numId w:val="0"/>
        </w:numPr>
        <w:spacing w:before="120" w:after="120"/>
        <w:ind w:leftChars="0"/>
        <w:rPr>
          <w:rFonts w:hint="eastAsia"/>
        </w:rPr>
      </w:pPr>
      <w:bookmarkStart w:id="131" w:name="_Toc4803"/>
      <w:r>
        <w:rPr>
          <w:rFonts w:hint="eastAsia"/>
          <w:lang w:val="en-US" w:eastAsia="zh-CN"/>
        </w:rPr>
        <w:t>7</w:t>
      </w:r>
      <w:r>
        <w:rPr>
          <w:rFonts w:hint="eastAsia"/>
        </w:rPr>
        <w:t>.1 评价原则</w:t>
      </w:r>
      <w:bookmarkEnd w:id="131"/>
    </w:p>
    <w:p w14:paraId="0E211FC1">
      <w:pPr>
        <w:pStyle w:val="162"/>
        <w:keepNext w:val="0"/>
        <w:keepLines w:val="0"/>
        <w:pageBreakBefore w:val="0"/>
        <w:widowControl/>
        <w:numPr>
          <w:ilvl w:val="2"/>
          <w:numId w:val="0"/>
        </w:numPr>
        <w:kinsoku/>
        <w:wordWrap/>
        <w:overflowPunct/>
        <w:topLinePunct w:val="0"/>
        <w:autoSpaceDE/>
        <w:autoSpaceDN/>
        <w:bidi w:val="0"/>
        <w:adjustRightInd/>
        <w:snapToGrid/>
        <w:spacing w:before="157" w:beforeLines="50" w:after="157" w:afterLines="50"/>
        <w:ind w:leftChars="0"/>
        <w:textAlignment w:val="auto"/>
        <w:rPr>
          <w:rFonts w:hint="eastAsia" w:ascii="黑体" w:hAnsi="Times New Roman" w:eastAsia="黑体" w:cs="Times New Roman"/>
          <w:sz w:val="21"/>
          <w:lang w:val="en-US" w:eastAsia="zh-CN" w:bidi="ar-SA"/>
        </w:rPr>
      </w:pPr>
      <w:r>
        <w:rPr>
          <w:rFonts w:hint="eastAsia" w:ascii="黑体" w:hAnsi="Times New Roman" w:eastAsia="黑体" w:cs="Times New Roman"/>
          <w:sz w:val="21"/>
          <w:lang w:val="en-US" w:eastAsia="zh-CN" w:bidi="ar-SA"/>
        </w:rPr>
        <w:t>7.1.1 客观公正原则</w:t>
      </w:r>
    </w:p>
    <w:p w14:paraId="2DA80B84">
      <w:pPr>
        <w:pStyle w:val="56"/>
        <w:ind w:firstLine="420"/>
        <w:rPr>
          <w:rFonts w:hint="eastAsia"/>
          <w:lang w:val="en-US" w:eastAsia="zh-CN"/>
        </w:rPr>
      </w:pPr>
      <w:r>
        <w:rPr>
          <w:rFonts w:hint="eastAsia"/>
          <w:lang w:val="en-US" w:eastAsia="zh-CN"/>
        </w:rPr>
        <w:t>以患者症状改善、量表检测、体质变化为核心依据，结合临床观察，避免主观判断，确保评价结果真实可靠。</w:t>
      </w:r>
    </w:p>
    <w:p w14:paraId="171F3885">
      <w:pPr>
        <w:pStyle w:val="162"/>
        <w:keepNext w:val="0"/>
        <w:keepLines w:val="0"/>
        <w:pageBreakBefore w:val="0"/>
        <w:widowControl/>
        <w:numPr>
          <w:ilvl w:val="2"/>
          <w:numId w:val="0"/>
        </w:numPr>
        <w:kinsoku/>
        <w:wordWrap/>
        <w:overflowPunct/>
        <w:topLinePunct w:val="0"/>
        <w:autoSpaceDE/>
        <w:autoSpaceDN/>
        <w:bidi w:val="0"/>
        <w:adjustRightInd/>
        <w:snapToGrid/>
        <w:spacing w:before="157" w:beforeLines="50" w:after="157" w:afterLines="50"/>
        <w:ind w:leftChars="0"/>
        <w:textAlignment w:val="auto"/>
        <w:rPr>
          <w:rFonts w:hint="eastAsia" w:ascii="黑体" w:hAnsi="Times New Roman" w:eastAsia="黑体" w:cs="Times New Roman"/>
          <w:sz w:val="21"/>
          <w:lang w:val="en-US" w:eastAsia="zh-CN" w:bidi="ar-SA"/>
        </w:rPr>
      </w:pPr>
      <w:r>
        <w:rPr>
          <w:rFonts w:hint="eastAsia" w:ascii="黑体" w:hAnsi="Times New Roman" w:eastAsia="黑体" w:cs="Times New Roman"/>
          <w:sz w:val="21"/>
          <w:lang w:val="en-US" w:eastAsia="zh-CN" w:bidi="ar-SA"/>
        </w:rPr>
        <w:t>7.1.2 辨证评价原则</w:t>
      </w:r>
    </w:p>
    <w:p w14:paraId="3CE89D55">
      <w:pPr>
        <w:pStyle w:val="56"/>
        <w:ind w:firstLine="420"/>
        <w:rPr>
          <w:rFonts w:hint="eastAsia"/>
          <w:lang w:val="en-US" w:eastAsia="zh-CN"/>
        </w:rPr>
      </w:pPr>
      <w:r>
        <w:rPr>
          <w:rFonts w:hint="eastAsia"/>
          <w:lang w:val="en-US" w:eastAsia="zh-CN"/>
        </w:rPr>
        <w:t>结合患者初始辨证分型，针对性评价对应证型核心症状的改善情况，兼顾整体体质及心理状态的调理效果，避免统一化评价标准。</w:t>
      </w:r>
    </w:p>
    <w:p w14:paraId="583E0150">
      <w:pPr>
        <w:pStyle w:val="162"/>
        <w:keepNext w:val="0"/>
        <w:keepLines w:val="0"/>
        <w:pageBreakBefore w:val="0"/>
        <w:widowControl/>
        <w:numPr>
          <w:ilvl w:val="2"/>
          <w:numId w:val="0"/>
        </w:numPr>
        <w:kinsoku/>
        <w:wordWrap/>
        <w:overflowPunct/>
        <w:topLinePunct w:val="0"/>
        <w:autoSpaceDE/>
        <w:autoSpaceDN/>
        <w:bidi w:val="0"/>
        <w:adjustRightInd/>
        <w:snapToGrid/>
        <w:spacing w:before="157" w:beforeLines="50" w:after="157" w:afterLines="50"/>
        <w:ind w:leftChars="0"/>
        <w:textAlignment w:val="auto"/>
        <w:rPr>
          <w:rFonts w:hint="eastAsia" w:ascii="黑体" w:hAnsi="Times New Roman" w:eastAsia="黑体" w:cs="Times New Roman"/>
          <w:sz w:val="21"/>
          <w:lang w:val="en-US" w:eastAsia="zh-CN" w:bidi="ar-SA"/>
        </w:rPr>
      </w:pPr>
      <w:r>
        <w:rPr>
          <w:rFonts w:hint="eastAsia" w:ascii="黑体" w:hAnsi="Times New Roman" w:eastAsia="黑体" w:cs="Times New Roman"/>
          <w:sz w:val="21"/>
          <w:lang w:val="en-US" w:eastAsia="zh-CN" w:bidi="ar-SA"/>
        </w:rPr>
        <w:t>7.1.3 动态连续原则</w:t>
      </w:r>
    </w:p>
    <w:p w14:paraId="4A0EA161">
      <w:pPr>
        <w:pStyle w:val="56"/>
        <w:ind w:firstLine="420"/>
        <w:rPr>
          <w:rFonts w:hint="eastAsia"/>
          <w:lang w:val="en-US" w:eastAsia="zh-CN"/>
        </w:rPr>
      </w:pPr>
      <w:r>
        <w:rPr>
          <w:rFonts w:hint="eastAsia"/>
          <w:lang w:val="en-US" w:eastAsia="zh-CN"/>
        </w:rPr>
        <w:t>贯穿干预全程，结合干预前、干预中、干预后评估结果，进行短期、长期动态评价，跟踪疗效持续性，为干预方案调整提供支撑。</w:t>
      </w:r>
    </w:p>
    <w:p w14:paraId="78810B32">
      <w:pPr>
        <w:pStyle w:val="162"/>
        <w:keepNext w:val="0"/>
        <w:keepLines w:val="0"/>
        <w:pageBreakBefore w:val="0"/>
        <w:widowControl/>
        <w:numPr>
          <w:ilvl w:val="2"/>
          <w:numId w:val="0"/>
        </w:numPr>
        <w:kinsoku/>
        <w:wordWrap/>
        <w:overflowPunct/>
        <w:topLinePunct w:val="0"/>
        <w:autoSpaceDE/>
        <w:autoSpaceDN/>
        <w:bidi w:val="0"/>
        <w:adjustRightInd/>
        <w:snapToGrid/>
        <w:spacing w:before="157" w:beforeLines="50" w:after="157" w:afterLines="50"/>
        <w:ind w:leftChars="0"/>
        <w:textAlignment w:val="auto"/>
        <w:rPr>
          <w:rFonts w:hint="eastAsia" w:ascii="黑体" w:hAnsi="Times New Roman" w:eastAsia="黑体" w:cs="Times New Roman"/>
          <w:sz w:val="21"/>
          <w:lang w:val="en-US" w:eastAsia="zh-CN" w:bidi="ar-SA"/>
        </w:rPr>
      </w:pPr>
      <w:r>
        <w:rPr>
          <w:rFonts w:hint="eastAsia" w:ascii="黑体" w:hAnsi="Times New Roman" w:eastAsia="黑体" w:cs="Times New Roman"/>
          <w:sz w:val="21"/>
          <w:lang w:val="en-US" w:eastAsia="zh-CN" w:bidi="ar-SA"/>
        </w:rPr>
        <w:t>7.1.4 可操作原则</w:t>
      </w:r>
    </w:p>
    <w:p w14:paraId="13EFB7C1">
      <w:pPr>
        <w:pStyle w:val="56"/>
        <w:ind w:firstLine="420"/>
        <w:rPr>
          <w:rFonts w:hint="eastAsia"/>
          <w:lang w:val="en-US" w:eastAsia="zh-CN"/>
        </w:rPr>
      </w:pPr>
      <w:r>
        <w:rPr>
          <w:rFonts w:hint="eastAsia"/>
          <w:lang w:val="en-US" w:eastAsia="zh-CN"/>
        </w:rPr>
        <w:t>评价指标、评价方法简洁易行，适配基层医疗卫生机构、健康管理机构的实际工作场景，便于操作人员规范执行、准确记录。</w:t>
      </w:r>
    </w:p>
    <w:p w14:paraId="6CA020EA">
      <w:pPr>
        <w:pStyle w:val="162"/>
        <w:keepNext w:val="0"/>
        <w:keepLines w:val="0"/>
        <w:pageBreakBefore w:val="0"/>
        <w:widowControl/>
        <w:numPr>
          <w:ilvl w:val="2"/>
          <w:numId w:val="0"/>
        </w:numPr>
        <w:kinsoku/>
        <w:wordWrap/>
        <w:overflowPunct/>
        <w:topLinePunct w:val="0"/>
        <w:autoSpaceDE/>
        <w:autoSpaceDN/>
        <w:bidi w:val="0"/>
        <w:adjustRightInd/>
        <w:snapToGrid/>
        <w:spacing w:before="157" w:beforeLines="50" w:after="157" w:afterLines="50"/>
        <w:ind w:leftChars="0"/>
        <w:textAlignment w:val="auto"/>
        <w:rPr>
          <w:rFonts w:hint="eastAsia" w:ascii="黑体" w:hAnsi="Times New Roman" w:eastAsia="黑体" w:cs="Times New Roman"/>
          <w:sz w:val="21"/>
          <w:lang w:val="en-US" w:eastAsia="zh-CN" w:bidi="ar-SA"/>
        </w:rPr>
      </w:pPr>
      <w:bookmarkStart w:id="132" w:name="_Toc31938"/>
      <w:r>
        <w:rPr>
          <w:rFonts w:hint="eastAsia" w:ascii="黑体" w:hAnsi="Times New Roman" w:eastAsia="黑体" w:cs="Times New Roman"/>
          <w:sz w:val="21"/>
          <w:lang w:val="en-US" w:eastAsia="zh-CN" w:bidi="ar-SA"/>
        </w:rPr>
        <w:t>7.2 评价时间节点</w:t>
      </w:r>
      <w:bookmarkEnd w:id="132"/>
    </w:p>
    <w:p w14:paraId="2DC404AA">
      <w:pPr>
        <w:pStyle w:val="162"/>
        <w:keepNext w:val="0"/>
        <w:keepLines w:val="0"/>
        <w:pageBreakBefore w:val="0"/>
        <w:widowControl/>
        <w:numPr>
          <w:ilvl w:val="2"/>
          <w:numId w:val="0"/>
        </w:numPr>
        <w:kinsoku/>
        <w:wordWrap/>
        <w:overflowPunct/>
        <w:topLinePunct w:val="0"/>
        <w:autoSpaceDE/>
        <w:autoSpaceDN/>
        <w:bidi w:val="0"/>
        <w:adjustRightInd/>
        <w:snapToGrid/>
        <w:spacing w:before="157" w:beforeLines="50" w:after="157" w:afterLines="50"/>
        <w:ind w:leftChars="0"/>
        <w:textAlignment w:val="auto"/>
        <w:rPr>
          <w:rFonts w:hint="eastAsia" w:ascii="黑体" w:hAnsi="Times New Roman" w:eastAsia="黑体" w:cs="Times New Roman"/>
          <w:sz w:val="21"/>
          <w:lang w:val="en-US" w:eastAsia="zh-CN" w:bidi="ar-SA"/>
        </w:rPr>
      </w:pPr>
      <w:r>
        <w:rPr>
          <w:rFonts w:hint="eastAsia" w:ascii="黑体" w:hAnsi="Times New Roman" w:eastAsia="黑体" w:cs="Times New Roman"/>
          <w:sz w:val="21"/>
          <w:lang w:val="en-US" w:eastAsia="zh-CN" w:bidi="ar-SA"/>
        </w:rPr>
        <w:t>7.2.1 基线评价（干预前）</w:t>
      </w:r>
    </w:p>
    <w:p w14:paraId="079DB2C8">
      <w:pPr>
        <w:pStyle w:val="56"/>
        <w:ind w:firstLine="420"/>
        <w:rPr>
          <w:rFonts w:hint="eastAsia"/>
          <w:lang w:val="en-US" w:eastAsia="zh-CN"/>
        </w:rPr>
      </w:pPr>
      <w:r>
        <w:rPr>
          <w:rFonts w:hint="eastAsia"/>
          <w:lang w:val="en-US" w:eastAsia="zh-CN"/>
        </w:rPr>
        <w:t>与干预前评估同步进行，完成患者躯体症状、心理症状、体质分型、量表检测（FS-14、SAS、SDS）等基础数据采集，建立疗效评价基线，作为后续评价的对比依据。</w:t>
      </w:r>
    </w:p>
    <w:p w14:paraId="7FB7CA13">
      <w:pPr>
        <w:pStyle w:val="162"/>
        <w:keepNext w:val="0"/>
        <w:keepLines w:val="0"/>
        <w:pageBreakBefore w:val="0"/>
        <w:widowControl/>
        <w:numPr>
          <w:ilvl w:val="2"/>
          <w:numId w:val="0"/>
        </w:numPr>
        <w:kinsoku/>
        <w:wordWrap/>
        <w:overflowPunct/>
        <w:topLinePunct w:val="0"/>
        <w:autoSpaceDE/>
        <w:autoSpaceDN/>
        <w:bidi w:val="0"/>
        <w:adjustRightInd/>
        <w:snapToGrid/>
        <w:spacing w:before="157" w:beforeLines="50" w:after="157" w:afterLines="50"/>
        <w:ind w:leftChars="0"/>
        <w:textAlignment w:val="auto"/>
        <w:rPr>
          <w:rFonts w:hint="eastAsia" w:ascii="黑体" w:hAnsi="Times New Roman" w:eastAsia="黑体" w:cs="Times New Roman"/>
          <w:sz w:val="21"/>
          <w:lang w:val="en-US" w:eastAsia="zh-CN" w:bidi="ar-SA"/>
        </w:rPr>
      </w:pPr>
      <w:r>
        <w:rPr>
          <w:rFonts w:hint="eastAsia" w:ascii="黑体" w:hAnsi="Times New Roman" w:eastAsia="黑体" w:cs="Times New Roman"/>
          <w:sz w:val="21"/>
          <w:lang w:val="en-US" w:eastAsia="zh-CN" w:bidi="ar-SA"/>
        </w:rPr>
        <w:t>7.2.2 短期评价（每疗程结束后）</w:t>
      </w:r>
    </w:p>
    <w:p w14:paraId="56E63419">
      <w:pPr>
        <w:pStyle w:val="56"/>
        <w:ind w:firstLine="420"/>
        <w:rPr>
          <w:rFonts w:hint="eastAsia"/>
          <w:lang w:val="en-US" w:eastAsia="zh-CN"/>
        </w:rPr>
      </w:pPr>
      <w:r>
        <w:rPr>
          <w:rFonts w:hint="eastAsia"/>
          <w:lang w:val="en-US" w:eastAsia="zh-CN"/>
        </w:rPr>
        <w:t>每个疗程（4周）结束后3个工作日内完成，重点评价当期干预效果，判断症状改善情况，及时调整下一疗程干预方案（如调整操作频次、穴位或技术组合）。</w:t>
      </w:r>
    </w:p>
    <w:p w14:paraId="4485B146">
      <w:pPr>
        <w:pStyle w:val="162"/>
        <w:keepNext w:val="0"/>
        <w:keepLines w:val="0"/>
        <w:pageBreakBefore w:val="0"/>
        <w:widowControl/>
        <w:numPr>
          <w:ilvl w:val="2"/>
          <w:numId w:val="0"/>
        </w:numPr>
        <w:kinsoku/>
        <w:wordWrap/>
        <w:overflowPunct/>
        <w:topLinePunct w:val="0"/>
        <w:autoSpaceDE/>
        <w:autoSpaceDN/>
        <w:bidi w:val="0"/>
        <w:adjustRightInd/>
        <w:snapToGrid/>
        <w:spacing w:before="157" w:beforeLines="50" w:after="157" w:afterLines="50"/>
        <w:ind w:leftChars="0"/>
        <w:textAlignment w:val="auto"/>
        <w:rPr>
          <w:rFonts w:hint="eastAsia" w:ascii="黑体" w:hAnsi="Times New Roman" w:eastAsia="黑体" w:cs="Times New Roman"/>
          <w:sz w:val="21"/>
          <w:lang w:val="en-US" w:eastAsia="zh-CN" w:bidi="ar-SA"/>
        </w:rPr>
      </w:pPr>
      <w:r>
        <w:rPr>
          <w:rFonts w:hint="eastAsia" w:ascii="黑体" w:hAnsi="Times New Roman" w:eastAsia="黑体" w:cs="Times New Roman"/>
          <w:sz w:val="21"/>
          <w:lang w:val="en-US" w:eastAsia="zh-CN" w:bidi="ar-SA"/>
        </w:rPr>
        <w:t>7.2.3 长期评价（全程干预结束后）</w:t>
      </w:r>
    </w:p>
    <w:p w14:paraId="57CB8CAA">
      <w:pPr>
        <w:pStyle w:val="56"/>
        <w:ind w:firstLine="420"/>
        <w:rPr>
          <w:rFonts w:hint="eastAsia"/>
          <w:lang w:val="en-US" w:eastAsia="zh-CN"/>
        </w:rPr>
      </w:pPr>
      <w:r>
        <w:rPr>
          <w:rFonts w:hint="eastAsia"/>
          <w:lang w:val="en-US" w:eastAsia="zh-CN"/>
        </w:rPr>
        <w:t>干预3个疗程（12周）后1周内完成全面评价，综合评估症状改善、量表得分、体质变化，判断疗效持续性，形成完整的疗效评价报告。</w:t>
      </w:r>
    </w:p>
    <w:p w14:paraId="2973BACE">
      <w:pPr>
        <w:pStyle w:val="162"/>
        <w:keepNext w:val="0"/>
        <w:keepLines w:val="0"/>
        <w:pageBreakBefore w:val="0"/>
        <w:widowControl/>
        <w:numPr>
          <w:ilvl w:val="2"/>
          <w:numId w:val="0"/>
        </w:numPr>
        <w:kinsoku/>
        <w:wordWrap/>
        <w:overflowPunct/>
        <w:topLinePunct w:val="0"/>
        <w:autoSpaceDE/>
        <w:autoSpaceDN/>
        <w:bidi w:val="0"/>
        <w:adjustRightInd/>
        <w:snapToGrid/>
        <w:spacing w:before="157" w:beforeLines="50" w:after="157" w:afterLines="50"/>
        <w:ind w:leftChars="0"/>
        <w:textAlignment w:val="auto"/>
        <w:rPr>
          <w:rFonts w:hint="eastAsia" w:ascii="黑体" w:hAnsi="Times New Roman" w:eastAsia="黑体" w:cs="Times New Roman"/>
          <w:sz w:val="21"/>
          <w:lang w:val="en-US" w:eastAsia="zh-CN" w:bidi="ar-SA"/>
        </w:rPr>
      </w:pPr>
      <w:r>
        <w:rPr>
          <w:rFonts w:hint="eastAsia" w:ascii="黑体" w:hAnsi="Times New Roman" w:eastAsia="黑体" w:cs="Times New Roman"/>
          <w:sz w:val="21"/>
          <w:lang w:val="en-US" w:eastAsia="zh-CN" w:bidi="ar-SA"/>
        </w:rPr>
        <w:t>7.2.4 随访评价（干预结束后）</w:t>
      </w:r>
    </w:p>
    <w:p w14:paraId="5033D3A0">
      <w:pPr>
        <w:pStyle w:val="56"/>
        <w:ind w:firstLine="420"/>
        <w:rPr>
          <w:rFonts w:hint="eastAsia"/>
          <w:lang w:val="en-US" w:eastAsia="zh-CN"/>
        </w:rPr>
      </w:pPr>
      <w:r>
        <w:rPr>
          <w:rFonts w:hint="eastAsia"/>
          <w:lang w:val="en-US" w:eastAsia="zh-CN"/>
        </w:rPr>
        <w:t>干预结束后1个月、3个月各进行1次随访评价，跟踪患者症状复发情况、体质维持状态及生活方式依从性，补充评价疗效的远期稳定性。</w:t>
      </w:r>
    </w:p>
    <w:p w14:paraId="739C2338">
      <w:pPr>
        <w:pStyle w:val="162"/>
        <w:keepNext w:val="0"/>
        <w:keepLines w:val="0"/>
        <w:pageBreakBefore w:val="0"/>
        <w:widowControl/>
        <w:numPr>
          <w:ilvl w:val="2"/>
          <w:numId w:val="0"/>
        </w:numPr>
        <w:kinsoku/>
        <w:wordWrap/>
        <w:overflowPunct/>
        <w:topLinePunct w:val="0"/>
        <w:autoSpaceDE/>
        <w:autoSpaceDN/>
        <w:bidi w:val="0"/>
        <w:adjustRightInd/>
        <w:snapToGrid/>
        <w:spacing w:before="157" w:beforeLines="50" w:after="157" w:afterLines="50"/>
        <w:ind w:leftChars="0"/>
        <w:textAlignment w:val="auto"/>
        <w:rPr>
          <w:rFonts w:hint="eastAsia" w:ascii="黑体" w:hAnsi="Times New Roman" w:eastAsia="黑体" w:cs="Times New Roman"/>
          <w:sz w:val="21"/>
          <w:lang w:val="en-US" w:eastAsia="zh-CN" w:bidi="ar-SA"/>
        </w:rPr>
      </w:pPr>
      <w:bookmarkStart w:id="133" w:name="_Toc16641"/>
      <w:r>
        <w:rPr>
          <w:rFonts w:hint="eastAsia" w:ascii="黑体" w:hAnsi="Times New Roman" w:eastAsia="黑体" w:cs="Times New Roman"/>
          <w:sz w:val="21"/>
          <w:lang w:val="en-US" w:eastAsia="zh-CN" w:bidi="ar-SA"/>
        </w:rPr>
        <w:t>7.3 评价指标</w:t>
      </w:r>
      <w:bookmarkEnd w:id="133"/>
    </w:p>
    <w:p w14:paraId="47D708D9">
      <w:pPr>
        <w:pStyle w:val="56"/>
        <w:ind w:firstLine="420"/>
        <w:rPr>
          <w:rFonts w:hint="eastAsia"/>
          <w:lang w:val="en-US" w:eastAsia="zh-CN"/>
        </w:rPr>
      </w:pPr>
      <w:r>
        <w:rPr>
          <w:rFonts w:hint="eastAsia"/>
          <w:lang w:val="en-US" w:eastAsia="zh-CN"/>
        </w:rPr>
        <w:t>结合中年亚健康核心表现，分为躯体症状、心理症状、量表检测3类评价指标，兼顾针对性与全面性，所有指标均需与基线数据对比分析。</w:t>
      </w:r>
    </w:p>
    <w:p w14:paraId="24329CCB">
      <w:pPr>
        <w:pStyle w:val="162"/>
        <w:keepNext w:val="0"/>
        <w:keepLines w:val="0"/>
        <w:pageBreakBefore w:val="0"/>
        <w:widowControl/>
        <w:numPr>
          <w:ilvl w:val="2"/>
          <w:numId w:val="0"/>
        </w:numPr>
        <w:kinsoku/>
        <w:wordWrap/>
        <w:overflowPunct/>
        <w:topLinePunct w:val="0"/>
        <w:autoSpaceDE/>
        <w:autoSpaceDN/>
        <w:bidi w:val="0"/>
        <w:adjustRightInd/>
        <w:snapToGrid/>
        <w:spacing w:before="157" w:beforeLines="50" w:after="157" w:afterLines="50"/>
        <w:ind w:leftChars="0"/>
        <w:textAlignment w:val="auto"/>
        <w:rPr>
          <w:rFonts w:hint="eastAsia" w:ascii="黑体" w:hAnsi="Times New Roman" w:eastAsia="黑体" w:cs="Times New Roman"/>
          <w:sz w:val="21"/>
          <w:lang w:val="en-US" w:eastAsia="zh-CN" w:bidi="ar-SA"/>
        </w:rPr>
      </w:pPr>
      <w:r>
        <w:rPr>
          <w:rFonts w:hint="eastAsia" w:ascii="黑体" w:hAnsi="Times New Roman" w:eastAsia="黑体" w:cs="Times New Roman"/>
          <w:sz w:val="21"/>
          <w:lang w:val="en-US" w:eastAsia="zh-CN" w:bidi="ar-SA"/>
        </w:rPr>
        <w:t>7.3.1.1 症状改善指标</w:t>
      </w:r>
    </w:p>
    <w:p w14:paraId="55C208EF">
      <w:pPr>
        <w:pStyle w:val="56"/>
        <w:ind w:firstLine="420"/>
        <w:rPr>
          <w:rFonts w:hint="eastAsia"/>
          <w:lang w:val="en-US" w:eastAsia="zh-CN"/>
        </w:rPr>
      </w:pPr>
      <w:r>
        <w:rPr>
          <w:rFonts w:hint="eastAsia"/>
          <w:lang w:val="en-US" w:eastAsia="zh-CN"/>
        </w:rPr>
        <w:t>通过统一制定的《中年亚健康干预疗效评价问卷》，量化评估核心躯体症状与心理症状改善情况，明确各症状分级标准及改善判定依据。</w:t>
      </w:r>
    </w:p>
    <w:p w14:paraId="0D44F5C7">
      <w:pPr>
        <w:pStyle w:val="162"/>
        <w:keepNext w:val="0"/>
        <w:keepLines w:val="0"/>
        <w:pageBreakBefore w:val="0"/>
        <w:widowControl/>
        <w:numPr>
          <w:ilvl w:val="2"/>
          <w:numId w:val="0"/>
        </w:numPr>
        <w:kinsoku/>
        <w:wordWrap/>
        <w:overflowPunct/>
        <w:topLinePunct w:val="0"/>
        <w:autoSpaceDE/>
        <w:autoSpaceDN/>
        <w:bidi w:val="0"/>
        <w:adjustRightInd/>
        <w:snapToGrid/>
        <w:spacing w:before="157" w:beforeLines="50" w:after="157" w:afterLines="50"/>
        <w:ind w:leftChars="0"/>
        <w:textAlignment w:val="auto"/>
        <w:rPr>
          <w:rFonts w:hint="eastAsia" w:ascii="黑体" w:hAnsi="Times New Roman" w:eastAsia="黑体" w:cs="Times New Roman"/>
          <w:sz w:val="21"/>
          <w:lang w:val="en-US" w:eastAsia="zh-CN" w:bidi="ar-SA"/>
        </w:rPr>
      </w:pPr>
      <w:r>
        <w:rPr>
          <w:rFonts w:hint="eastAsia" w:ascii="黑体" w:hAnsi="Times New Roman" w:eastAsia="黑体" w:cs="Times New Roman"/>
          <w:sz w:val="21"/>
          <w:lang w:val="en-US" w:eastAsia="zh-CN" w:bidi="ar-SA"/>
        </w:rPr>
        <w:t>7.3.1.1.1 躯体症状具体指标</w:t>
      </w:r>
    </w:p>
    <w:p w14:paraId="63AFF06E">
      <w:pPr>
        <w:pStyle w:val="56"/>
        <w:ind w:firstLine="420"/>
        <w:rPr>
          <w:rFonts w:hint="eastAsia"/>
          <w:lang w:val="en-US" w:eastAsia="zh-CN"/>
        </w:rPr>
      </w:pPr>
      <w:r>
        <w:rPr>
          <w:rFonts w:hint="eastAsia"/>
          <w:lang w:val="en-US" w:eastAsia="zh-CN"/>
        </w:rPr>
        <w:t>针对中年亚健康常见躯体不适，明确各症状评价标准，分为“无、轻度、中度、重度”四级，干预后等级降低≥2级为明显改善，降低1级为有所改善，无变化或升高为无改善/加重。具体包括：</w:t>
      </w:r>
    </w:p>
    <w:p w14:paraId="252812BC">
      <w:pPr>
        <w:pStyle w:val="162"/>
        <w:keepNext w:val="0"/>
        <w:keepLines w:val="0"/>
        <w:pageBreakBefore w:val="0"/>
        <w:widowControl/>
        <w:numPr>
          <w:ilvl w:val="2"/>
          <w:numId w:val="0"/>
        </w:numPr>
        <w:kinsoku/>
        <w:wordWrap/>
        <w:overflowPunct/>
        <w:topLinePunct w:val="0"/>
        <w:autoSpaceDE/>
        <w:autoSpaceDN/>
        <w:bidi w:val="0"/>
        <w:adjustRightInd/>
        <w:snapToGrid/>
        <w:spacing w:before="157" w:beforeLines="50" w:after="157" w:afterLines="50"/>
        <w:ind w:leftChars="0"/>
        <w:textAlignment w:val="auto"/>
        <w:rPr>
          <w:rFonts w:hint="eastAsia" w:ascii="黑体" w:hAnsi="Times New Roman" w:eastAsia="黑体" w:cs="Times New Roman"/>
          <w:sz w:val="21"/>
          <w:lang w:val="en-US" w:eastAsia="zh-CN" w:bidi="ar-SA"/>
        </w:rPr>
      </w:pPr>
      <w:r>
        <w:rPr>
          <w:rFonts w:hint="eastAsia" w:ascii="黑体" w:hAnsi="Times New Roman" w:eastAsia="黑体" w:cs="Times New Roman"/>
          <w:sz w:val="21"/>
          <w:lang w:val="en-US" w:eastAsia="zh-CN" w:bidi="ar-SA"/>
        </w:rPr>
        <w:t>7.3.1.1.1.1疲劳乏力</w:t>
      </w:r>
    </w:p>
    <w:p w14:paraId="68ACFBD0">
      <w:pPr>
        <w:pStyle w:val="56"/>
        <w:ind w:firstLine="420"/>
        <w:rPr>
          <w:rFonts w:hint="eastAsia"/>
          <w:lang w:val="en-US" w:eastAsia="zh-CN"/>
        </w:rPr>
      </w:pPr>
      <w:r>
        <w:rPr>
          <w:rFonts w:hint="eastAsia"/>
          <w:lang w:val="en-US" w:eastAsia="zh-CN"/>
        </w:rPr>
        <w:t>轻度（偶尔出现，不影响日常活动）、中度（频繁出现，轻度影响日常工作）、重度（持续存在，严重影响工作生活，需休息）；</w:t>
      </w:r>
    </w:p>
    <w:p w14:paraId="626DFF91">
      <w:pPr>
        <w:pStyle w:val="162"/>
        <w:keepNext w:val="0"/>
        <w:keepLines w:val="0"/>
        <w:pageBreakBefore w:val="0"/>
        <w:widowControl/>
        <w:numPr>
          <w:ilvl w:val="2"/>
          <w:numId w:val="0"/>
        </w:numPr>
        <w:kinsoku/>
        <w:wordWrap/>
        <w:overflowPunct/>
        <w:topLinePunct w:val="0"/>
        <w:autoSpaceDE/>
        <w:autoSpaceDN/>
        <w:bidi w:val="0"/>
        <w:adjustRightInd/>
        <w:snapToGrid/>
        <w:spacing w:before="157" w:beforeLines="50" w:after="157" w:afterLines="50"/>
        <w:ind w:leftChars="0"/>
        <w:textAlignment w:val="auto"/>
        <w:rPr>
          <w:rFonts w:hint="eastAsia" w:ascii="黑体" w:hAnsi="Times New Roman" w:eastAsia="黑体" w:cs="Times New Roman"/>
          <w:sz w:val="21"/>
          <w:lang w:val="en-US" w:eastAsia="zh-CN" w:bidi="ar-SA"/>
        </w:rPr>
      </w:pPr>
      <w:r>
        <w:rPr>
          <w:rFonts w:hint="eastAsia" w:ascii="黑体" w:hAnsi="Times New Roman" w:eastAsia="黑体" w:cs="Times New Roman"/>
          <w:sz w:val="21"/>
          <w:lang w:val="en-US" w:eastAsia="zh-CN" w:bidi="ar-SA"/>
        </w:rPr>
        <w:t>7.3.1.1.1.2睡眠障碍</w:t>
      </w:r>
    </w:p>
    <w:p w14:paraId="4A97CB90">
      <w:pPr>
        <w:pStyle w:val="56"/>
        <w:ind w:firstLine="420"/>
        <w:rPr>
          <w:rFonts w:hint="eastAsia"/>
          <w:lang w:val="en-US" w:eastAsia="zh-CN"/>
        </w:rPr>
      </w:pPr>
      <w:r>
        <w:rPr>
          <w:rFonts w:hint="eastAsia"/>
          <w:lang w:val="en-US" w:eastAsia="zh-CN"/>
        </w:rPr>
        <w:t>轻度（入睡困难≤30分钟，偶有多梦易醒，不影响日间精神）、中度（入睡困难30-60分钟，夜间易醒2-3次，日间轻微困倦）、重度（入睡困难＞60分钟，夜间易醒≥4次，日间严重困倦、注意力不集中）；</w:t>
      </w:r>
    </w:p>
    <w:p w14:paraId="470306F3">
      <w:pPr>
        <w:pStyle w:val="162"/>
        <w:keepNext w:val="0"/>
        <w:keepLines w:val="0"/>
        <w:pageBreakBefore w:val="0"/>
        <w:widowControl/>
        <w:numPr>
          <w:ilvl w:val="2"/>
          <w:numId w:val="0"/>
        </w:numPr>
        <w:kinsoku/>
        <w:wordWrap/>
        <w:overflowPunct/>
        <w:topLinePunct w:val="0"/>
        <w:autoSpaceDE/>
        <w:autoSpaceDN/>
        <w:bidi w:val="0"/>
        <w:adjustRightInd/>
        <w:snapToGrid/>
        <w:spacing w:before="157" w:beforeLines="50" w:after="157" w:afterLines="50"/>
        <w:ind w:leftChars="0"/>
        <w:textAlignment w:val="auto"/>
        <w:rPr>
          <w:rFonts w:hint="eastAsia" w:ascii="黑体" w:hAnsi="Times New Roman" w:eastAsia="黑体" w:cs="Times New Roman"/>
          <w:sz w:val="21"/>
          <w:lang w:val="en-US" w:eastAsia="zh-CN" w:bidi="ar-SA"/>
        </w:rPr>
      </w:pPr>
      <w:r>
        <w:rPr>
          <w:rFonts w:hint="eastAsia" w:ascii="黑体" w:hAnsi="Times New Roman" w:eastAsia="黑体" w:cs="Times New Roman"/>
          <w:sz w:val="21"/>
          <w:lang w:val="en-US" w:eastAsia="zh-CN" w:bidi="ar-SA"/>
        </w:rPr>
        <w:t>7.3.1.1.1.3肌肉关节酸痛</w:t>
      </w:r>
    </w:p>
    <w:p w14:paraId="7F9DB8D7">
      <w:pPr>
        <w:pStyle w:val="56"/>
        <w:ind w:firstLine="420"/>
        <w:rPr>
          <w:rFonts w:hint="eastAsia"/>
          <w:lang w:val="en-US" w:eastAsia="zh-CN"/>
        </w:rPr>
      </w:pPr>
      <w:r>
        <w:rPr>
          <w:rFonts w:hint="eastAsia"/>
          <w:lang w:val="en-US" w:eastAsia="zh-CN"/>
        </w:rPr>
        <w:t>轻度（偶尔出现，休息后可缓解）、中度（频繁出现，活动时加重，休息后缓解不明显）、重度（持续疼痛，影响肢体活动）；</w:t>
      </w:r>
    </w:p>
    <w:p w14:paraId="4A2D6D92">
      <w:pPr>
        <w:pStyle w:val="162"/>
        <w:keepNext w:val="0"/>
        <w:keepLines w:val="0"/>
        <w:pageBreakBefore w:val="0"/>
        <w:widowControl/>
        <w:numPr>
          <w:ilvl w:val="2"/>
          <w:numId w:val="0"/>
        </w:numPr>
        <w:kinsoku/>
        <w:wordWrap/>
        <w:overflowPunct/>
        <w:topLinePunct w:val="0"/>
        <w:autoSpaceDE/>
        <w:autoSpaceDN/>
        <w:bidi w:val="0"/>
        <w:adjustRightInd/>
        <w:snapToGrid/>
        <w:spacing w:before="157" w:beforeLines="50" w:after="157" w:afterLines="50"/>
        <w:ind w:leftChars="0"/>
        <w:textAlignment w:val="auto"/>
        <w:rPr>
          <w:rFonts w:hint="eastAsia" w:ascii="黑体" w:hAnsi="Times New Roman" w:eastAsia="黑体" w:cs="Times New Roman"/>
          <w:sz w:val="21"/>
          <w:lang w:val="en-US" w:eastAsia="zh-CN" w:bidi="ar-SA"/>
        </w:rPr>
      </w:pPr>
      <w:r>
        <w:rPr>
          <w:rFonts w:hint="eastAsia" w:ascii="黑体" w:hAnsi="Times New Roman" w:eastAsia="黑体" w:cs="Times New Roman"/>
          <w:sz w:val="21"/>
          <w:lang w:val="en-US" w:eastAsia="zh-CN" w:bidi="ar-SA"/>
        </w:rPr>
        <w:t>7.3.1.1.1.4头晕头痛</w:t>
      </w:r>
    </w:p>
    <w:p w14:paraId="117225EC">
      <w:pPr>
        <w:pStyle w:val="56"/>
        <w:ind w:firstLine="420"/>
        <w:rPr>
          <w:rFonts w:hint="eastAsia"/>
          <w:lang w:val="en-US" w:eastAsia="zh-CN"/>
        </w:rPr>
      </w:pPr>
      <w:r>
        <w:rPr>
          <w:rFonts w:hint="eastAsia"/>
          <w:lang w:val="en-US" w:eastAsia="zh-CN"/>
        </w:rPr>
        <w:t>轻度（每周出现1-2次，持续时间＜30分钟）、中度（每周出现3-4次，持续30分钟-1小时）、重度（每日出现，持续＞1小时，影响正常生活）；</w:t>
      </w:r>
    </w:p>
    <w:p w14:paraId="79D16BD7">
      <w:pPr>
        <w:pStyle w:val="162"/>
        <w:keepNext w:val="0"/>
        <w:keepLines w:val="0"/>
        <w:pageBreakBefore w:val="0"/>
        <w:widowControl/>
        <w:numPr>
          <w:ilvl w:val="2"/>
          <w:numId w:val="0"/>
        </w:numPr>
        <w:kinsoku/>
        <w:wordWrap/>
        <w:overflowPunct/>
        <w:topLinePunct w:val="0"/>
        <w:autoSpaceDE/>
        <w:autoSpaceDN/>
        <w:bidi w:val="0"/>
        <w:adjustRightInd/>
        <w:snapToGrid/>
        <w:spacing w:before="157" w:beforeLines="50" w:after="157" w:afterLines="50"/>
        <w:ind w:leftChars="0"/>
        <w:textAlignment w:val="auto"/>
        <w:rPr>
          <w:rFonts w:hint="eastAsia" w:ascii="黑体" w:hAnsi="Times New Roman" w:eastAsia="黑体" w:cs="Times New Roman"/>
          <w:sz w:val="21"/>
          <w:lang w:val="en-US" w:eastAsia="zh-CN" w:bidi="ar-SA"/>
        </w:rPr>
      </w:pPr>
      <w:r>
        <w:rPr>
          <w:rFonts w:hint="eastAsia" w:ascii="黑体" w:hAnsi="Times New Roman" w:eastAsia="黑体" w:cs="Times New Roman"/>
          <w:sz w:val="21"/>
          <w:lang w:val="en-US" w:eastAsia="zh-CN" w:bidi="ar-SA"/>
        </w:rPr>
        <w:t>7.3.1.1.1.5消化不适（腹胀、纳差、便溏等）</w:t>
      </w:r>
    </w:p>
    <w:p w14:paraId="14D7AD5E">
      <w:pPr>
        <w:pStyle w:val="56"/>
        <w:ind w:firstLine="420"/>
        <w:rPr>
          <w:rFonts w:hint="eastAsia"/>
          <w:lang w:val="en-US" w:eastAsia="zh-CN"/>
        </w:rPr>
      </w:pPr>
      <w:r>
        <w:rPr>
          <w:rFonts w:hint="eastAsia"/>
          <w:lang w:val="en-US" w:eastAsia="zh-CN"/>
        </w:rPr>
        <w:t>轻度（偶尔出现，不影响进食）、中度（每日出现1次，进食后加重，轻微影响食欲）、重度（每日频繁出现，严重影响进食及消化）；</w:t>
      </w:r>
    </w:p>
    <w:p w14:paraId="793D460F">
      <w:pPr>
        <w:pStyle w:val="162"/>
        <w:keepNext w:val="0"/>
        <w:keepLines w:val="0"/>
        <w:pageBreakBefore w:val="0"/>
        <w:widowControl/>
        <w:numPr>
          <w:ilvl w:val="2"/>
          <w:numId w:val="0"/>
        </w:numPr>
        <w:kinsoku/>
        <w:wordWrap/>
        <w:overflowPunct/>
        <w:topLinePunct w:val="0"/>
        <w:autoSpaceDE/>
        <w:autoSpaceDN/>
        <w:bidi w:val="0"/>
        <w:adjustRightInd/>
        <w:snapToGrid/>
        <w:spacing w:before="157" w:beforeLines="50" w:after="157" w:afterLines="50"/>
        <w:ind w:leftChars="0"/>
        <w:textAlignment w:val="auto"/>
        <w:rPr>
          <w:rFonts w:hint="eastAsia" w:ascii="黑体" w:hAnsi="Times New Roman" w:eastAsia="黑体" w:cs="Times New Roman"/>
          <w:sz w:val="21"/>
          <w:lang w:val="en-US" w:eastAsia="zh-CN" w:bidi="ar-SA"/>
        </w:rPr>
      </w:pPr>
      <w:r>
        <w:rPr>
          <w:rFonts w:hint="eastAsia" w:ascii="黑体" w:hAnsi="Times New Roman" w:eastAsia="黑体" w:cs="Times New Roman"/>
          <w:sz w:val="21"/>
          <w:lang w:val="en-US" w:eastAsia="zh-CN" w:bidi="ar-SA"/>
        </w:rPr>
        <w:t>7.3.1.1.1.6其他证型相关症状</w:t>
      </w:r>
    </w:p>
    <w:p w14:paraId="18F54A05">
      <w:pPr>
        <w:pStyle w:val="56"/>
        <w:ind w:firstLine="420"/>
        <w:rPr>
          <w:rFonts w:hint="eastAsia"/>
          <w:lang w:val="en-US" w:eastAsia="zh-CN"/>
        </w:rPr>
      </w:pPr>
      <w:r>
        <w:rPr>
          <w:rFonts w:hint="eastAsia"/>
          <w:lang w:val="en-US" w:eastAsia="zh-CN"/>
        </w:rPr>
        <w:t>肝郁气滞型加评胸闷胁胀、烦躁易怒；肝肾阴虚型加评潮热盗汗、视物模糊；脾肾阳虚型加评畏寒怕冷、夜尿增多；痰湿内阻型加评身体困重、痰多黏稠；气虚血瘀型加评肢体麻木、面色晦暗，均按上述轻度、中度、重度分级评价。</w:t>
      </w:r>
    </w:p>
    <w:p w14:paraId="4CF0650B">
      <w:pPr>
        <w:pStyle w:val="162"/>
        <w:keepNext w:val="0"/>
        <w:keepLines w:val="0"/>
        <w:pageBreakBefore w:val="0"/>
        <w:widowControl/>
        <w:numPr>
          <w:ilvl w:val="2"/>
          <w:numId w:val="0"/>
        </w:numPr>
        <w:kinsoku/>
        <w:wordWrap/>
        <w:overflowPunct/>
        <w:topLinePunct w:val="0"/>
        <w:autoSpaceDE/>
        <w:autoSpaceDN/>
        <w:bidi w:val="0"/>
        <w:adjustRightInd/>
        <w:snapToGrid/>
        <w:spacing w:before="157" w:beforeLines="50" w:after="157" w:afterLines="50"/>
        <w:ind w:leftChars="0"/>
        <w:textAlignment w:val="auto"/>
        <w:rPr>
          <w:rFonts w:hint="eastAsia" w:ascii="黑体" w:hAnsi="Times New Roman" w:eastAsia="黑体" w:cs="Times New Roman"/>
          <w:sz w:val="21"/>
          <w:lang w:val="en-US" w:eastAsia="zh-CN" w:bidi="ar-SA"/>
        </w:rPr>
      </w:pPr>
      <w:r>
        <w:rPr>
          <w:rFonts w:hint="eastAsia" w:ascii="黑体" w:hAnsi="Times New Roman" w:eastAsia="黑体" w:cs="Times New Roman"/>
          <w:sz w:val="21"/>
          <w:lang w:val="en-US" w:eastAsia="zh-CN" w:bidi="ar-SA"/>
        </w:rPr>
        <w:t>7.3.1.1.2 心理症状具体指标</w:t>
      </w:r>
    </w:p>
    <w:p w14:paraId="625D7901">
      <w:pPr>
        <w:pStyle w:val="56"/>
        <w:ind w:firstLine="420"/>
        <w:rPr>
          <w:rFonts w:hint="eastAsia"/>
          <w:lang w:val="en-US" w:eastAsia="zh-CN"/>
        </w:rPr>
      </w:pPr>
      <w:r>
        <w:rPr>
          <w:rFonts w:hint="eastAsia"/>
          <w:lang w:val="en-US" w:eastAsia="zh-CN"/>
        </w:rPr>
        <w:t>针对焦虑、抑郁等心理不适，同样分为四级，干预后等级降低≥2级为明显改善，降低1级为有所改善，无变化或升高为无改善/加重。具体包括：</w:t>
      </w:r>
    </w:p>
    <w:p w14:paraId="0222DE35">
      <w:pPr>
        <w:pStyle w:val="162"/>
        <w:keepNext w:val="0"/>
        <w:keepLines w:val="0"/>
        <w:pageBreakBefore w:val="0"/>
        <w:widowControl/>
        <w:numPr>
          <w:ilvl w:val="2"/>
          <w:numId w:val="0"/>
        </w:numPr>
        <w:kinsoku/>
        <w:wordWrap/>
        <w:overflowPunct/>
        <w:topLinePunct w:val="0"/>
        <w:autoSpaceDE/>
        <w:autoSpaceDN/>
        <w:bidi w:val="0"/>
        <w:adjustRightInd/>
        <w:snapToGrid/>
        <w:spacing w:before="157" w:beforeLines="50" w:after="157" w:afterLines="50"/>
        <w:ind w:leftChars="0"/>
        <w:textAlignment w:val="auto"/>
        <w:rPr>
          <w:rFonts w:hint="eastAsia" w:ascii="黑体" w:hAnsi="Times New Roman" w:eastAsia="黑体" w:cs="Times New Roman"/>
          <w:sz w:val="21"/>
          <w:lang w:val="en-US" w:eastAsia="zh-CN" w:bidi="ar-SA"/>
        </w:rPr>
      </w:pPr>
      <w:r>
        <w:rPr>
          <w:rFonts w:hint="eastAsia" w:ascii="黑体" w:hAnsi="Times New Roman" w:eastAsia="黑体" w:cs="Times New Roman"/>
          <w:sz w:val="21"/>
          <w:lang w:val="en-US" w:eastAsia="zh-CN" w:bidi="ar-SA"/>
        </w:rPr>
        <w:t>7.3.1.1.2.1焦虑烦躁</w:t>
      </w:r>
    </w:p>
    <w:p w14:paraId="0A9C88CA">
      <w:pPr>
        <w:pStyle w:val="56"/>
        <w:ind w:firstLine="420"/>
        <w:rPr>
          <w:rFonts w:hint="eastAsia"/>
          <w:lang w:val="en-US" w:eastAsia="zh-CN"/>
        </w:rPr>
      </w:pPr>
      <w:r>
        <w:rPr>
          <w:rFonts w:hint="eastAsia"/>
          <w:lang w:val="en-US" w:eastAsia="zh-CN"/>
        </w:rPr>
        <w:t>轻度（偶尔出现，可自行缓解）、中度（频繁出现，情绪波动大，影响人际沟通）、重度（持续焦虑，难以自我调节，影响日常生活）；</w:t>
      </w:r>
    </w:p>
    <w:p w14:paraId="0890DFF6">
      <w:pPr>
        <w:pStyle w:val="162"/>
        <w:keepNext w:val="0"/>
        <w:keepLines w:val="0"/>
        <w:pageBreakBefore w:val="0"/>
        <w:widowControl/>
        <w:numPr>
          <w:ilvl w:val="2"/>
          <w:numId w:val="0"/>
        </w:numPr>
        <w:kinsoku/>
        <w:wordWrap/>
        <w:overflowPunct/>
        <w:topLinePunct w:val="0"/>
        <w:autoSpaceDE/>
        <w:autoSpaceDN/>
        <w:bidi w:val="0"/>
        <w:adjustRightInd/>
        <w:snapToGrid/>
        <w:spacing w:before="157" w:beforeLines="50" w:after="157" w:afterLines="50"/>
        <w:ind w:leftChars="0"/>
        <w:textAlignment w:val="auto"/>
        <w:rPr>
          <w:rFonts w:hint="eastAsia" w:ascii="黑体" w:hAnsi="Times New Roman" w:eastAsia="黑体" w:cs="Times New Roman"/>
          <w:sz w:val="21"/>
          <w:lang w:val="en-US" w:eastAsia="zh-CN" w:bidi="ar-SA"/>
        </w:rPr>
      </w:pPr>
      <w:r>
        <w:rPr>
          <w:rFonts w:hint="eastAsia" w:ascii="黑体" w:hAnsi="Times New Roman" w:eastAsia="黑体" w:cs="Times New Roman"/>
          <w:sz w:val="21"/>
          <w:lang w:val="en-US" w:eastAsia="zh-CN" w:bidi="ar-SA"/>
        </w:rPr>
        <w:t>7.3.1.1.2.2情绪低落</w:t>
      </w:r>
    </w:p>
    <w:p w14:paraId="59405648">
      <w:pPr>
        <w:pStyle w:val="56"/>
        <w:ind w:firstLine="420"/>
        <w:rPr>
          <w:rFonts w:hint="eastAsia"/>
          <w:lang w:val="en-US" w:eastAsia="zh-CN"/>
        </w:rPr>
      </w:pPr>
      <w:r>
        <w:rPr>
          <w:rFonts w:hint="eastAsia"/>
          <w:lang w:val="en-US" w:eastAsia="zh-CN"/>
        </w:rPr>
        <w:t>轻度（偶尔情绪不佳，无兴趣减退）、中度（频繁情绪低落，兴趣轻度减退）、重度（持续情绪低落，兴趣明显减退，不愿与人交流）；</w:t>
      </w:r>
    </w:p>
    <w:p w14:paraId="15067076">
      <w:pPr>
        <w:pStyle w:val="162"/>
        <w:keepNext w:val="0"/>
        <w:keepLines w:val="0"/>
        <w:pageBreakBefore w:val="0"/>
        <w:widowControl/>
        <w:numPr>
          <w:ilvl w:val="2"/>
          <w:numId w:val="0"/>
        </w:numPr>
        <w:kinsoku/>
        <w:wordWrap/>
        <w:overflowPunct/>
        <w:topLinePunct w:val="0"/>
        <w:autoSpaceDE/>
        <w:autoSpaceDN/>
        <w:bidi w:val="0"/>
        <w:adjustRightInd/>
        <w:snapToGrid/>
        <w:spacing w:before="157" w:beforeLines="50" w:after="157" w:afterLines="50"/>
        <w:ind w:leftChars="0"/>
        <w:textAlignment w:val="auto"/>
        <w:rPr>
          <w:rFonts w:hint="eastAsia" w:ascii="黑体" w:hAnsi="Times New Roman" w:eastAsia="黑体" w:cs="Times New Roman"/>
          <w:sz w:val="21"/>
          <w:lang w:val="en-US" w:eastAsia="zh-CN" w:bidi="ar-SA"/>
        </w:rPr>
      </w:pPr>
      <w:r>
        <w:rPr>
          <w:rFonts w:hint="eastAsia" w:ascii="黑体" w:hAnsi="Times New Roman" w:eastAsia="黑体" w:cs="Times New Roman"/>
          <w:sz w:val="21"/>
          <w:lang w:val="en-US" w:eastAsia="zh-CN" w:bidi="ar-SA"/>
        </w:rPr>
        <w:t>7.3.1.1.2.3 注意力不集中</w:t>
      </w:r>
    </w:p>
    <w:p w14:paraId="6D1A44AB">
      <w:pPr>
        <w:pStyle w:val="56"/>
        <w:ind w:firstLine="420"/>
        <w:rPr>
          <w:rFonts w:hint="eastAsia"/>
          <w:lang w:val="en-US" w:eastAsia="zh-CN"/>
        </w:rPr>
      </w:pPr>
      <w:r>
        <w:rPr>
          <w:rFonts w:hint="eastAsia"/>
          <w:lang w:val="en-US" w:eastAsia="zh-CN"/>
        </w:rPr>
        <w:t>轻度（偶尔出现，不影响工作效率）、中度（频繁出现，工作效率轻度下降）、重度（持续存在，工作效率明显下降，难以完成日常任务）。</w:t>
      </w:r>
    </w:p>
    <w:p w14:paraId="216F24D3">
      <w:pPr>
        <w:pStyle w:val="162"/>
        <w:keepNext w:val="0"/>
        <w:keepLines w:val="0"/>
        <w:pageBreakBefore w:val="0"/>
        <w:widowControl/>
        <w:numPr>
          <w:ilvl w:val="2"/>
          <w:numId w:val="0"/>
        </w:numPr>
        <w:kinsoku/>
        <w:wordWrap/>
        <w:overflowPunct/>
        <w:topLinePunct w:val="0"/>
        <w:autoSpaceDE/>
        <w:autoSpaceDN/>
        <w:bidi w:val="0"/>
        <w:adjustRightInd/>
        <w:snapToGrid/>
        <w:spacing w:before="157" w:beforeLines="50" w:after="157" w:afterLines="50"/>
        <w:ind w:leftChars="0"/>
        <w:textAlignment w:val="auto"/>
        <w:rPr>
          <w:rFonts w:hint="eastAsia" w:ascii="黑体" w:hAnsi="Times New Roman" w:eastAsia="黑体" w:cs="Times New Roman"/>
          <w:sz w:val="21"/>
          <w:lang w:val="en-US" w:eastAsia="zh-CN" w:bidi="ar-SA"/>
        </w:rPr>
      </w:pPr>
      <w:r>
        <w:rPr>
          <w:rFonts w:hint="eastAsia" w:ascii="黑体" w:hAnsi="Times New Roman" w:eastAsia="黑体" w:cs="Times New Roman"/>
          <w:sz w:val="21"/>
          <w:lang w:val="en-US" w:eastAsia="zh-CN" w:bidi="ar-SA"/>
        </w:rPr>
        <w:t>7.3.1.2 量表评价指标</w:t>
      </w:r>
    </w:p>
    <w:p w14:paraId="6CF1DCA7">
      <w:pPr>
        <w:pStyle w:val="56"/>
        <w:ind w:firstLine="420"/>
        <w:rPr>
          <w:rFonts w:hint="eastAsia"/>
          <w:lang w:val="en-US" w:eastAsia="zh-CN"/>
        </w:rPr>
      </w:pPr>
      <w:r>
        <w:rPr>
          <w:rFonts w:hint="eastAsia"/>
          <w:lang w:val="en-US" w:eastAsia="zh-CN"/>
        </w:rPr>
        <w:t>采用标准化量表进行量化评价，明确得分变化判定标准，确保评价客观可追溯，具体如下：</w:t>
      </w:r>
    </w:p>
    <w:p w14:paraId="79FADA67">
      <w:pPr>
        <w:pStyle w:val="162"/>
        <w:keepNext w:val="0"/>
        <w:keepLines w:val="0"/>
        <w:pageBreakBefore w:val="0"/>
        <w:widowControl/>
        <w:numPr>
          <w:ilvl w:val="2"/>
          <w:numId w:val="0"/>
        </w:numPr>
        <w:kinsoku/>
        <w:wordWrap/>
        <w:overflowPunct/>
        <w:topLinePunct w:val="0"/>
        <w:autoSpaceDE/>
        <w:autoSpaceDN/>
        <w:bidi w:val="0"/>
        <w:adjustRightInd/>
        <w:snapToGrid/>
        <w:spacing w:before="157" w:beforeLines="50" w:after="157" w:afterLines="50"/>
        <w:ind w:leftChars="0"/>
        <w:textAlignment w:val="auto"/>
        <w:rPr>
          <w:rFonts w:hint="eastAsia" w:ascii="黑体" w:hAnsi="Times New Roman" w:eastAsia="黑体" w:cs="Times New Roman"/>
          <w:sz w:val="21"/>
          <w:lang w:val="en-US" w:eastAsia="zh-CN" w:bidi="ar-SA"/>
        </w:rPr>
      </w:pPr>
      <w:r>
        <w:rPr>
          <w:rFonts w:hint="eastAsia" w:ascii="黑体" w:hAnsi="Times New Roman" w:eastAsia="黑体" w:cs="Times New Roman"/>
          <w:sz w:val="21"/>
          <w:lang w:val="en-US" w:eastAsia="zh-CN" w:bidi="ar-SA"/>
        </w:rPr>
        <w:t>7.3.1.2.1 疲劳量表-14（FS-14）</w:t>
      </w:r>
    </w:p>
    <w:p w14:paraId="29DF93AF">
      <w:pPr>
        <w:pStyle w:val="56"/>
        <w:ind w:firstLine="420"/>
        <w:rPr>
          <w:rFonts w:hint="eastAsia"/>
          <w:lang w:val="en-US" w:eastAsia="zh-CN"/>
        </w:rPr>
      </w:pPr>
      <w:r>
        <w:rPr>
          <w:rFonts w:hint="eastAsia"/>
          <w:lang w:val="en-US" w:eastAsia="zh-CN"/>
        </w:rPr>
        <w:t>共14个条目，总分0-28分，得分越高表示疲劳程度越重；干预前基线得分≥3分，干预后得分下降≥50%为明显改善，下降20%-50%为有效，下降＜20%为无效；</w:t>
      </w:r>
    </w:p>
    <w:p w14:paraId="4D29496F">
      <w:pPr>
        <w:pStyle w:val="162"/>
        <w:keepNext w:val="0"/>
        <w:keepLines w:val="0"/>
        <w:pageBreakBefore w:val="0"/>
        <w:widowControl/>
        <w:numPr>
          <w:ilvl w:val="2"/>
          <w:numId w:val="0"/>
        </w:numPr>
        <w:kinsoku/>
        <w:wordWrap/>
        <w:overflowPunct/>
        <w:topLinePunct w:val="0"/>
        <w:autoSpaceDE/>
        <w:autoSpaceDN/>
        <w:bidi w:val="0"/>
        <w:adjustRightInd/>
        <w:snapToGrid/>
        <w:spacing w:before="157" w:beforeLines="50" w:after="157" w:afterLines="50"/>
        <w:ind w:leftChars="0"/>
        <w:textAlignment w:val="auto"/>
        <w:rPr>
          <w:rFonts w:hint="eastAsia" w:ascii="黑体" w:hAnsi="Times New Roman" w:eastAsia="黑体" w:cs="Times New Roman"/>
          <w:sz w:val="21"/>
          <w:lang w:val="en-US" w:eastAsia="zh-CN" w:bidi="ar-SA"/>
        </w:rPr>
      </w:pPr>
      <w:r>
        <w:rPr>
          <w:rFonts w:hint="eastAsia" w:ascii="黑体" w:hAnsi="Times New Roman" w:eastAsia="黑体" w:cs="Times New Roman"/>
          <w:sz w:val="21"/>
          <w:lang w:val="en-US" w:eastAsia="zh-CN" w:bidi="ar-SA"/>
        </w:rPr>
        <w:t>7.3.1.2.2 焦虑自评量表（SAS）</w:t>
      </w:r>
    </w:p>
    <w:p w14:paraId="21BC04A6">
      <w:pPr>
        <w:pStyle w:val="56"/>
        <w:ind w:firstLine="420"/>
        <w:rPr>
          <w:rFonts w:hint="eastAsia"/>
          <w:lang w:val="en-US" w:eastAsia="zh-CN"/>
        </w:rPr>
      </w:pPr>
      <w:r>
        <w:rPr>
          <w:rFonts w:hint="eastAsia"/>
          <w:lang w:val="en-US" w:eastAsia="zh-CN"/>
        </w:rPr>
        <w:t>共20个条目，总分0-80分，标准分＞50分为存在焦虑症状；干预后标准分下降≥50%为明显改善，下降20%-50%为有效，下降＜20%为无效，标准分降至≤50分为焦虑症状缓解；</w:t>
      </w:r>
    </w:p>
    <w:p w14:paraId="420FA67D">
      <w:pPr>
        <w:pStyle w:val="162"/>
        <w:keepNext w:val="0"/>
        <w:keepLines w:val="0"/>
        <w:pageBreakBefore w:val="0"/>
        <w:widowControl/>
        <w:numPr>
          <w:ilvl w:val="2"/>
          <w:numId w:val="0"/>
        </w:numPr>
        <w:kinsoku/>
        <w:wordWrap/>
        <w:overflowPunct/>
        <w:topLinePunct w:val="0"/>
        <w:autoSpaceDE/>
        <w:autoSpaceDN/>
        <w:bidi w:val="0"/>
        <w:adjustRightInd/>
        <w:snapToGrid/>
        <w:spacing w:before="157" w:beforeLines="50" w:after="157" w:afterLines="50"/>
        <w:ind w:leftChars="0"/>
        <w:textAlignment w:val="auto"/>
        <w:rPr>
          <w:rFonts w:hint="eastAsia" w:ascii="黑体" w:hAnsi="Times New Roman" w:eastAsia="黑体" w:cs="Times New Roman"/>
          <w:sz w:val="21"/>
          <w:lang w:val="en-US" w:eastAsia="zh-CN" w:bidi="ar-SA"/>
        </w:rPr>
      </w:pPr>
      <w:r>
        <w:rPr>
          <w:rFonts w:hint="eastAsia" w:ascii="黑体" w:hAnsi="Times New Roman" w:eastAsia="黑体" w:cs="Times New Roman"/>
          <w:sz w:val="21"/>
          <w:lang w:val="en-US" w:eastAsia="zh-CN" w:bidi="ar-SA"/>
        </w:rPr>
        <w:t>7.3.1.2.3 抑郁自评量表（SDS）</w:t>
      </w:r>
    </w:p>
    <w:p w14:paraId="3CA5F2C2">
      <w:pPr>
        <w:pStyle w:val="56"/>
        <w:ind w:firstLine="420"/>
        <w:rPr>
          <w:rFonts w:hint="eastAsia"/>
          <w:lang w:val="en-US" w:eastAsia="zh-CN"/>
        </w:rPr>
      </w:pPr>
      <w:r>
        <w:rPr>
          <w:rFonts w:hint="eastAsia"/>
          <w:lang w:val="en-US" w:eastAsia="zh-CN"/>
        </w:rPr>
        <w:t>共20个条目，总分0-80分，标准分＞53分为存在抑郁症状；干预后标准分下降≥50%为明显改善，下降20%-50%为有效，下降＜20%为无效，标准分降至≤53分为抑郁症状缓解。</w:t>
      </w:r>
    </w:p>
    <w:p w14:paraId="4A95B11B">
      <w:pPr>
        <w:pStyle w:val="105"/>
        <w:numPr>
          <w:ilvl w:val="2"/>
          <w:numId w:val="0"/>
        </w:numPr>
        <w:spacing w:before="120" w:after="120"/>
        <w:ind w:leftChars="0"/>
        <w:rPr>
          <w:rFonts w:hint="eastAsia"/>
        </w:rPr>
      </w:pPr>
      <w:bookmarkStart w:id="134" w:name="_Toc31296"/>
      <w:r>
        <w:rPr>
          <w:rFonts w:hint="eastAsia"/>
          <w:lang w:val="en-US" w:eastAsia="zh-CN"/>
        </w:rPr>
        <w:t>7</w:t>
      </w:r>
      <w:r>
        <w:rPr>
          <w:rFonts w:hint="eastAsia"/>
        </w:rPr>
        <w:t>.4 评价方法</w:t>
      </w:r>
      <w:bookmarkEnd w:id="134"/>
    </w:p>
    <w:p w14:paraId="3549D7B4">
      <w:pPr>
        <w:pStyle w:val="162"/>
        <w:keepNext w:val="0"/>
        <w:keepLines w:val="0"/>
        <w:pageBreakBefore w:val="0"/>
        <w:widowControl/>
        <w:numPr>
          <w:ilvl w:val="2"/>
          <w:numId w:val="0"/>
        </w:numPr>
        <w:kinsoku/>
        <w:wordWrap/>
        <w:overflowPunct/>
        <w:topLinePunct w:val="0"/>
        <w:autoSpaceDE/>
        <w:autoSpaceDN/>
        <w:bidi w:val="0"/>
        <w:adjustRightInd/>
        <w:snapToGrid/>
        <w:spacing w:before="157" w:beforeLines="50" w:after="157" w:afterLines="50"/>
        <w:ind w:leftChars="0"/>
        <w:textAlignment w:val="auto"/>
        <w:rPr>
          <w:rFonts w:hint="eastAsia" w:ascii="黑体" w:hAnsi="Times New Roman" w:eastAsia="黑体" w:cs="Times New Roman"/>
          <w:sz w:val="21"/>
          <w:lang w:val="en-US" w:eastAsia="zh-CN" w:bidi="ar-SA"/>
        </w:rPr>
      </w:pPr>
      <w:r>
        <w:rPr>
          <w:rFonts w:hint="eastAsia" w:ascii="黑体" w:hAnsi="Times New Roman" w:eastAsia="黑体" w:cs="Times New Roman"/>
          <w:sz w:val="21"/>
          <w:lang w:val="en-US" w:eastAsia="zh-CN" w:bidi="ar-SA"/>
        </w:rPr>
        <w:t>7.4.1 问卷调查法</w:t>
      </w:r>
    </w:p>
    <w:p w14:paraId="28D4506F">
      <w:pPr>
        <w:pStyle w:val="56"/>
        <w:ind w:firstLine="420"/>
        <w:rPr>
          <w:rFonts w:hint="eastAsia"/>
        </w:rPr>
      </w:pPr>
      <w:r>
        <w:rPr>
          <w:rFonts w:hint="eastAsia"/>
        </w:rPr>
        <w:t>制定《中年亚健康干预疗效评价问卷》，由患者自主填写，涵盖躯体症状、心理症状的改善感受，分为“明显改善”“有所改善”“无改善”“加重”4个等级，操作人员核对后录入干预档案。</w:t>
      </w:r>
    </w:p>
    <w:p w14:paraId="30517F63">
      <w:pPr>
        <w:pStyle w:val="162"/>
        <w:keepNext w:val="0"/>
        <w:keepLines w:val="0"/>
        <w:pageBreakBefore w:val="0"/>
        <w:widowControl/>
        <w:numPr>
          <w:ilvl w:val="2"/>
          <w:numId w:val="0"/>
        </w:numPr>
        <w:kinsoku/>
        <w:wordWrap/>
        <w:overflowPunct/>
        <w:topLinePunct w:val="0"/>
        <w:autoSpaceDE/>
        <w:autoSpaceDN/>
        <w:bidi w:val="0"/>
        <w:adjustRightInd/>
        <w:snapToGrid/>
        <w:spacing w:before="157" w:beforeLines="50" w:after="157" w:afterLines="50"/>
        <w:ind w:leftChars="0"/>
        <w:textAlignment w:val="auto"/>
        <w:rPr>
          <w:rFonts w:hint="eastAsia" w:ascii="黑体" w:hAnsi="Times New Roman" w:eastAsia="黑体" w:cs="Times New Roman"/>
          <w:sz w:val="21"/>
          <w:lang w:val="en-US" w:eastAsia="zh-CN" w:bidi="ar-SA"/>
        </w:rPr>
      </w:pPr>
      <w:r>
        <w:rPr>
          <w:rFonts w:hint="eastAsia" w:ascii="黑体" w:hAnsi="Times New Roman" w:eastAsia="黑体" w:cs="Times New Roman"/>
          <w:sz w:val="21"/>
          <w:lang w:val="en-US" w:eastAsia="zh-CN" w:bidi="ar-SA"/>
        </w:rPr>
        <w:t>7.4.2 量表检测法</w:t>
      </w:r>
    </w:p>
    <w:p w14:paraId="7D65CBE8">
      <w:pPr>
        <w:pStyle w:val="56"/>
        <w:ind w:firstLine="420"/>
        <w:rPr>
          <w:rFonts w:hint="eastAsia"/>
        </w:rPr>
      </w:pPr>
      <w:r>
        <w:rPr>
          <w:rFonts w:hint="eastAsia"/>
        </w:rPr>
        <w:t>干预前、每疗程结束后、全程干预结束后，组织患者完成FS-14、SAS、SDS量表填写，由专业人员核对量表得分，计算得分变化率，量化评价疗效。</w:t>
      </w:r>
    </w:p>
    <w:p w14:paraId="0E8E4EEF">
      <w:pPr>
        <w:pStyle w:val="162"/>
        <w:keepNext w:val="0"/>
        <w:keepLines w:val="0"/>
        <w:pageBreakBefore w:val="0"/>
        <w:widowControl/>
        <w:numPr>
          <w:ilvl w:val="2"/>
          <w:numId w:val="0"/>
        </w:numPr>
        <w:kinsoku/>
        <w:wordWrap/>
        <w:overflowPunct/>
        <w:topLinePunct w:val="0"/>
        <w:autoSpaceDE/>
        <w:autoSpaceDN/>
        <w:bidi w:val="0"/>
        <w:adjustRightInd/>
        <w:snapToGrid/>
        <w:spacing w:before="157" w:beforeLines="50" w:after="157" w:afterLines="50"/>
        <w:ind w:leftChars="0"/>
        <w:textAlignment w:val="auto"/>
        <w:rPr>
          <w:rFonts w:hint="eastAsia" w:ascii="黑体" w:hAnsi="Times New Roman" w:eastAsia="黑体" w:cs="Times New Roman"/>
          <w:sz w:val="21"/>
          <w:lang w:val="en-US" w:eastAsia="zh-CN" w:bidi="ar-SA"/>
        </w:rPr>
      </w:pPr>
      <w:r>
        <w:rPr>
          <w:rFonts w:hint="eastAsia" w:ascii="黑体" w:hAnsi="Times New Roman" w:eastAsia="黑体" w:cs="Times New Roman"/>
          <w:sz w:val="21"/>
          <w:lang w:val="en-US" w:eastAsia="zh-CN" w:bidi="ar-SA"/>
        </w:rPr>
        <w:t>7.4.3 中医辨证评估法</w:t>
      </w:r>
    </w:p>
    <w:p w14:paraId="25653442">
      <w:pPr>
        <w:pStyle w:val="56"/>
        <w:ind w:firstLine="420"/>
        <w:rPr>
          <w:rFonts w:hint="eastAsia"/>
        </w:rPr>
      </w:pPr>
      <w:r>
        <w:rPr>
          <w:rFonts w:hint="eastAsia"/>
        </w:rPr>
        <w:t>由具备资质的操作人员，结合患者干预前后舌诊、脉诊、面色观察结果，对比辨证分型变化，评估体质偏颇改善情况，记录辨证评估意见。</w:t>
      </w:r>
    </w:p>
    <w:p w14:paraId="31CD6B89">
      <w:pPr>
        <w:pStyle w:val="162"/>
        <w:keepNext w:val="0"/>
        <w:keepLines w:val="0"/>
        <w:pageBreakBefore w:val="0"/>
        <w:widowControl/>
        <w:numPr>
          <w:ilvl w:val="2"/>
          <w:numId w:val="0"/>
        </w:numPr>
        <w:kinsoku/>
        <w:wordWrap/>
        <w:overflowPunct/>
        <w:topLinePunct w:val="0"/>
        <w:autoSpaceDE/>
        <w:autoSpaceDN/>
        <w:bidi w:val="0"/>
        <w:adjustRightInd/>
        <w:snapToGrid/>
        <w:spacing w:before="157" w:beforeLines="50" w:after="157" w:afterLines="50"/>
        <w:ind w:leftChars="0"/>
        <w:textAlignment w:val="auto"/>
        <w:rPr>
          <w:rFonts w:hint="eastAsia" w:ascii="黑体" w:hAnsi="Times New Roman" w:eastAsia="黑体" w:cs="Times New Roman"/>
          <w:sz w:val="21"/>
          <w:lang w:val="en-US" w:eastAsia="zh-CN" w:bidi="ar-SA"/>
        </w:rPr>
      </w:pPr>
      <w:r>
        <w:rPr>
          <w:rFonts w:hint="eastAsia" w:ascii="黑体" w:hAnsi="Times New Roman" w:eastAsia="黑体" w:cs="Times New Roman"/>
          <w:sz w:val="21"/>
          <w:lang w:val="en-US" w:eastAsia="zh-CN" w:bidi="ar-SA"/>
        </w:rPr>
        <w:t>7.4.4 随访询问法</w:t>
      </w:r>
    </w:p>
    <w:p w14:paraId="46314220">
      <w:pPr>
        <w:pStyle w:val="56"/>
        <w:ind w:firstLine="420"/>
        <w:rPr>
          <w:rFonts w:hint="eastAsia"/>
        </w:rPr>
      </w:pPr>
      <w:r>
        <w:rPr>
          <w:rFonts w:hint="eastAsia"/>
        </w:rPr>
        <w:t>随访评价时，通过电话、线下复诊等方式，询问患者症状复发情况、生活方式依从性及有无不适，补充完善疗效评价数据，确保评价全面性。</w:t>
      </w:r>
    </w:p>
    <w:p w14:paraId="44ED9F33">
      <w:pPr>
        <w:pStyle w:val="162"/>
        <w:keepNext w:val="0"/>
        <w:keepLines w:val="0"/>
        <w:pageBreakBefore w:val="0"/>
        <w:widowControl/>
        <w:numPr>
          <w:ilvl w:val="2"/>
          <w:numId w:val="0"/>
        </w:numPr>
        <w:kinsoku/>
        <w:wordWrap/>
        <w:overflowPunct/>
        <w:topLinePunct w:val="0"/>
        <w:autoSpaceDE/>
        <w:autoSpaceDN/>
        <w:bidi w:val="0"/>
        <w:adjustRightInd/>
        <w:snapToGrid/>
        <w:spacing w:before="157" w:beforeLines="50" w:after="157" w:afterLines="50"/>
        <w:ind w:leftChars="0"/>
        <w:textAlignment w:val="auto"/>
        <w:rPr>
          <w:rFonts w:hint="eastAsia" w:ascii="黑体" w:hAnsi="Times New Roman" w:eastAsia="黑体" w:cs="Times New Roman"/>
          <w:sz w:val="21"/>
          <w:lang w:val="en-US" w:eastAsia="zh-CN" w:bidi="ar-SA"/>
        </w:rPr>
      </w:pPr>
      <w:bookmarkStart w:id="135" w:name="_Toc22138"/>
      <w:r>
        <w:rPr>
          <w:rFonts w:hint="eastAsia" w:ascii="黑体" w:hAnsi="Times New Roman" w:eastAsia="黑体" w:cs="Times New Roman"/>
          <w:sz w:val="21"/>
          <w:lang w:val="en-US" w:eastAsia="zh-CN" w:bidi="ar-SA"/>
        </w:rPr>
        <w:t>7.5 评价标准</w:t>
      </w:r>
      <w:bookmarkEnd w:id="135"/>
    </w:p>
    <w:p w14:paraId="0930435A">
      <w:pPr>
        <w:pStyle w:val="162"/>
        <w:keepNext w:val="0"/>
        <w:keepLines w:val="0"/>
        <w:pageBreakBefore w:val="0"/>
        <w:widowControl/>
        <w:numPr>
          <w:ilvl w:val="2"/>
          <w:numId w:val="0"/>
        </w:numPr>
        <w:kinsoku/>
        <w:wordWrap/>
        <w:overflowPunct/>
        <w:topLinePunct w:val="0"/>
        <w:autoSpaceDE/>
        <w:autoSpaceDN/>
        <w:bidi w:val="0"/>
        <w:adjustRightInd/>
        <w:snapToGrid/>
        <w:spacing w:before="157" w:beforeLines="50" w:after="157" w:afterLines="50"/>
        <w:ind w:leftChars="0"/>
        <w:textAlignment w:val="auto"/>
        <w:rPr>
          <w:rFonts w:hint="eastAsia" w:ascii="黑体" w:hAnsi="Times New Roman" w:eastAsia="黑体" w:cs="Times New Roman"/>
          <w:sz w:val="21"/>
          <w:lang w:val="en-US" w:eastAsia="zh-CN" w:bidi="ar-SA"/>
        </w:rPr>
      </w:pPr>
      <w:r>
        <w:rPr>
          <w:rFonts w:hint="eastAsia" w:ascii="黑体" w:hAnsi="Times New Roman" w:eastAsia="黑体" w:cs="Times New Roman"/>
          <w:sz w:val="21"/>
          <w:lang w:val="en-US" w:eastAsia="zh-CN" w:bidi="ar-SA"/>
        </w:rPr>
        <w:t>7.5.1 显效</w:t>
      </w:r>
    </w:p>
    <w:p w14:paraId="2F02218F">
      <w:pPr>
        <w:pStyle w:val="56"/>
        <w:ind w:firstLine="420"/>
        <w:rPr>
          <w:rFonts w:hint="eastAsia"/>
        </w:rPr>
      </w:pPr>
      <w:r>
        <w:rPr>
          <w:rFonts w:hint="eastAsia"/>
        </w:rPr>
        <w:t>核心躯体症状、心理症状明显改善，80%以上症状达到“明显改善”；FS-14、SAS、SDS量表得分较干预前下降≥50%；随访1个月无复发，生活方式依从性良好。</w:t>
      </w:r>
    </w:p>
    <w:p w14:paraId="1B6ADABC">
      <w:pPr>
        <w:pStyle w:val="162"/>
        <w:keepNext w:val="0"/>
        <w:keepLines w:val="0"/>
        <w:pageBreakBefore w:val="0"/>
        <w:widowControl/>
        <w:numPr>
          <w:ilvl w:val="2"/>
          <w:numId w:val="0"/>
        </w:numPr>
        <w:kinsoku/>
        <w:wordWrap/>
        <w:overflowPunct/>
        <w:topLinePunct w:val="0"/>
        <w:autoSpaceDE/>
        <w:autoSpaceDN/>
        <w:bidi w:val="0"/>
        <w:adjustRightInd/>
        <w:snapToGrid/>
        <w:spacing w:before="157" w:beforeLines="50" w:after="157" w:afterLines="50"/>
        <w:ind w:leftChars="0"/>
        <w:textAlignment w:val="auto"/>
        <w:rPr>
          <w:rFonts w:hint="eastAsia" w:ascii="黑体" w:hAnsi="Times New Roman" w:eastAsia="黑体" w:cs="Times New Roman"/>
          <w:sz w:val="21"/>
          <w:lang w:val="en-US" w:eastAsia="zh-CN" w:bidi="ar-SA"/>
        </w:rPr>
      </w:pPr>
      <w:r>
        <w:rPr>
          <w:rFonts w:hint="eastAsia" w:ascii="黑体" w:hAnsi="Times New Roman" w:eastAsia="黑体" w:cs="Times New Roman"/>
          <w:sz w:val="21"/>
          <w:lang w:val="en-US" w:eastAsia="zh-CN" w:bidi="ar-SA"/>
        </w:rPr>
        <w:t>7.5.2 有效</w:t>
      </w:r>
    </w:p>
    <w:p w14:paraId="2FE364D1">
      <w:pPr>
        <w:pStyle w:val="56"/>
        <w:ind w:firstLine="420"/>
        <w:rPr>
          <w:rFonts w:hint="eastAsia"/>
        </w:rPr>
      </w:pPr>
      <w:r>
        <w:rPr>
          <w:rFonts w:hint="eastAsia"/>
        </w:rPr>
        <w:t>核心躯体症状、心理症状有所改善，50%-80%症状达到“有所改善”及以上；FS-14、SAS、SDS量表得分较干预前下降20%-50%；随访1个月无明显复发。</w:t>
      </w:r>
    </w:p>
    <w:p w14:paraId="7029EB20">
      <w:pPr>
        <w:pStyle w:val="162"/>
        <w:keepNext w:val="0"/>
        <w:keepLines w:val="0"/>
        <w:pageBreakBefore w:val="0"/>
        <w:widowControl/>
        <w:numPr>
          <w:ilvl w:val="2"/>
          <w:numId w:val="0"/>
        </w:numPr>
        <w:kinsoku/>
        <w:wordWrap/>
        <w:overflowPunct/>
        <w:topLinePunct w:val="0"/>
        <w:autoSpaceDE/>
        <w:autoSpaceDN/>
        <w:bidi w:val="0"/>
        <w:adjustRightInd/>
        <w:snapToGrid/>
        <w:spacing w:before="157" w:beforeLines="50" w:after="157" w:afterLines="50"/>
        <w:ind w:leftChars="0"/>
        <w:textAlignment w:val="auto"/>
        <w:rPr>
          <w:rFonts w:hint="eastAsia" w:ascii="黑体" w:hAnsi="Times New Roman" w:eastAsia="黑体" w:cs="Times New Roman"/>
          <w:sz w:val="21"/>
          <w:lang w:val="en-US" w:eastAsia="zh-CN" w:bidi="ar-SA"/>
        </w:rPr>
      </w:pPr>
      <w:r>
        <w:rPr>
          <w:rFonts w:hint="eastAsia" w:ascii="黑体" w:hAnsi="Times New Roman" w:eastAsia="黑体" w:cs="Times New Roman"/>
          <w:sz w:val="21"/>
          <w:lang w:val="en-US" w:eastAsia="zh-CN" w:bidi="ar-SA"/>
        </w:rPr>
        <w:t>7.5.3 无效</w:t>
      </w:r>
    </w:p>
    <w:p w14:paraId="270BED97">
      <w:pPr>
        <w:pStyle w:val="56"/>
        <w:ind w:firstLine="420"/>
        <w:rPr>
          <w:rFonts w:hint="eastAsia"/>
        </w:rPr>
      </w:pPr>
      <w:r>
        <w:rPr>
          <w:rFonts w:hint="eastAsia"/>
        </w:rPr>
        <w:t>躯体症状、心理症状无改善甚至加重，不足50%症状达到“有所改善”；FS-14、SAS、SDS量表得分较干预前下降＜20%；干预过程中出现严重不良反应，需暂停干预。</w:t>
      </w:r>
    </w:p>
    <w:p w14:paraId="4B4390BE">
      <w:pPr>
        <w:pStyle w:val="162"/>
        <w:keepNext w:val="0"/>
        <w:keepLines w:val="0"/>
        <w:pageBreakBefore w:val="0"/>
        <w:widowControl/>
        <w:numPr>
          <w:ilvl w:val="2"/>
          <w:numId w:val="0"/>
        </w:numPr>
        <w:kinsoku/>
        <w:wordWrap/>
        <w:overflowPunct/>
        <w:topLinePunct w:val="0"/>
        <w:autoSpaceDE/>
        <w:autoSpaceDN/>
        <w:bidi w:val="0"/>
        <w:adjustRightInd/>
        <w:snapToGrid/>
        <w:spacing w:before="157" w:beforeLines="50" w:after="157" w:afterLines="50"/>
        <w:ind w:leftChars="0"/>
        <w:textAlignment w:val="auto"/>
        <w:rPr>
          <w:rFonts w:hint="eastAsia" w:ascii="黑体" w:hAnsi="Times New Roman" w:eastAsia="黑体" w:cs="Times New Roman"/>
          <w:sz w:val="21"/>
          <w:lang w:val="en-US" w:eastAsia="zh-CN" w:bidi="ar-SA"/>
        </w:rPr>
      </w:pPr>
      <w:bookmarkStart w:id="136" w:name="_Toc7193"/>
      <w:r>
        <w:rPr>
          <w:rFonts w:hint="eastAsia" w:ascii="黑体" w:hAnsi="Times New Roman" w:eastAsia="黑体" w:cs="Times New Roman"/>
          <w:sz w:val="21"/>
          <w:lang w:val="en-US" w:eastAsia="zh-CN" w:bidi="ar-SA"/>
        </w:rPr>
        <w:t>7.6 评价结果应用</w:t>
      </w:r>
      <w:bookmarkEnd w:id="136"/>
    </w:p>
    <w:p w14:paraId="4F5F8BD2">
      <w:pPr>
        <w:pStyle w:val="162"/>
        <w:keepNext w:val="0"/>
        <w:keepLines w:val="0"/>
        <w:pageBreakBefore w:val="0"/>
        <w:widowControl/>
        <w:numPr>
          <w:ilvl w:val="2"/>
          <w:numId w:val="0"/>
        </w:numPr>
        <w:kinsoku/>
        <w:wordWrap/>
        <w:overflowPunct/>
        <w:topLinePunct w:val="0"/>
        <w:autoSpaceDE/>
        <w:autoSpaceDN/>
        <w:bidi w:val="0"/>
        <w:adjustRightInd/>
        <w:snapToGrid/>
        <w:spacing w:before="157" w:beforeLines="50" w:after="157" w:afterLines="50"/>
        <w:ind w:leftChars="0"/>
        <w:textAlignment w:val="auto"/>
        <w:rPr>
          <w:rFonts w:hint="eastAsia" w:ascii="黑体" w:hAnsi="Times New Roman" w:eastAsia="黑体" w:cs="Times New Roman"/>
          <w:sz w:val="21"/>
          <w:lang w:val="en-US" w:eastAsia="zh-CN" w:bidi="ar-SA"/>
        </w:rPr>
      </w:pPr>
      <w:r>
        <w:rPr>
          <w:rFonts w:hint="eastAsia" w:ascii="黑体" w:hAnsi="Times New Roman" w:eastAsia="黑体" w:cs="Times New Roman"/>
          <w:sz w:val="21"/>
          <w:lang w:val="en-US" w:eastAsia="zh-CN" w:bidi="ar-SA"/>
        </w:rPr>
        <w:t>7.6.1 方案调整</w:t>
      </w:r>
    </w:p>
    <w:p w14:paraId="658920F6">
      <w:pPr>
        <w:pStyle w:val="56"/>
        <w:ind w:firstLine="420"/>
        <w:rPr>
          <w:rFonts w:hint="eastAsia"/>
        </w:rPr>
      </w:pPr>
      <w:r>
        <w:rPr>
          <w:rFonts w:hint="eastAsia"/>
        </w:rPr>
        <w:t>短期评价为“无效”或“症状加重”时，立即暂停干预，重新评估患者证型及体质，调整干预方案（如更换适宜技术、调整穴位或操作参数），重新启动干预后，增加中期随访评估频次。</w:t>
      </w:r>
    </w:p>
    <w:p w14:paraId="143B86F3">
      <w:pPr>
        <w:pStyle w:val="162"/>
        <w:keepNext w:val="0"/>
        <w:keepLines w:val="0"/>
        <w:pageBreakBefore w:val="0"/>
        <w:widowControl/>
        <w:numPr>
          <w:ilvl w:val="2"/>
          <w:numId w:val="0"/>
        </w:numPr>
        <w:kinsoku/>
        <w:wordWrap/>
        <w:overflowPunct/>
        <w:topLinePunct w:val="0"/>
        <w:autoSpaceDE/>
        <w:autoSpaceDN/>
        <w:bidi w:val="0"/>
        <w:adjustRightInd/>
        <w:snapToGrid/>
        <w:spacing w:before="157" w:beforeLines="50" w:after="157" w:afterLines="50"/>
        <w:ind w:leftChars="0"/>
        <w:textAlignment w:val="auto"/>
        <w:rPr>
          <w:rFonts w:hint="eastAsia" w:ascii="黑体" w:hAnsi="Times New Roman" w:eastAsia="黑体" w:cs="Times New Roman"/>
          <w:sz w:val="21"/>
          <w:lang w:val="en-US" w:eastAsia="zh-CN" w:bidi="ar-SA"/>
        </w:rPr>
      </w:pPr>
      <w:r>
        <w:rPr>
          <w:rFonts w:hint="eastAsia" w:ascii="黑体" w:hAnsi="Times New Roman" w:eastAsia="黑体" w:cs="Times New Roman"/>
          <w:sz w:val="21"/>
          <w:lang w:val="en-US" w:eastAsia="zh-CN" w:bidi="ar-SA"/>
        </w:rPr>
        <w:t>7.6.2 疗效记录</w:t>
      </w:r>
    </w:p>
    <w:p w14:paraId="048394A6">
      <w:pPr>
        <w:pStyle w:val="56"/>
        <w:ind w:firstLine="420"/>
        <w:rPr>
          <w:rFonts w:hint="eastAsia"/>
        </w:rPr>
      </w:pPr>
      <w:r>
        <w:rPr>
          <w:rFonts w:hint="eastAsia"/>
        </w:rPr>
        <w:t>所有评价结果需详细记录于患者干预档案，包括评价时间、评价指标、得分变化、辨证意见、评价结论等，实现全程可追溯。</w:t>
      </w:r>
    </w:p>
    <w:p w14:paraId="6EC5CD2E">
      <w:pPr>
        <w:pStyle w:val="162"/>
        <w:keepNext w:val="0"/>
        <w:keepLines w:val="0"/>
        <w:pageBreakBefore w:val="0"/>
        <w:widowControl/>
        <w:numPr>
          <w:ilvl w:val="2"/>
          <w:numId w:val="0"/>
        </w:numPr>
        <w:kinsoku/>
        <w:wordWrap/>
        <w:overflowPunct/>
        <w:topLinePunct w:val="0"/>
        <w:autoSpaceDE/>
        <w:autoSpaceDN/>
        <w:bidi w:val="0"/>
        <w:adjustRightInd/>
        <w:snapToGrid/>
        <w:spacing w:before="157" w:beforeLines="50" w:after="157" w:afterLines="50"/>
        <w:ind w:leftChars="0"/>
        <w:textAlignment w:val="auto"/>
        <w:rPr>
          <w:rFonts w:hint="eastAsia" w:ascii="黑体" w:hAnsi="Times New Roman" w:eastAsia="黑体" w:cs="Times New Roman"/>
          <w:sz w:val="21"/>
          <w:lang w:val="en-US" w:eastAsia="zh-CN" w:bidi="ar-SA"/>
        </w:rPr>
      </w:pPr>
      <w:r>
        <w:rPr>
          <w:rFonts w:hint="eastAsia" w:ascii="黑体" w:hAnsi="Times New Roman" w:eastAsia="黑体" w:cs="Times New Roman"/>
          <w:sz w:val="21"/>
          <w:lang w:val="en-US" w:eastAsia="zh-CN" w:bidi="ar-SA"/>
        </w:rPr>
        <w:t>7.6.3 总结优化</w:t>
      </w:r>
    </w:p>
    <w:p w14:paraId="0FB1BD20">
      <w:pPr>
        <w:pStyle w:val="56"/>
        <w:ind w:firstLine="420"/>
        <w:rPr>
          <w:rFonts w:hint="eastAsia"/>
        </w:rPr>
      </w:pPr>
      <w:r>
        <w:rPr>
          <w:rFonts w:hint="eastAsia"/>
        </w:rPr>
        <w:t>全程干预结束后，汇总所有患者疗效评价结果，分析不同证型、不同适宜技术组合的干预效果，总结经验，为草案后续修订、优化干预方案提供依据。</w:t>
      </w:r>
    </w:p>
    <w:p w14:paraId="53E0D51E">
      <w:pPr>
        <w:pStyle w:val="162"/>
        <w:keepNext w:val="0"/>
        <w:keepLines w:val="0"/>
        <w:pageBreakBefore w:val="0"/>
        <w:widowControl/>
        <w:numPr>
          <w:ilvl w:val="2"/>
          <w:numId w:val="0"/>
        </w:numPr>
        <w:kinsoku/>
        <w:wordWrap/>
        <w:overflowPunct/>
        <w:topLinePunct w:val="0"/>
        <w:autoSpaceDE/>
        <w:autoSpaceDN/>
        <w:bidi w:val="0"/>
        <w:adjustRightInd/>
        <w:snapToGrid/>
        <w:spacing w:before="157" w:beforeLines="50" w:after="157" w:afterLines="50"/>
        <w:ind w:leftChars="0"/>
        <w:textAlignment w:val="auto"/>
        <w:rPr>
          <w:rFonts w:hint="eastAsia" w:ascii="黑体" w:hAnsi="Times New Roman" w:eastAsia="黑体" w:cs="Times New Roman"/>
          <w:sz w:val="21"/>
          <w:lang w:val="en-US" w:eastAsia="zh-CN" w:bidi="ar-SA"/>
        </w:rPr>
      </w:pPr>
      <w:r>
        <w:rPr>
          <w:rFonts w:hint="eastAsia" w:ascii="黑体" w:hAnsi="Times New Roman" w:eastAsia="黑体" w:cs="Times New Roman"/>
          <w:sz w:val="21"/>
          <w:lang w:val="en-US" w:eastAsia="zh-CN" w:bidi="ar-SA"/>
        </w:rPr>
        <w:t>7.6.4 健康指导</w:t>
      </w:r>
    </w:p>
    <w:p w14:paraId="51875003">
      <w:pPr>
        <w:pStyle w:val="56"/>
        <w:ind w:firstLine="420"/>
        <w:rPr>
          <w:rFonts w:hint="eastAsia"/>
        </w:rPr>
      </w:pPr>
      <w:r>
        <w:rPr>
          <w:rFonts w:hint="eastAsia"/>
        </w:rPr>
        <w:t>根据评价结果，针对疗效不佳的患者，强化饮食、运动、情志等基础干预指导，提高患者依从性，必要时建议转诊至上级医疗机构进一步调理。</w:t>
      </w:r>
    </w:p>
    <w:p w14:paraId="11A20C8E">
      <w:pPr>
        <w:pStyle w:val="162"/>
        <w:numPr>
          <w:ilvl w:val="2"/>
          <w:numId w:val="0"/>
        </w:numPr>
        <w:ind w:leftChars="0"/>
        <w:rPr>
          <w:rFonts w:hint="eastAsia"/>
        </w:rPr>
      </w:pPr>
    </w:p>
    <w:bookmarkEnd w:id="49"/>
    <w:p w14:paraId="0E7B9155">
      <w:pPr>
        <w:pStyle w:val="162"/>
        <w:numPr>
          <w:ilvl w:val="2"/>
          <w:numId w:val="0"/>
        </w:numPr>
        <w:ind w:leftChars="0"/>
        <w:rPr>
          <w:rFonts w:hint="eastAsia"/>
        </w:rPr>
      </w:pPr>
    </w:p>
    <w:sectPr>
      <w:headerReference r:id="rId11" w:type="default"/>
      <w:footerReference r:id="rId12" w:type="default"/>
      <w:pgSz w:w="11906" w:h="16838"/>
      <w:pgMar w:top="1928" w:right="1134" w:bottom="1134" w:left="1134" w:header="1418" w:footer="1134" w:gutter="284"/>
      <w:pgNumType w:start="1"/>
      <w:cols w:space="425" w:num="1"/>
      <w:formProt w:val="0"/>
      <w:docGrid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52"/>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AD9B32">
    <w:pPr>
      <w:pStyle w:val="1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958CA7">
    <w:pPr>
      <w:pStyle w:val="17"/>
    </w:pPr>
    <w:r>
      <w:fldChar w:fldCharType="begin"/>
    </w:r>
    <w:r>
      <w:instrText xml:space="preserve">PAGE   \* MERGEFORMAT</w:instrText>
    </w:r>
    <w:r>
      <w:fldChar w:fldCharType="separate"/>
    </w:r>
    <w:r>
      <w:rPr>
        <w:lang w:val="zh-CN"/>
      </w:rPr>
      <w:t>2</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996840">
    <w:pPr>
      <w:pStyle w:val="17"/>
      <w:ind w:right="720"/>
      <w:jc w:val="both"/>
      <w:rPr>
        <w:sz w:val="2"/>
        <w:szCs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E648E4">
    <w:pPr>
      <w:pStyle w:val="52"/>
    </w:pPr>
    <w:r>
      <w:fldChar w:fldCharType="begin"/>
    </w:r>
    <w:r>
      <w:instrText xml:space="preserve">PAGE   \* MERGEFORMAT</w:instrText>
    </w:r>
    <w:r>
      <w:fldChar w:fldCharType="separate"/>
    </w:r>
    <w:r>
      <w:rPr>
        <w:lang w:val="zh-CN"/>
      </w:rPr>
      <w:t>1</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D3DE66">
    <w:pPr>
      <w:pStyle w:val="18"/>
      <w:wordWrap w:val="0"/>
      <w:jc w:val="right"/>
      <w:rPr>
        <w:rFonts w:hint="eastAsia" w:ascii="黑体" w:hAnsi="黑体" w:eastAsia="黑体"/>
      </w:rPr>
    </w:pPr>
    <w:r>
      <w:rPr>
        <w:rFonts w:ascii="黑体" w:hAnsi="黑体" w:eastAsia="黑体"/>
      </w:rPr>
      <w:t>Q/LB.</w:t>
    </w:r>
    <w:r>
      <w:rPr>
        <w:rFonts w:hint="eastAsia" w:ascii="黑体" w:hAnsi="黑体" w:eastAsia="黑体"/>
      </w:rPr>
      <w:t>□</w:t>
    </w:r>
    <w:r>
      <w:rPr>
        <w:rFonts w:ascii="黑体" w:hAnsi="黑体" w:eastAsia="黑体"/>
      </w:rPr>
      <w:t>XXXXX-XXXX</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25C7CF">
    <w:pPr>
      <w:pStyle w:val="18"/>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128F51">
    <w:pPr>
      <w:pStyle w:val="18"/>
      <w:jc w:val="both"/>
      <w:rPr>
        <w:sz w:val="2"/>
        <w:szCs w:val="2"/>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9B6358">
    <w:pPr>
      <w:pStyle w:val="61"/>
      <w:rPr>
        <w:rFonts w:hint="eastAsia"/>
      </w:rPr>
    </w:pPr>
    <w:r>
      <w:fldChar w:fldCharType="begin"/>
    </w:r>
    <w:r>
      <w:instrText xml:space="preserve"> STYLEREF  标准文件_文件编号  \* MERGEFORMAT </w:instrText>
    </w:r>
    <w:r>
      <w:fldChar w:fldCharType="separate"/>
    </w:r>
    <w:r>
      <w:t>T/CRACM XXXX—XXXX</w:t>
    </w:r>
    <w: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2837933"/>
    <w:multiLevelType w:val="multilevel"/>
    <w:tmpl w:val="02837933"/>
    <w:lvl w:ilvl="0" w:tentative="0">
      <w:start w:val="1"/>
      <w:numFmt w:val="decimal"/>
      <w:pStyle w:val="64"/>
      <w:lvlText w:val="[%1]"/>
      <w:lvlJc w:val="left"/>
      <w:pPr>
        <w:tabs>
          <w:tab w:val="left" w:pos="1646"/>
        </w:tabs>
        <w:ind w:left="1646" w:hanging="648"/>
      </w:pPr>
    </w:lvl>
    <w:lvl w:ilvl="1" w:tentative="0">
      <w:start w:val="1"/>
      <w:numFmt w:val="lowerLetter"/>
      <w:lvlText w:val="%2)"/>
      <w:lvlJc w:val="left"/>
      <w:pPr>
        <w:tabs>
          <w:tab w:val="left" w:pos="1838"/>
        </w:tabs>
        <w:ind w:left="1838" w:hanging="420"/>
      </w:pPr>
    </w:lvl>
    <w:lvl w:ilvl="2" w:tentative="0">
      <w:start w:val="1"/>
      <w:numFmt w:val="lowerRoman"/>
      <w:lvlText w:val="%3."/>
      <w:lvlJc w:val="right"/>
      <w:pPr>
        <w:tabs>
          <w:tab w:val="left" w:pos="2258"/>
        </w:tabs>
        <w:ind w:left="2258" w:hanging="420"/>
      </w:pPr>
    </w:lvl>
    <w:lvl w:ilvl="3" w:tentative="0">
      <w:start w:val="1"/>
      <w:numFmt w:val="decimal"/>
      <w:lvlText w:val="%4."/>
      <w:lvlJc w:val="left"/>
      <w:pPr>
        <w:tabs>
          <w:tab w:val="left" w:pos="2678"/>
        </w:tabs>
        <w:ind w:left="2678" w:hanging="420"/>
      </w:pPr>
    </w:lvl>
    <w:lvl w:ilvl="4" w:tentative="0">
      <w:start w:val="1"/>
      <w:numFmt w:val="lowerLetter"/>
      <w:lvlText w:val="%5)"/>
      <w:lvlJc w:val="left"/>
      <w:pPr>
        <w:tabs>
          <w:tab w:val="left" w:pos="3098"/>
        </w:tabs>
        <w:ind w:left="3098" w:hanging="420"/>
      </w:pPr>
    </w:lvl>
    <w:lvl w:ilvl="5" w:tentative="0">
      <w:start w:val="1"/>
      <w:numFmt w:val="lowerRoman"/>
      <w:lvlText w:val="%6."/>
      <w:lvlJc w:val="right"/>
      <w:pPr>
        <w:tabs>
          <w:tab w:val="left" w:pos="3518"/>
        </w:tabs>
        <w:ind w:left="3518" w:hanging="420"/>
      </w:pPr>
    </w:lvl>
    <w:lvl w:ilvl="6" w:tentative="0">
      <w:start w:val="1"/>
      <w:numFmt w:val="decimal"/>
      <w:lvlText w:val="%7."/>
      <w:lvlJc w:val="left"/>
      <w:pPr>
        <w:tabs>
          <w:tab w:val="left" w:pos="3938"/>
        </w:tabs>
        <w:ind w:left="3938" w:hanging="420"/>
      </w:pPr>
    </w:lvl>
    <w:lvl w:ilvl="7" w:tentative="0">
      <w:start w:val="1"/>
      <w:numFmt w:val="lowerLetter"/>
      <w:lvlText w:val="%8)"/>
      <w:lvlJc w:val="left"/>
      <w:pPr>
        <w:tabs>
          <w:tab w:val="left" w:pos="4358"/>
        </w:tabs>
        <w:ind w:left="4358" w:hanging="420"/>
      </w:pPr>
    </w:lvl>
    <w:lvl w:ilvl="8" w:tentative="0">
      <w:start w:val="1"/>
      <w:numFmt w:val="lowerRoman"/>
      <w:lvlText w:val="%9."/>
      <w:lvlJc w:val="right"/>
      <w:pPr>
        <w:tabs>
          <w:tab w:val="left" w:pos="4778"/>
        </w:tabs>
        <w:ind w:left="4778" w:hanging="420"/>
      </w:pPr>
    </w:lvl>
  </w:abstractNum>
  <w:abstractNum w:abstractNumId="1">
    <w:nsid w:val="040A15CD"/>
    <w:multiLevelType w:val="multilevel"/>
    <w:tmpl w:val="040A15CD"/>
    <w:lvl w:ilvl="0" w:tentative="0">
      <w:start w:val="1"/>
      <w:numFmt w:val="none"/>
      <w:suff w:val="nothing"/>
      <w:lvlText w:val="　"/>
      <w:lvlJc w:val="left"/>
      <w:pPr>
        <w:ind w:left="0" w:firstLine="0"/>
      </w:pPr>
    </w:lvl>
    <w:lvl w:ilvl="1" w:tentative="0">
      <w:start w:val="1"/>
      <w:numFmt w:val="decimal"/>
      <w:isLgl/>
      <w:suff w:val="nothing"/>
      <w:lvlText w:val="%2　"/>
      <w:lvlJc w:val="left"/>
      <w:pPr>
        <w:ind w:left="0" w:firstLine="0"/>
      </w:pPr>
    </w:lvl>
    <w:lvl w:ilvl="2" w:tentative="0">
      <w:start w:val="1"/>
      <w:numFmt w:val="decimal"/>
      <w:pStyle w:val="159"/>
      <w:suff w:val="nothing"/>
      <w:lvlText w:val="%1%2.%3　"/>
      <w:lvlJc w:val="left"/>
      <w:pPr>
        <w:ind w:left="0" w:firstLine="0"/>
      </w:pPr>
    </w:lvl>
    <w:lvl w:ilvl="3" w:tentative="0">
      <w:start w:val="1"/>
      <w:numFmt w:val="decimal"/>
      <w:pStyle w:val="118"/>
      <w:suff w:val="nothing"/>
      <w:lvlText w:val="%1%2.%3.%4　"/>
      <w:lvlJc w:val="left"/>
      <w:pPr>
        <w:ind w:left="0" w:firstLine="0"/>
      </w:pPr>
    </w:lvl>
    <w:lvl w:ilvl="4" w:tentative="0">
      <w:start w:val="1"/>
      <w:numFmt w:val="decimal"/>
      <w:pStyle w:val="153"/>
      <w:suff w:val="nothing"/>
      <w:lvlText w:val="%1%2.%3.%4.%5　"/>
      <w:lvlJc w:val="left"/>
      <w:pPr>
        <w:ind w:left="0" w:firstLine="0"/>
      </w:pPr>
    </w:lvl>
    <w:lvl w:ilvl="5" w:tentative="0">
      <w:start w:val="1"/>
      <w:numFmt w:val="decimal"/>
      <w:pStyle w:val="155"/>
      <w:suff w:val="nothing"/>
      <w:lvlText w:val="%1%2.%3.%4.%5.%6　"/>
      <w:lvlJc w:val="left"/>
      <w:pPr>
        <w:ind w:left="0" w:firstLine="0"/>
      </w:pPr>
    </w:lvl>
    <w:lvl w:ilvl="6" w:tentative="0">
      <w:start w:val="1"/>
      <w:numFmt w:val="decimal"/>
      <w:pStyle w:val="158"/>
      <w:suff w:val="nothing"/>
      <w:lvlText w:val="%1%2.%3.%4.%5.%6.%7　"/>
      <w:lvlJc w:val="left"/>
      <w:pPr>
        <w:ind w:left="0" w:firstLine="0"/>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2">
    <w:nsid w:val="079102AD"/>
    <w:multiLevelType w:val="multilevel"/>
    <w:tmpl w:val="079102AD"/>
    <w:lvl w:ilvl="0" w:tentative="0">
      <w:start w:val="1"/>
      <w:numFmt w:val="decimal"/>
      <w:pStyle w:val="180"/>
      <w:suff w:val="nothing"/>
      <w:lvlText w:val="注%1："/>
      <w:lvlJc w:val="left"/>
      <w:pPr>
        <w:ind w:left="811" w:hanging="448"/>
      </w:pPr>
      <w:rPr>
        <w:rFonts w:hint="eastAsia" w:ascii="黑体" w:eastAsia="黑体"/>
        <w:b w:val="0"/>
        <w:i w:val="0"/>
        <w:sz w:val="18"/>
      </w:rPr>
    </w:lvl>
    <w:lvl w:ilvl="1" w:tentative="0">
      <w:start w:val="1"/>
      <w:numFmt w:val="lowerLetter"/>
      <w:lvlText w:val="%2)"/>
      <w:lvlJc w:val="left"/>
      <w:pPr>
        <w:tabs>
          <w:tab w:val="left" w:pos="0"/>
        </w:tabs>
        <w:ind w:left="992" w:hanging="629"/>
      </w:pPr>
      <w:rPr>
        <w:rFonts w:hint="eastAsia"/>
      </w:rPr>
    </w:lvl>
    <w:lvl w:ilvl="2" w:tentative="0">
      <w:start w:val="1"/>
      <w:numFmt w:val="lowerRoman"/>
      <w:lvlText w:val="%3."/>
      <w:lvlJc w:val="right"/>
      <w:pPr>
        <w:tabs>
          <w:tab w:val="left" w:pos="0"/>
        </w:tabs>
        <w:ind w:left="992" w:hanging="629"/>
      </w:pPr>
      <w:rPr>
        <w:rFonts w:hint="eastAsia"/>
      </w:rPr>
    </w:lvl>
    <w:lvl w:ilvl="3" w:tentative="0">
      <w:start w:val="1"/>
      <w:numFmt w:val="decimal"/>
      <w:lvlText w:val="%4."/>
      <w:lvlJc w:val="left"/>
      <w:pPr>
        <w:tabs>
          <w:tab w:val="left" w:pos="0"/>
        </w:tabs>
        <w:ind w:left="992" w:hanging="629"/>
      </w:pPr>
      <w:rPr>
        <w:rFonts w:hint="eastAsia"/>
      </w:rPr>
    </w:lvl>
    <w:lvl w:ilvl="4" w:tentative="0">
      <w:start w:val="1"/>
      <w:numFmt w:val="lowerLetter"/>
      <w:lvlText w:val="%5)"/>
      <w:lvlJc w:val="left"/>
      <w:pPr>
        <w:tabs>
          <w:tab w:val="left" w:pos="0"/>
        </w:tabs>
        <w:ind w:left="992" w:hanging="629"/>
      </w:pPr>
      <w:rPr>
        <w:rFonts w:hint="eastAsia"/>
      </w:rPr>
    </w:lvl>
    <w:lvl w:ilvl="5" w:tentative="0">
      <w:start w:val="1"/>
      <w:numFmt w:val="lowerRoman"/>
      <w:lvlText w:val="%6."/>
      <w:lvlJc w:val="right"/>
      <w:pPr>
        <w:tabs>
          <w:tab w:val="left" w:pos="0"/>
        </w:tabs>
        <w:ind w:left="992" w:hanging="629"/>
      </w:pPr>
      <w:rPr>
        <w:rFonts w:hint="eastAsia"/>
      </w:rPr>
    </w:lvl>
    <w:lvl w:ilvl="6" w:tentative="0">
      <w:start w:val="1"/>
      <w:numFmt w:val="decimal"/>
      <w:lvlText w:val="%7."/>
      <w:lvlJc w:val="left"/>
      <w:pPr>
        <w:tabs>
          <w:tab w:val="left" w:pos="0"/>
        </w:tabs>
        <w:ind w:left="992" w:hanging="629"/>
      </w:pPr>
      <w:rPr>
        <w:rFonts w:hint="eastAsia"/>
      </w:rPr>
    </w:lvl>
    <w:lvl w:ilvl="7" w:tentative="0">
      <w:start w:val="1"/>
      <w:numFmt w:val="lowerLetter"/>
      <w:lvlText w:val="%8)"/>
      <w:lvlJc w:val="left"/>
      <w:pPr>
        <w:tabs>
          <w:tab w:val="left" w:pos="0"/>
        </w:tabs>
        <w:ind w:left="992" w:hanging="629"/>
      </w:pPr>
      <w:rPr>
        <w:rFonts w:hint="eastAsia"/>
      </w:rPr>
    </w:lvl>
    <w:lvl w:ilvl="8" w:tentative="0">
      <w:start w:val="1"/>
      <w:numFmt w:val="lowerRoman"/>
      <w:lvlText w:val="%9."/>
      <w:lvlJc w:val="right"/>
      <w:pPr>
        <w:tabs>
          <w:tab w:val="left" w:pos="0"/>
        </w:tabs>
        <w:ind w:left="992" w:hanging="629"/>
      </w:pPr>
      <w:rPr>
        <w:rFonts w:hint="eastAsia"/>
      </w:rPr>
    </w:lvl>
  </w:abstractNum>
  <w:abstractNum w:abstractNumId="3">
    <w:nsid w:val="07ED3FEA"/>
    <w:multiLevelType w:val="multilevel"/>
    <w:tmpl w:val="07ED3FEA"/>
    <w:lvl w:ilvl="0" w:tentative="0">
      <w:start w:val="1"/>
      <w:numFmt w:val="none"/>
      <w:pStyle w:val="89"/>
      <w:lvlText w:val="%1"/>
      <w:lvlJc w:val="left"/>
      <w:pPr>
        <w:ind w:left="425" w:hanging="425"/>
      </w:pPr>
      <w:rPr>
        <w:rFonts w:hint="eastAsia"/>
      </w:rPr>
    </w:lvl>
    <w:lvl w:ilvl="1" w:tentative="0">
      <w:start w:val="1"/>
      <w:numFmt w:val="decimal"/>
      <w:pStyle w:val="200"/>
      <w:suff w:val="nothing"/>
      <w:lvlText w:val="%10.%2 "/>
      <w:lvlJc w:val="left"/>
      <w:pPr>
        <w:ind w:left="0" w:firstLine="0"/>
      </w:pPr>
      <w:rPr>
        <w:rFonts w:hint="eastAsia" w:ascii="黑体" w:eastAsia="黑体" w:hAnsiTheme="minorHAnsi"/>
        <w:b w:val="0"/>
        <w:i w:val="0"/>
        <w:sz w:val="21"/>
      </w:rPr>
    </w:lvl>
    <w:lvl w:ilvl="2" w:tentative="0">
      <w:start w:val="1"/>
      <w:numFmt w:val="decimal"/>
      <w:pStyle w:val="201"/>
      <w:suff w:val="nothing"/>
      <w:lvlText w:val="%10.%2.%3 "/>
      <w:lvlJc w:val="left"/>
      <w:pPr>
        <w:ind w:left="0" w:firstLine="0"/>
      </w:pPr>
      <w:rPr>
        <w:rFonts w:hint="eastAsia" w:ascii="黑体" w:eastAsia="黑体" w:hAnsiTheme="minorHAnsi"/>
        <w:b w:val="0"/>
        <w:i w:val="0"/>
        <w:sz w:val="21"/>
      </w:rPr>
    </w:lvl>
    <w:lvl w:ilvl="3" w:tentative="0">
      <w:start w:val="1"/>
      <w:numFmt w:val="decimal"/>
      <w:pStyle w:val="202"/>
      <w:suff w:val="nothing"/>
      <w:lvlText w:val="%10.%2.%3.%4 "/>
      <w:lvlJc w:val="left"/>
      <w:pPr>
        <w:ind w:left="0" w:firstLine="0"/>
      </w:pPr>
      <w:rPr>
        <w:rFonts w:hint="eastAsia" w:ascii="黑体" w:eastAsia="黑体" w:hAnsiTheme="minorHAnsi"/>
        <w:b w:val="0"/>
        <w:i w:val="0"/>
        <w:sz w:val="21"/>
      </w:rPr>
    </w:lvl>
    <w:lvl w:ilvl="4" w:tentative="0">
      <w:start w:val="1"/>
      <w:numFmt w:val="decimal"/>
      <w:pStyle w:val="203"/>
      <w:suff w:val="nothing"/>
      <w:lvlText w:val="%10.%2.%3.%4.%5 "/>
      <w:lvlJc w:val="left"/>
      <w:pPr>
        <w:ind w:left="0" w:firstLine="0"/>
      </w:pPr>
      <w:rPr>
        <w:rFonts w:hint="eastAsia" w:ascii="黑体" w:eastAsia="黑体" w:hAnsiTheme="minorHAnsi"/>
        <w:b w:val="0"/>
        <w:i w:val="0"/>
        <w:sz w:val="21"/>
      </w:rPr>
    </w:lvl>
    <w:lvl w:ilvl="5" w:tentative="0">
      <w:start w:val="1"/>
      <w:numFmt w:val="decimal"/>
      <w:pStyle w:val="204"/>
      <w:suff w:val="nothing"/>
      <w:lvlText w:val="%10.%2.%3.%4.%5.%6 "/>
      <w:lvlJc w:val="left"/>
      <w:pPr>
        <w:ind w:left="0" w:firstLine="0"/>
      </w:pPr>
      <w:rPr>
        <w:rFonts w:hint="eastAsia" w:ascii="黑体" w:eastAsia="黑体" w:hAnsiTheme="minorHAnsi"/>
        <w:b w:val="0"/>
        <w:i w:val="0"/>
        <w:sz w:val="21"/>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4">
    <w:nsid w:val="0AE367E9"/>
    <w:multiLevelType w:val="multilevel"/>
    <w:tmpl w:val="0AE367E9"/>
    <w:lvl w:ilvl="0" w:tentative="0">
      <w:start w:val="1"/>
      <w:numFmt w:val="none"/>
      <w:pStyle w:val="181"/>
      <w:suff w:val="nothing"/>
      <w:lvlText w:val="%1示例："/>
      <w:lvlJc w:val="left"/>
      <w:pPr>
        <w:ind w:left="0" w:firstLine="363"/>
      </w:pPr>
      <w:rPr>
        <w:rFonts w:hint="eastAsia" w:ascii="黑体" w:eastAsia="黑体"/>
        <w:b w:val="0"/>
        <w:i w:val="0"/>
        <w:sz w:val="18"/>
      </w:rPr>
    </w:lvl>
    <w:lvl w:ilvl="1" w:tentative="0">
      <w:start w:val="1"/>
      <w:numFmt w:val="lowerLetter"/>
      <w:lvlText w:val="%2)"/>
      <w:lvlJc w:val="left"/>
      <w:pPr>
        <w:tabs>
          <w:tab w:val="left" w:pos="363"/>
        </w:tabs>
        <w:ind w:left="0" w:firstLine="363"/>
      </w:pPr>
      <w:rPr>
        <w:rFonts w:hint="eastAsia"/>
      </w:rPr>
    </w:lvl>
    <w:lvl w:ilvl="2" w:tentative="0">
      <w:start w:val="1"/>
      <w:numFmt w:val="lowerRoman"/>
      <w:lvlText w:val="%3."/>
      <w:lvlJc w:val="right"/>
      <w:pPr>
        <w:tabs>
          <w:tab w:val="left" w:pos="363"/>
        </w:tabs>
        <w:ind w:left="0" w:firstLine="363"/>
      </w:pPr>
      <w:rPr>
        <w:rFonts w:hint="eastAsia"/>
      </w:rPr>
    </w:lvl>
    <w:lvl w:ilvl="3" w:tentative="0">
      <w:start w:val="1"/>
      <w:numFmt w:val="decimal"/>
      <w:lvlText w:val="%4."/>
      <w:lvlJc w:val="left"/>
      <w:pPr>
        <w:tabs>
          <w:tab w:val="left" w:pos="363"/>
        </w:tabs>
        <w:ind w:left="0" w:firstLine="363"/>
      </w:pPr>
      <w:rPr>
        <w:rFonts w:hint="eastAsia"/>
      </w:rPr>
    </w:lvl>
    <w:lvl w:ilvl="4" w:tentative="0">
      <w:start w:val="1"/>
      <w:numFmt w:val="lowerLetter"/>
      <w:lvlText w:val="%5)"/>
      <w:lvlJc w:val="left"/>
      <w:pPr>
        <w:tabs>
          <w:tab w:val="left" w:pos="363"/>
        </w:tabs>
        <w:ind w:left="0" w:firstLine="363"/>
      </w:pPr>
      <w:rPr>
        <w:rFonts w:hint="eastAsia"/>
      </w:rPr>
    </w:lvl>
    <w:lvl w:ilvl="5" w:tentative="0">
      <w:start w:val="1"/>
      <w:numFmt w:val="lowerRoman"/>
      <w:lvlText w:val="%6."/>
      <w:lvlJc w:val="right"/>
      <w:pPr>
        <w:tabs>
          <w:tab w:val="left" w:pos="363"/>
        </w:tabs>
        <w:ind w:left="0" w:firstLine="363"/>
      </w:pPr>
      <w:rPr>
        <w:rFonts w:hint="eastAsia"/>
      </w:rPr>
    </w:lvl>
    <w:lvl w:ilvl="6" w:tentative="0">
      <w:start w:val="1"/>
      <w:numFmt w:val="decimal"/>
      <w:lvlText w:val="%7."/>
      <w:lvlJc w:val="left"/>
      <w:pPr>
        <w:tabs>
          <w:tab w:val="left" w:pos="363"/>
        </w:tabs>
        <w:ind w:left="0" w:firstLine="363"/>
      </w:pPr>
      <w:rPr>
        <w:rFonts w:hint="eastAsia"/>
      </w:rPr>
    </w:lvl>
    <w:lvl w:ilvl="7" w:tentative="0">
      <w:start w:val="1"/>
      <w:numFmt w:val="lowerLetter"/>
      <w:lvlText w:val="%8)"/>
      <w:lvlJc w:val="left"/>
      <w:pPr>
        <w:tabs>
          <w:tab w:val="left" w:pos="363"/>
        </w:tabs>
        <w:ind w:left="0" w:firstLine="363"/>
      </w:pPr>
      <w:rPr>
        <w:rFonts w:hint="eastAsia"/>
      </w:rPr>
    </w:lvl>
    <w:lvl w:ilvl="8" w:tentative="0">
      <w:start w:val="1"/>
      <w:numFmt w:val="lowerRoman"/>
      <w:lvlText w:val="%9."/>
      <w:lvlJc w:val="right"/>
      <w:pPr>
        <w:tabs>
          <w:tab w:val="left" w:pos="363"/>
        </w:tabs>
        <w:ind w:left="0" w:firstLine="363"/>
      </w:pPr>
      <w:rPr>
        <w:rFonts w:hint="eastAsia"/>
      </w:rPr>
    </w:lvl>
  </w:abstractNum>
  <w:abstractNum w:abstractNumId="5">
    <w:nsid w:val="0BDC1670"/>
    <w:multiLevelType w:val="multilevel"/>
    <w:tmpl w:val="0BDC1670"/>
    <w:lvl w:ilvl="0" w:tentative="0">
      <w:start w:val="1"/>
      <w:numFmt w:val="decimal"/>
      <w:pStyle w:val="67"/>
      <w:lvlText w:val="[%1]"/>
      <w:lvlJc w:val="left"/>
      <w:pPr>
        <w:ind w:left="823"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6">
    <w:nsid w:val="0D051F45"/>
    <w:multiLevelType w:val="multilevel"/>
    <w:tmpl w:val="0D051F45"/>
    <w:lvl w:ilvl="0" w:tentative="0">
      <w:start w:val="1"/>
      <w:numFmt w:val="lowerRoman"/>
      <w:pStyle w:val="169"/>
      <w:lvlText w:val="%1)"/>
      <w:lvlJc w:val="left"/>
      <w:pPr>
        <w:tabs>
          <w:tab w:val="left" w:pos="851"/>
        </w:tabs>
        <w:ind w:left="851" w:hanging="426"/>
      </w:pPr>
      <w:rPr>
        <w:rFonts w:hint="eastAsia" w:ascii="宋体" w:hAnsi="Times New Roman" w:eastAsia="宋体"/>
        <w:sz w:val="21"/>
      </w:rPr>
    </w:lvl>
    <w:lvl w:ilvl="1" w:tentative="0">
      <w:start w:val="1"/>
      <w:numFmt w:val="lowerLetter"/>
      <w:lvlText w:val="%2)"/>
      <w:lvlJc w:val="left"/>
      <w:pPr>
        <w:tabs>
          <w:tab w:val="left" w:pos="1543"/>
        </w:tabs>
        <w:ind w:left="1543" w:hanging="420"/>
      </w:pPr>
      <w:rPr>
        <w:rFonts w:hint="eastAsia"/>
      </w:rPr>
    </w:lvl>
    <w:lvl w:ilvl="2" w:tentative="0">
      <w:start w:val="1"/>
      <w:numFmt w:val="lowerRoman"/>
      <w:lvlText w:val="%3."/>
      <w:lvlJc w:val="right"/>
      <w:pPr>
        <w:tabs>
          <w:tab w:val="left" w:pos="1963"/>
        </w:tabs>
        <w:ind w:left="1963" w:hanging="420"/>
      </w:pPr>
      <w:rPr>
        <w:rFonts w:hint="eastAsia"/>
      </w:rPr>
    </w:lvl>
    <w:lvl w:ilvl="3" w:tentative="0">
      <w:start w:val="1"/>
      <w:numFmt w:val="decimal"/>
      <w:lvlText w:val="%4."/>
      <w:lvlJc w:val="left"/>
      <w:pPr>
        <w:tabs>
          <w:tab w:val="left" w:pos="2383"/>
        </w:tabs>
        <w:ind w:left="2383" w:hanging="420"/>
      </w:pPr>
      <w:rPr>
        <w:rFonts w:hint="eastAsia"/>
      </w:rPr>
    </w:lvl>
    <w:lvl w:ilvl="4" w:tentative="0">
      <w:start w:val="1"/>
      <w:numFmt w:val="lowerLetter"/>
      <w:lvlText w:val="%5)"/>
      <w:lvlJc w:val="left"/>
      <w:pPr>
        <w:tabs>
          <w:tab w:val="left" w:pos="2803"/>
        </w:tabs>
        <w:ind w:left="2803" w:hanging="420"/>
      </w:pPr>
      <w:rPr>
        <w:rFonts w:hint="eastAsia"/>
      </w:rPr>
    </w:lvl>
    <w:lvl w:ilvl="5" w:tentative="0">
      <w:start w:val="1"/>
      <w:numFmt w:val="lowerRoman"/>
      <w:lvlText w:val="%6."/>
      <w:lvlJc w:val="right"/>
      <w:pPr>
        <w:tabs>
          <w:tab w:val="left" w:pos="3223"/>
        </w:tabs>
        <w:ind w:left="3223" w:hanging="420"/>
      </w:pPr>
      <w:rPr>
        <w:rFonts w:hint="eastAsia"/>
      </w:rPr>
    </w:lvl>
    <w:lvl w:ilvl="6" w:tentative="0">
      <w:start w:val="1"/>
      <w:numFmt w:val="decimal"/>
      <w:lvlText w:val="%7."/>
      <w:lvlJc w:val="left"/>
      <w:pPr>
        <w:tabs>
          <w:tab w:val="left" w:pos="3643"/>
        </w:tabs>
        <w:ind w:left="3643" w:hanging="420"/>
      </w:pPr>
      <w:rPr>
        <w:rFonts w:hint="eastAsia"/>
      </w:rPr>
    </w:lvl>
    <w:lvl w:ilvl="7" w:tentative="0">
      <w:start w:val="1"/>
      <w:numFmt w:val="lowerLetter"/>
      <w:lvlText w:val="%8)"/>
      <w:lvlJc w:val="left"/>
      <w:pPr>
        <w:tabs>
          <w:tab w:val="left" w:pos="4063"/>
        </w:tabs>
        <w:ind w:left="4063" w:hanging="420"/>
      </w:pPr>
      <w:rPr>
        <w:rFonts w:hint="eastAsia"/>
      </w:rPr>
    </w:lvl>
    <w:lvl w:ilvl="8" w:tentative="0">
      <w:start w:val="1"/>
      <w:numFmt w:val="lowerRoman"/>
      <w:lvlText w:val="%9."/>
      <w:lvlJc w:val="right"/>
      <w:pPr>
        <w:tabs>
          <w:tab w:val="left" w:pos="4483"/>
        </w:tabs>
        <w:ind w:left="4483" w:hanging="420"/>
      </w:pPr>
      <w:rPr>
        <w:rFonts w:hint="eastAsia"/>
      </w:rPr>
    </w:lvl>
  </w:abstractNum>
  <w:abstractNum w:abstractNumId="7">
    <w:nsid w:val="1AD20F90"/>
    <w:multiLevelType w:val="multilevel"/>
    <w:tmpl w:val="1AD20F90"/>
    <w:lvl w:ilvl="0" w:tentative="0">
      <w:start w:val="1"/>
      <w:numFmt w:val="none"/>
      <w:pStyle w:val="110"/>
      <w:lvlText w:val="%1注："/>
      <w:lvlJc w:val="left"/>
      <w:pPr>
        <w:tabs>
          <w:tab w:val="left" w:pos="845"/>
        </w:tabs>
        <w:ind w:left="-102" w:firstLine="419"/>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8">
    <w:nsid w:val="1AF15012"/>
    <w:multiLevelType w:val="multilevel"/>
    <w:tmpl w:val="1AF15012"/>
    <w:lvl w:ilvl="0" w:tentative="0">
      <w:start w:val="1"/>
      <w:numFmt w:val="upperLetter"/>
      <w:pStyle w:val="85"/>
      <w:suff w:val="nothing"/>
      <w:lvlText w:val="附 录(Annex) %1"/>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9">
    <w:nsid w:val="1EAA1992"/>
    <w:multiLevelType w:val="multilevel"/>
    <w:tmpl w:val="1EAA1992"/>
    <w:lvl w:ilvl="0" w:tentative="0">
      <w:start w:val="1"/>
      <w:numFmt w:val="none"/>
      <w:pStyle w:val="92"/>
      <w:suff w:val="nothing"/>
      <w:lvlText w:val="——"/>
      <w:lvlJc w:val="left"/>
      <w:pPr>
        <w:ind w:left="794" w:hanging="397"/>
      </w:pPr>
    </w:lvl>
    <w:lvl w:ilvl="1" w:tentative="0">
      <w:start w:val="1"/>
      <w:numFmt w:val="decimal"/>
      <w:suff w:val="nothing"/>
      <w:lvlText w:val="%1.%2　"/>
      <w:lvlJc w:val="left"/>
      <w:pPr>
        <w:ind w:left="397" w:firstLine="0"/>
      </w:pPr>
    </w:lvl>
    <w:lvl w:ilvl="2" w:tentative="0">
      <w:start w:val="1"/>
      <w:numFmt w:val="decimal"/>
      <w:suff w:val="nothing"/>
      <w:lvlText w:val="%1.%2.%3　"/>
      <w:lvlJc w:val="left"/>
      <w:pPr>
        <w:ind w:left="397" w:firstLine="0"/>
      </w:pPr>
    </w:lvl>
    <w:lvl w:ilvl="3" w:tentative="0">
      <w:start w:val="1"/>
      <w:numFmt w:val="decimal"/>
      <w:suff w:val="nothing"/>
      <w:lvlText w:val="%1.%2.%3.%4　"/>
      <w:lvlJc w:val="left"/>
      <w:pPr>
        <w:ind w:left="397" w:firstLine="0"/>
      </w:pPr>
    </w:lvl>
    <w:lvl w:ilvl="4" w:tentative="0">
      <w:start w:val="1"/>
      <w:numFmt w:val="decimal"/>
      <w:suff w:val="nothing"/>
      <w:lvlText w:val="%1.%2.%3.%4.%5　"/>
      <w:lvlJc w:val="left"/>
      <w:pPr>
        <w:ind w:left="397" w:firstLine="0"/>
      </w:pPr>
    </w:lvl>
    <w:lvl w:ilvl="5" w:tentative="0">
      <w:start w:val="1"/>
      <w:numFmt w:val="decimal"/>
      <w:suff w:val="nothing"/>
      <w:lvlText w:val="%1.%2.%3.%4.%5.%6　"/>
      <w:lvlJc w:val="left"/>
      <w:pPr>
        <w:ind w:left="397" w:firstLine="0"/>
      </w:pPr>
    </w:lvl>
    <w:lvl w:ilvl="6" w:tentative="0">
      <w:start w:val="1"/>
      <w:numFmt w:val="decimal"/>
      <w:suff w:val="nothing"/>
      <w:lvlText w:val="%1.%2.%3.%4.%5.%6.%7　"/>
      <w:lvlJc w:val="left"/>
      <w:pPr>
        <w:ind w:left="397" w:firstLine="0"/>
      </w:pPr>
    </w:lvl>
    <w:lvl w:ilvl="7" w:tentative="0">
      <w:start w:val="1"/>
      <w:numFmt w:val="decimal"/>
      <w:lvlText w:val="%1.%2.%3.%4.%5.%6.%7.%8"/>
      <w:lvlJc w:val="left"/>
      <w:pPr>
        <w:tabs>
          <w:tab w:val="left" w:pos="4791"/>
        </w:tabs>
        <w:ind w:left="4791" w:hanging="1418"/>
      </w:pPr>
    </w:lvl>
    <w:lvl w:ilvl="8" w:tentative="0">
      <w:start w:val="1"/>
      <w:numFmt w:val="decimal"/>
      <w:lvlText w:val="%1.%2.%3.%4.%5.%6.%7.%8.%9"/>
      <w:lvlJc w:val="left"/>
      <w:pPr>
        <w:tabs>
          <w:tab w:val="left" w:pos="5499"/>
        </w:tabs>
        <w:ind w:left="5499" w:hanging="1700"/>
      </w:pPr>
    </w:lvl>
  </w:abstractNum>
  <w:abstractNum w:abstractNumId="10">
    <w:nsid w:val="2C5917C3"/>
    <w:multiLevelType w:val="multilevel"/>
    <w:tmpl w:val="2C5917C3"/>
    <w:lvl w:ilvl="0" w:tentative="0">
      <w:start w:val="1"/>
      <w:numFmt w:val="none"/>
      <w:pStyle w:val="132"/>
      <w:lvlText w:val="%1——"/>
      <w:lvlJc w:val="left"/>
      <w:pPr>
        <w:tabs>
          <w:tab w:val="left" w:pos="851"/>
        </w:tabs>
        <w:ind w:left="851" w:hanging="426"/>
      </w:pPr>
      <w:rPr>
        <w:rFonts w:hint="eastAsia" w:ascii="宋体" w:hAnsi="Times New Roman" w:eastAsia="宋体"/>
        <w:b w:val="0"/>
        <w:i w:val="0"/>
        <w:sz w:val="21"/>
      </w:rPr>
    </w:lvl>
    <w:lvl w:ilvl="1" w:tentative="0">
      <w:start w:val="1"/>
      <w:numFmt w:val="none"/>
      <w:pStyle w:val="187"/>
      <w:lvlText w:val=""/>
      <w:lvlJc w:val="left"/>
      <w:pPr>
        <w:ind w:left="851" w:hanging="431"/>
      </w:pPr>
      <w:rPr>
        <w:rFonts w:hint="default" w:ascii="Symbol" w:hAnsi="Symbol"/>
        <w:sz w:val="21"/>
      </w:rPr>
    </w:lvl>
    <w:lvl w:ilvl="2" w:tentative="0">
      <w:start w:val="1"/>
      <w:numFmt w:val="bullet"/>
      <w:pStyle w:val="172"/>
      <w:lvlText w:val=""/>
      <w:lvlJc w:val="left"/>
      <w:pPr>
        <w:ind w:left="851" w:hanging="426"/>
      </w:pPr>
      <w:rPr>
        <w:rFonts w:hint="default" w:ascii="Wingdings" w:hAnsi="Wingdings"/>
        <w:sz w:val="21"/>
      </w:rPr>
    </w:lvl>
    <w:lvl w:ilvl="3" w:tentative="0">
      <w:start w:val="1"/>
      <w:numFmt w:val="decimal"/>
      <w:lvlText w:val="%4."/>
      <w:lvlJc w:val="left"/>
      <w:pPr>
        <w:tabs>
          <w:tab w:val="left" w:pos="2071"/>
        </w:tabs>
        <w:ind w:left="1884" w:hanging="528"/>
      </w:pPr>
      <w:rPr>
        <w:rFonts w:hint="eastAsia"/>
      </w:rPr>
    </w:lvl>
    <w:lvl w:ilvl="4" w:tentative="0">
      <w:start w:val="1"/>
      <w:numFmt w:val="lowerLetter"/>
      <w:lvlText w:val="%5)"/>
      <w:lvlJc w:val="left"/>
      <w:pPr>
        <w:tabs>
          <w:tab w:val="left" w:pos="2383"/>
        </w:tabs>
        <w:ind w:left="2196" w:hanging="528"/>
      </w:pPr>
      <w:rPr>
        <w:rFonts w:hint="eastAsia"/>
      </w:rPr>
    </w:lvl>
    <w:lvl w:ilvl="5" w:tentative="0">
      <w:start w:val="1"/>
      <w:numFmt w:val="lowerRoman"/>
      <w:lvlText w:val="%6."/>
      <w:lvlJc w:val="right"/>
      <w:pPr>
        <w:tabs>
          <w:tab w:val="left" w:pos="2695"/>
        </w:tabs>
        <w:ind w:left="2508" w:hanging="528"/>
      </w:pPr>
      <w:rPr>
        <w:rFonts w:hint="eastAsia"/>
      </w:rPr>
    </w:lvl>
    <w:lvl w:ilvl="6" w:tentative="0">
      <w:start w:val="1"/>
      <w:numFmt w:val="decimal"/>
      <w:lvlText w:val="%7."/>
      <w:lvlJc w:val="left"/>
      <w:pPr>
        <w:tabs>
          <w:tab w:val="left" w:pos="3007"/>
        </w:tabs>
        <w:ind w:left="2820" w:hanging="528"/>
      </w:pPr>
      <w:rPr>
        <w:rFonts w:hint="eastAsia"/>
      </w:rPr>
    </w:lvl>
    <w:lvl w:ilvl="7" w:tentative="0">
      <w:start w:val="1"/>
      <w:numFmt w:val="lowerLetter"/>
      <w:lvlText w:val="%8)"/>
      <w:lvlJc w:val="left"/>
      <w:pPr>
        <w:tabs>
          <w:tab w:val="left" w:pos="3319"/>
        </w:tabs>
        <w:ind w:left="3132" w:hanging="528"/>
      </w:pPr>
      <w:rPr>
        <w:rFonts w:hint="eastAsia"/>
      </w:rPr>
    </w:lvl>
    <w:lvl w:ilvl="8" w:tentative="0">
      <w:start w:val="1"/>
      <w:numFmt w:val="lowerRoman"/>
      <w:lvlText w:val="%9."/>
      <w:lvlJc w:val="right"/>
      <w:pPr>
        <w:tabs>
          <w:tab w:val="left" w:pos="3631"/>
        </w:tabs>
        <w:ind w:left="3444" w:hanging="528"/>
      </w:pPr>
      <w:rPr>
        <w:rFonts w:hint="eastAsia"/>
      </w:rPr>
    </w:lvl>
  </w:abstractNum>
  <w:abstractNum w:abstractNumId="11">
    <w:nsid w:val="32F04FB2"/>
    <w:multiLevelType w:val="multilevel"/>
    <w:tmpl w:val="32F04FB2"/>
    <w:lvl w:ilvl="0" w:tentative="0">
      <w:start w:val="1"/>
      <w:numFmt w:val="lowerLetter"/>
      <w:pStyle w:val="101"/>
      <w:lvlText w:val="%1"/>
      <w:lvlJc w:val="left"/>
      <w:pPr>
        <w:tabs>
          <w:tab w:val="left" w:pos="539"/>
        </w:tabs>
        <w:ind w:left="539" w:hanging="119"/>
      </w:pPr>
      <w:rPr>
        <w:rFonts w:hint="eastAsia"/>
        <w:caps w:val="0"/>
        <w:strike w:val="0"/>
        <w:dstrike w:val="0"/>
        <w:vanish w:val="0"/>
        <w:vertAlign w:val="superscript"/>
      </w:rPr>
    </w:lvl>
    <w:lvl w:ilvl="1" w:tentative="0">
      <w:start w:val="1"/>
      <w:numFmt w:val="lowerLetter"/>
      <w:lvlText w:val="%2)"/>
      <w:lvlJc w:val="left"/>
      <w:pPr>
        <w:ind w:left="1040" w:hanging="420"/>
      </w:pPr>
      <w:rPr>
        <w:rFonts w:hint="eastAsia"/>
      </w:rPr>
    </w:lvl>
    <w:lvl w:ilvl="2" w:tentative="0">
      <w:start w:val="1"/>
      <w:numFmt w:val="lowerRoman"/>
      <w:lvlText w:val="%3."/>
      <w:lvlJc w:val="right"/>
      <w:pPr>
        <w:ind w:left="1460" w:hanging="420"/>
      </w:pPr>
      <w:rPr>
        <w:rFonts w:hint="eastAsia"/>
      </w:rPr>
    </w:lvl>
    <w:lvl w:ilvl="3" w:tentative="0">
      <w:start w:val="1"/>
      <w:numFmt w:val="decimal"/>
      <w:lvlText w:val="%4."/>
      <w:lvlJc w:val="left"/>
      <w:pPr>
        <w:ind w:left="1880" w:hanging="420"/>
      </w:pPr>
      <w:rPr>
        <w:rFonts w:hint="eastAsia"/>
      </w:rPr>
    </w:lvl>
    <w:lvl w:ilvl="4" w:tentative="0">
      <w:start w:val="1"/>
      <w:numFmt w:val="lowerLetter"/>
      <w:lvlText w:val="%5)"/>
      <w:lvlJc w:val="left"/>
      <w:pPr>
        <w:ind w:left="2300" w:hanging="420"/>
      </w:pPr>
      <w:rPr>
        <w:rFonts w:hint="eastAsia"/>
      </w:rPr>
    </w:lvl>
    <w:lvl w:ilvl="5" w:tentative="0">
      <w:start w:val="1"/>
      <w:numFmt w:val="lowerRoman"/>
      <w:lvlText w:val="%6."/>
      <w:lvlJc w:val="right"/>
      <w:pPr>
        <w:ind w:left="2720" w:hanging="420"/>
      </w:pPr>
      <w:rPr>
        <w:rFonts w:hint="eastAsia"/>
      </w:rPr>
    </w:lvl>
    <w:lvl w:ilvl="6" w:tentative="0">
      <w:start w:val="1"/>
      <w:numFmt w:val="decimal"/>
      <w:lvlText w:val="%7."/>
      <w:lvlJc w:val="left"/>
      <w:pPr>
        <w:ind w:left="3140" w:hanging="420"/>
      </w:pPr>
      <w:rPr>
        <w:rFonts w:hint="eastAsia"/>
      </w:rPr>
    </w:lvl>
    <w:lvl w:ilvl="7" w:tentative="0">
      <w:start w:val="1"/>
      <w:numFmt w:val="lowerLetter"/>
      <w:lvlText w:val="%8)"/>
      <w:lvlJc w:val="left"/>
      <w:pPr>
        <w:ind w:left="3560" w:hanging="420"/>
      </w:pPr>
      <w:rPr>
        <w:rFonts w:hint="eastAsia"/>
      </w:rPr>
    </w:lvl>
    <w:lvl w:ilvl="8" w:tentative="0">
      <w:start w:val="1"/>
      <w:numFmt w:val="lowerRoman"/>
      <w:lvlText w:val="%9."/>
      <w:lvlJc w:val="right"/>
      <w:pPr>
        <w:ind w:left="3980" w:hanging="420"/>
      </w:pPr>
      <w:rPr>
        <w:rFonts w:hint="eastAsia"/>
      </w:rPr>
    </w:lvl>
  </w:abstractNum>
  <w:abstractNum w:abstractNumId="12">
    <w:nsid w:val="44C50F90"/>
    <w:multiLevelType w:val="multilevel"/>
    <w:tmpl w:val="44C50F90"/>
    <w:lvl w:ilvl="0" w:tentative="0">
      <w:start w:val="1"/>
      <w:numFmt w:val="lowerLetter"/>
      <w:pStyle w:val="174"/>
      <w:lvlText w:val="%1)"/>
      <w:lvlJc w:val="left"/>
      <w:pPr>
        <w:tabs>
          <w:tab w:val="left" w:pos="851"/>
        </w:tabs>
        <w:ind w:left="851" w:hanging="426"/>
      </w:pPr>
      <w:rPr>
        <w:rFonts w:hint="eastAsia" w:ascii="宋体" w:hAnsi="Times New Roman" w:eastAsia="宋体"/>
        <w:sz w:val="21"/>
      </w:rPr>
    </w:lvl>
    <w:lvl w:ilvl="1" w:tentative="0">
      <w:start w:val="1"/>
      <w:numFmt w:val="decimal"/>
      <w:pStyle w:val="109"/>
      <w:lvlText w:val="%2)"/>
      <w:lvlJc w:val="left"/>
      <w:pPr>
        <w:tabs>
          <w:tab w:val="left" w:pos="1276"/>
        </w:tabs>
        <w:ind w:left="1276" w:hanging="425"/>
      </w:pPr>
      <w:rPr>
        <w:rFonts w:hint="eastAsia" w:ascii="宋体" w:hAnsi="Times New Roman" w:eastAsia="宋体"/>
        <w:sz w:val="21"/>
      </w:rPr>
    </w:lvl>
    <w:lvl w:ilvl="2" w:tentative="0">
      <w:start w:val="1"/>
      <w:numFmt w:val="decimal"/>
      <w:pStyle w:val="117"/>
      <w:lvlText w:val="(%3)"/>
      <w:lvlJc w:val="left"/>
      <w:pPr>
        <w:ind w:left="1701" w:hanging="425"/>
      </w:pPr>
      <w:rPr>
        <w:rFonts w:hint="eastAsia" w:ascii="宋体" w:hAnsi="Times New Roman" w:eastAsia="宋体"/>
        <w:sz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13">
    <w:nsid w:val="48802D1C"/>
    <w:multiLevelType w:val="multilevel"/>
    <w:tmpl w:val="48802D1C"/>
    <w:lvl w:ilvl="0" w:tentative="0">
      <w:start w:val="1"/>
      <w:numFmt w:val="upperLetter"/>
      <w:pStyle w:val="198"/>
      <w:lvlText w:val="%1"/>
      <w:lvlJc w:val="left"/>
      <w:pPr>
        <w:ind w:left="420" w:hanging="420"/>
      </w:pPr>
      <w:rPr>
        <w:rFonts w:hint="eastAsia"/>
      </w:rPr>
    </w:lvl>
    <w:lvl w:ilvl="1" w:tentative="0">
      <w:start w:val="1"/>
      <w:numFmt w:val="decimal"/>
      <w:pStyle w:val="83"/>
      <w:suff w:val="space"/>
      <w:lvlText w:val="图%1.%2"/>
      <w:lvlJc w:val="center"/>
      <w:pPr>
        <w:ind w:left="0" w:firstLine="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14">
    <w:nsid w:val="4B733A5F"/>
    <w:multiLevelType w:val="multilevel"/>
    <w:tmpl w:val="4B733A5F"/>
    <w:lvl w:ilvl="0" w:tentative="0">
      <w:start w:val="1"/>
      <w:numFmt w:val="decimal"/>
      <w:pStyle w:val="183"/>
      <w:suff w:val="nothing"/>
      <w:lvlText w:val="示例%1："/>
      <w:lvlJc w:val="left"/>
      <w:pPr>
        <w:ind w:left="0" w:firstLine="363"/>
      </w:pPr>
      <w:rPr>
        <w:rFonts w:hint="eastAsia" w:ascii="黑体" w:eastAsia="黑体"/>
        <w:b w:val="0"/>
        <w:i w:val="0"/>
        <w:sz w:val="18"/>
      </w:rPr>
    </w:lvl>
    <w:lvl w:ilvl="1" w:tentative="0">
      <w:start w:val="1"/>
      <w:numFmt w:val="none"/>
      <w:suff w:val="space"/>
      <w:lvlText w:val=""/>
      <w:lvlJc w:val="left"/>
      <w:pPr>
        <w:ind w:left="0" w:firstLine="0"/>
      </w:pPr>
      <w:rPr>
        <w:rFonts w:hint="eastAsia"/>
      </w:rPr>
    </w:lvl>
    <w:lvl w:ilvl="2" w:tentative="0">
      <w:start w:val="1"/>
      <w:numFmt w:val="decimal"/>
      <w:suff w:val="space"/>
      <w:lvlText w:val="2.2.%3"/>
      <w:lvlJc w:val="left"/>
      <w:pPr>
        <w:ind w:left="0" w:firstLine="0"/>
      </w:pPr>
      <w:rPr>
        <w:rFonts w:hint="eastAsia"/>
      </w:rPr>
    </w:lvl>
    <w:lvl w:ilvl="3" w:tentative="0">
      <w:start w:val="1"/>
      <w:numFmt w:val="decimal"/>
      <w:lvlText w:val="%4."/>
      <w:lvlJc w:val="left"/>
      <w:pPr>
        <w:tabs>
          <w:tab w:val="left" w:pos="0"/>
        </w:tabs>
        <w:ind w:left="992" w:hanging="629"/>
      </w:pPr>
      <w:rPr>
        <w:rFonts w:hint="eastAsia"/>
      </w:rPr>
    </w:lvl>
    <w:lvl w:ilvl="4" w:tentative="0">
      <w:start w:val="1"/>
      <w:numFmt w:val="lowerLetter"/>
      <w:lvlText w:val="%5)"/>
      <w:lvlJc w:val="left"/>
      <w:pPr>
        <w:tabs>
          <w:tab w:val="left" w:pos="0"/>
        </w:tabs>
        <w:ind w:left="992" w:hanging="629"/>
      </w:pPr>
      <w:rPr>
        <w:rFonts w:hint="eastAsia"/>
      </w:rPr>
    </w:lvl>
    <w:lvl w:ilvl="5" w:tentative="0">
      <w:start w:val="1"/>
      <w:numFmt w:val="lowerRoman"/>
      <w:lvlText w:val="%6."/>
      <w:lvlJc w:val="right"/>
      <w:pPr>
        <w:tabs>
          <w:tab w:val="left" w:pos="0"/>
        </w:tabs>
        <w:ind w:left="992" w:hanging="629"/>
      </w:pPr>
      <w:rPr>
        <w:rFonts w:hint="eastAsia"/>
      </w:rPr>
    </w:lvl>
    <w:lvl w:ilvl="6" w:tentative="0">
      <w:start w:val="1"/>
      <w:numFmt w:val="decimal"/>
      <w:lvlText w:val="%7."/>
      <w:lvlJc w:val="left"/>
      <w:pPr>
        <w:tabs>
          <w:tab w:val="left" w:pos="0"/>
        </w:tabs>
        <w:ind w:left="992" w:hanging="629"/>
      </w:pPr>
      <w:rPr>
        <w:rFonts w:hint="eastAsia"/>
      </w:rPr>
    </w:lvl>
    <w:lvl w:ilvl="7" w:tentative="0">
      <w:start w:val="1"/>
      <w:numFmt w:val="lowerLetter"/>
      <w:lvlText w:val="%8)"/>
      <w:lvlJc w:val="left"/>
      <w:pPr>
        <w:tabs>
          <w:tab w:val="left" w:pos="0"/>
        </w:tabs>
        <w:ind w:left="992" w:hanging="629"/>
      </w:pPr>
      <w:rPr>
        <w:rFonts w:hint="eastAsia"/>
      </w:rPr>
    </w:lvl>
    <w:lvl w:ilvl="8" w:tentative="0">
      <w:start w:val="1"/>
      <w:numFmt w:val="lowerRoman"/>
      <w:lvlText w:val="%9."/>
      <w:lvlJc w:val="right"/>
      <w:pPr>
        <w:tabs>
          <w:tab w:val="left" w:pos="0"/>
        </w:tabs>
        <w:ind w:left="992" w:hanging="629"/>
      </w:pPr>
      <w:rPr>
        <w:rFonts w:hint="eastAsia"/>
      </w:rPr>
    </w:lvl>
  </w:abstractNum>
  <w:abstractNum w:abstractNumId="15">
    <w:nsid w:val="4E5D0534"/>
    <w:multiLevelType w:val="multilevel"/>
    <w:tmpl w:val="4E5D0534"/>
    <w:lvl w:ilvl="0" w:tentative="0">
      <w:start w:val="1"/>
      <w:numFmt w:val="decimal"/>
      <w:pStyle w:val="116"/>
      <w:suff w:val="nothing"/>
      <w:lvlText w:val="Figure %1　"/>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48"/>
        </w:tabs>
        <w:ind w:left="3969" w:hanging="1418"/>
      </w:pPr>
    </w:lvl>
    <w:lvl w:ilvl="8" w:tentative="0">
      <w:start w:val="1"/>
      <w:numFmt w:val="decimal"/>
      <w:lvlText w:val="%1.%2.%3.%4.%5.%6.%7.%8.%9"/>
      <w:lvlJc w:val="left"/>
      <w:pPr>
        <w:tabs>
          <w:tab w:val="left" w:pos="4774"/>
        </w:tabs>
        <w:ind w:left="4677" w:hanging="1701"/>
      </w:pPr>
    </w:lvl>
  </w:abstractNum>
  <w:abstractNum w:abstractNumId="16">
    <w:nsid w:val="54632751"/>
    <w:multiLevelType w:val="multilevel"/>
    <w:tmpl w:val="54632751"/>
    <w:lvl w:ilvl="0" w:tentative="0">
      <w:start w:val="1"/>
      <w:numFmt w:val="none"/>
      <w:pStyle w:val="93"/>
      <w:suff w:val="nothing"/>
      <w:lvlText w:val="——"/>
      <w:lvlJc w:val="left"/>
      <w:pPr>
        <w:ind w:left="1588" w:firstLine="0"/>
      </w:pPr>
    </w:lvl>
    <w:lvl w:ilvl="1" w:tentative="0">
      <w:start w:val="1"/>
      <w:numFmt w:val="decimal"/>
      <w:suff w:val="nothing"/>
      <w:lvlText w:val="%1.%2　"/>
      <w:lvlJc w:val="left"/>
      <w:pPr>
        <w:ind w:left="1588" w:firstLine="0"/>
      </w:pPr>
    </w:lvl>
    <w:lvl w:ilvl="2" w:tentative="0">
      <w:start w:val="1"/>
      <w:numFmt w:val="decimal"/>
      <w:suff w:val="nothing"/>
      <w:lvlText w:val="%1.%2.%3　"/>
      <w:lvlJc w:val="left"/>
      <w:pPr>
        <w:ind w:left="1588" w:firstLine="0"/>
      </w:pPr>
    </w:lvl>
    <w:lvl w:ilvl="3" w:tentative="0">
      <w:start w:val="1"/>
      <w:numFmt w:val="decimal"/>
      <w:suff w:val="nothing"/>
      <w:lvlText w:val="%1.%2.%3.%4　"/>
      <w:lvlJc w:val="left"/>
      <w:pPr>
        <w:ind w:left="1588" w:firstLine="0"/>
      </w:pPr>
    </w:lvl>
    <w:lvl w:ilvl="4" w:tentative="0">
      <w:start w:val="1"/>
      <w:numFmt w:val="decimal"/>
      <w:suff w:val="nothing"/>
      <w:lvlText w:val="%1.%2.%3.%4.%5　"/>
      <w:lvlJc w:val="left"/>
      <w:pPr>
        <w:ind w:left="1588" w:firstLine="0"/>
      </w:pPr>
    </w:lvl>
    <w:lvl w:ilvl="5" w:tentative="0">
      <w:start w:val="1"/>
      <w:numFmt w:val="decimal"/>
      <w:suff w:val="nothing"/>
      <w:lvlText w:val="%1.%2.%3.%4.%5.%6　"/>
      <w:lvlJc w:val="left"/>
      <w:pPr>
        <w:ind w:left="1588" w:firstLine="0"/>
      </w:pPr>
    </w:lvl>
    <w:lvl w:ilvl="6" w:tentative="0">
      <w:start w:val="1"/>
      <w:numFmt w:val="decimal"/>
      <w:suff w:val="nothing"/>
      <w:lvlText w:val="%1.%2.%3.%4.%5.%6.%7　"/>
      <w:lvlJc w:val="left"/>
      <w:pPr>
        <w:ind w:left="1588" w:firstLine="0"/>
      </w:pPr>
    </w:lvl>
    <w:lvl w:ilvl="7" w:tentative="0">
      <w:start w:val="1"/>
      <w:numFmt w:val="decimal"/>
      <w:lvlText w:val="%1.%2.%3.%4.%5.%6.%7.%8"/>
      <w:lvlJc w:val="left"/>
      <w:pPr>
        <w:tabs>
          <w:tab w:val="left" w:pos="5982"/>
        </w:tabs>
        <w:ind w:left="5982" w:hanging="1418"/>
      </w:pPr>
    </w:lvl>
    <w:lvl w:ilvl="8" w:tentative="0">
      <w:start w:val="1"/>
      <w:numFmt w:val="decimal"/>
      <w:lvlText w:val="%1.%2.%3.%4.%5.%6.%7.%8.%9"/>
      <w:lvlJc w:val="left"/>
      <w:pPr>
        <w:tabs>
          <w:tab w:val="left" w:pos="6690"/>
        </w:tabs>
        <w:ind w:left="6690" w:hanging="1700"/>
      </w:pPr>
    </w:lvl>
  </w:abstractNum>
  <w:abstractNum w:abstractNumId="17">
    <w:nsid w:val="557C2AF5"/>
    <w:multiLevelType w:val="multilevel"/>
    <w:tmpl w:val="557C2AF5"/>
    <w:lvl w:ilvl="0" w:tentative="0">
      <w:start w:val="1"/>
      <w:numFmt w:val="decimal"/>
      <w:pStyle w:val="114"/>
      <w:suff w:val="nothing"/>
      <w:lvlText w:val="图%1　"/>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48"/>
        </w:tabs>
        <w:ind w:left="3969" w:hanging="1418"/>
      </w:pPr>
    </w:lvl>
    <w:lvl w:ilvl="8" w:tentative="0">
      <w:start w:val="1"/>
      <w:numFmt w:val="decimal"/>
      <w:lvlText w:val="%1.%2.%3.%4.%5.%6.%7.%8.%9"/>
      <w:lvlJc w:val="left"/>
      <w:pPr>
        <w:tabs>
          <w:tab w:val="left" w:pos="4774"/>
        </w:tabs>
        <w:ind w:left="4677" w:hanging="1701"/>
      </w:pPr>
    </w:lvl>
  </w:abstractNum>
  <w:abstractNum w:abstractNumId="18">
    <w:nsid w:val="5603797C"/>
    <w:multiLevelType w:val="multilevel"/>
    <w:tmpl w:val="5603797C"/>
    <w:lvl w:ilvl="0" w:tentative="0">
      <w:start w:val="1"/>
      <w:numFmt w:val="upperLetter"/>
      <w:pStyle w:val="199"/>
      <w:suff w:val="space"/>
      <w:lvlText w:val="%1"/>
      <w:lvlJc w:val="left"/>
      <w:pPr>
        <w:ind w:left="425" w:hanging="425"/>
      </w:pPr>
      <w:rPr>
        <w:rFonts w:hint="eastAsia"/>
      </w:rPr>
    </w:lvl>
    <w:lvl w:ilvl="1" w:tentative="0">
      <w:start w:val="1"/>
      <w:numFmt w:val="decimal"/>
      <w:pStyle w:val="77"/>
      <w:suff w:val="space"/>
      <w:lvlText w:val="表%1.%2"/>
      <w:lvlJc w:val="center"/>
      <w:pPr>
        <w:ind w:left="0" w:firstLine="0"/>
      </w:pPr>
      <w:rPr>
        <w:rFonts w:hint="eastAsia" w:ascii="黑体" w:eastAsia="黑体"/>
        <w:sz w:val="21"/>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19">
    <w:nsid w:val="564D2089"/>
    <w:multiLevelType w:val="multilevel"/>
    <w:tmpl w:val="564D2089"/>
    <w:lvl w:ilvl="0" w:tentative="0">
      <w:start w:val="1"/>
      <w:numFmt w:val="none"/>
      <w:pStyle w:val="111"/>
      <w:lvlText w:val="%1注"/>
      <w:lvlJc w:val="left"/>
      <w:pPr>
        <w:tabs>
          <w:tab w:val="left" w:pos="760"/>
        </w:tabs>
        <w:ind w:left="760" w:hanging="284"/>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0">
    <w:nsid w:val="644622F9"/>
    <w:multiLevelType w:val="multilevel"/>
    <w:tmpl w:val="644622F9"/>
    <w:lvl w:ilvl="0" w:tentative="0">
      <w:start w:val="1"/>
      <w:numFmt w:val="upperRoman"/>
      <w:pStyle w:val="168"/>
      <w:lvlText w:val="%1)"/>
      <w:lvlJc w:val="left"/>
      <w:pPr>
        <w:tabs>
          <w:tab w:val="left" w:pos="851"/>
        </w:tabs>
        <w:ind w:left="851" w:hanging="426"/>
      </w:pPr>
      <w:rPr>
        <w:rFonts w:hint="eastAsia" w:ascii="宋体" w:hAnsi="Times New Roman" w:eastAsia="宋体"/>
        <w:sz w:val="21"/>
      </w:rPr>
    </w:lvl>
    <w:lvl w:ilvl="1" w:tentative="0">
      <w:start w:val="1"/>
      <w:numFmt w:val="lowerLetter"/>
      <w:lvlText w:val="%2)"/>
      <w:lvlJc w:val="left"/>
      <w:pPr>
        <w:tabs>
          <w:tab w:val="left" w:pos="1310"/>
        </w:tabs>
        <w:ind w:left="1310" w:hanging="420"/>
      </w:pPr>
      <w:rPr>
        <w:rFonts w:hint="eastAsia"/>
      </w:rPr>
    </w:lvl>
    <w:lvl w:ilvl="2" w:tentative="0">
      <w:start w:val="1"/>
      <w:numFmt w:val="lowerRoman"/>
      <w:lvlText w:val="%3."/>
      <w:lvlJc w:val="right"/>
      <w:pPr>
        <w:tabs>
          <w:tab w:val="left" w:pos="1730"/>
        </w:tabs>
        <w:ind w:left="1730" w:hanging="420"/>
      </w:pPr>
      <w:rPr>
        <w:rFonts w:hint="eastAsia"/>
      </w:rPr>
    </w:lvl>
    <w:lvl w:ilvl="3" w:tentative="0">
      <w:start w:val="1"/>
      <w:numFmt w:val="decimal"/>
      <w:lvlText w:val="%4."/>
      <w:lvlJc w:val="left"/>
      <w:pPr>
        <w:tabs>
          <w:tab w:val="left" w:pos="2150"/>
        </w:tabs>
        <w:ind w:left="2150" w:hanging="420"/>
      </w:pPr>
      <w:rPr>
        <w:rFonts w:hint="eastAsia"/>
      </w:rPr>
    </w:lvl>
    <w:lvl w:ilvl="4" w:tentative="0">
      <w:start w:val="1"/>
      <w:numFmt w:val="lowerLetter"/>
      <w:lvlText w:val="%5)"/>
      <w:lvlJc w:val="left"/>
      <w:pPr>
        <w:tabs>
          <w:tab w:val="left" w:pos="2570"/>
        </w:tabs>
        <w:ind w:left="2570" w:hanging="420"/>
      </w:pPr>
      <w:rPr>
        <w:rFonts w:hint="eastAsia"/>
      </w:rPr>
    </w:lvl>
    <w:lvl w:ilvl="5" w:tentative="0">
      <w:start w:val="1"/>
      <w:numFmt w:val="lowerRoman"/>
      <w:lvlText w:val="%6."/>
      <w:lvlJc w:val="right"/>
      <w:pPr>
        <w:tabs>
          <w:tab w:val="left" w:pos="2990"/>
        </w:tabs>
        <w:ind w:left="2990" w:hanging="420"/>
      </w:pPr>
      <w:rPr>
        <w:rFonts w:hint="eastAsia"/>
      </w:rPr>
    </w:lvl>
    <w:lvl w:ilvl="6" w:tentative="0">
      <w:start w:val="1"/>
      <w:numFmt w:val="decimal"/>
      <w:lvlText w:val="%7."/>
      <w:lvlJc w:val="left"/>
      <w:pPr>
        <w:tabs>
          <w:tab w:val="left" w:pos="3410"/>
        </w:tabs>
        <w:ind w:left="3410" w:hanging="420"/>
      </w:pPr>
      <w:rPr>
        <w:rFonts w:hint="eastAsia"/>
      </w:rPr>
    </w:lvl>
    <w:lvl w:ilvl="7" w:tentative="0">
      <w:start w:val="1"/>
      <w:numFmt w:val="lowerLetter"/>
      <w:lvlText w:val="%8)"/>
      <w:lvlJc w:val="left"/>
      <w:pPr>
        <w:tabs>
          <w:tab w:val="left" w:pos="3830"/>
        </w:tabs>
        <w:ind w:left="3830" w:hanging="420"/>
      </w:pPr>
      <w:rPr>
        <w:rFonts w:hint="eastAsia"/>
      </w:rPr>
    </w:lvl>
    <w:lvl w:ilvl="8" w:tentative="0">
      <w:start w:val="1"/>
      <w:numFmt w:val="lowerRoman"/>
      <w:lvlText w:val="%9."/>
      <w:lvlJc w:val="right"/>
      <w:pPr>
        <w:tabs>
          <w:tab w:val="left" w:pos="4250"/>
        </w:tabs>
        <w:ind w:left="4250" w:hanging="420"/>
      </w:pPr>
      <w:rPr>
        <w:rFonts w:hint="eastAsia"/>
      </w:rPr>
    </w:lvl>
  </w:abstractNum>
  <w:abstractNum w:abstractNumId="21">
    <w:nsid w:val="646260FA"/>
    <w:multiLevelType w:val="multilevel"/>
    <w:tmpl w:val="646260FA"/>
    <w:lvl w:ilvl="0" w:tentative="0">
      <w:start w:val="1"/>
      <w:numFmt w:val="decimal"/>
      <w:pStyle w:val="112"/>
      <w:suff w:val="nothing"/>
      <w:lvlText w:val="表%1　"/>
      <w:lvlJc w:val="left"/>
      <w:pPr>
        <w:ind w:left="0" w:firstLine="0"/>
      </w:pPr>
    </w:lvl>
    <w:lvl w:ilvl="1" w:tentative="0">
      <w:start w:val="1"/>
      <w:numFmt w:val="decimal"/>
      <w:lvlText w:val="%1.%2"/>
      <w:lvlJc w:val="left"/>
      <w:pPr>
        <w:tabs>
          <w:tab w:val="left" w:pos="992"/>
        </w:tabs>
        <w:ind w:left="992" w:hanging="567"/>
      </w:pPr>
    </w:lvl>
    <w:lvl w:ilvl="2" w:tentative="0">
      <w:start w:val="1"/>
      <w:numFmt w:val="decimal"/>
      <w:lvlText w:val="%1.%2.%3"/>
      <w:lvlJc w:val="left"/>
      <w:pPr>
        <w:tabs>
          <w:tab w:val="left" w:pos="1417"/>
        </w:tabs>
        <w:ind w:left="1417" w:hanging="567"/>
      </w:pPr>
    </w:lvl>
    <w:lvl w:ilvl="3" w:tentative="0">
      <w:start w:val="1"/>
      <w:numFmt w:val="decimal"/>
      <w:lvlText w:val="%1.%2.%3.%4"/>
      <w:lvlJc w:val="left"/>
      <w:pPr>
        <w:tabs>
          <w:tab w:val="left" w:pos="1984"/>
        </w:tabs>
        <w:ind w:left="1984" w:hanging="708"/>
      </w:pPr>
    </w:lvl>
    <w:lvl w:ilvl="4" w:tentative="0">
      <w:start w:val="1"/>
      <w:numFmt w:val="decimal"/>
      <w:lvlText w:val="%1.%2.%3.%4.%5"/>
      <w:lvlJc w:val="left"/>
      <w:pPr>
        <w:tabs>
          <w:tab w:val="left" w:pos="2551"/>
        </w:tabs>
        <w:ind w:left="2551" w:hanging="850"/>
      </w:pPr>
    </w:lvl>
    <w:lvl w:ilvl="5" w:tentative="0">
      <w:start w:val="1"/>
      <w:numFmt w:val="decimal"/>
      <w:lvlText w:val="%1.%2.%3.%4.%5.%6"/>
      <w:lvlJc w:val="left"/>
      <w:pPr>
        <w:tabs>
          <w:tab w:val="left" w:pos="3260"/>
        </w:tabs>
        <w:ind w:left="3260" w:hanging="1134"/>
      </w:pPr>
    </w:lvl>
    <w:lvl w:ilvl="6" w:tentative="0">
      <w:start w:val="1"/>
      <w:numFmt w:val="decimal"/>
      <w:lvlText w:val="%1.%2.%3.%4.%5.%6.%7"/>
      <w:lvlJc w:val="left"/>
      <w:pPr>
        <w:tabs>
          <w:tab w:val="left" w:pos="3827"/>
        </w:tabs>
        <w:ind w:left="3827" w:hanging="1276"/>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22">
    <w:nsid w:val="654A26C9"/>
    <w:multiLevelType w:val="multilevel"/>
    <w:tmpl w:val="654A26C9"/>
    <w:lvl w:ilvl="0" w:tentative="0">
      <w:start w:val="1"/>
      <w:numFmt w:val="none"/>
      <w:pStyle w:val="189"/>
      <w:lvlText w:val="──"/>
      <w:lvlJc w:val="left"/>
      <w:pPr>
        <w:ind w:left="851" w:firstLine="0"/>
      </w:pPr>
      <w:rPr>
        <w:rFonts w:hint="eastAsia" w:ascii="宋体" w:eastAsia="宋体" w:hAnsiTheme="majorHAnsi"/>
        <w:b w:val="0"/>
        <w:i w:val="0"/>
        <w:sz w:val="21"/>
      </w:rPr>
    </w:lvl>
    <w:lvl w:ilvl="1" w:tentative="0">
      <w:start w:val="1"/>
      <w:numFmt w:val="bullet"/>
      <w:lvlText w:val=""/>
      <w:lvlJc w:val="left"/>
      <w:pPr>
        <w:ind w:left="1276" w:hanging="425"/>
      </w:pPr>
      <w:rPr>
        <w:rFonts w:hint="default" w:ascii="Wingdings" w:hAnsi="Wingdings"/>
      </w:rPr>
    </w:lvl>
    <w:lvl w:ilvl="2" w:tentative="0">
      <w:start w:val="1"/>
      <w:numFmt w:val="bullet"/>
      <w:lvlText w:val=""/>
      <w:lvlJc w:val="left"/>
      <w:pPr>
        <w:ind w:left="1276" w:hanging="236"/>
      </w:pPr>
      <w:rPr>
        <w:rFonts w:hint="default" w:ascii="Wingdings" w:hAnsi="Wingdings"/>
      </w:rPr>
    </w:lvl>
    <w:lvl w:ilvl="3" w:tentative="0">
      <w:start w:val="1"/>
      <w:numFmt w:val="bullet"/>
      <w:lvlText w:val=""/>
      <w:lvlJc w:val="left"/>
      <w:pPr>
        <w:ind w:left="1880" w:hanging="420"/>
      </w:pPr>
      <w:rPr>
        <w:rFonts w:hint="default" w:ascii="Wingdings" w:hAnsi="Wingdings"/>
      </w:rPr>
    </w:lvl>
    <w:lvl w:ilvl="4" w:tentative="0">
      <w:start w:val="1"/>
      <w:numFmt w:val="bullet"/>
      <w:lvlText w:val=""/>
      <w:lvlJc w:val="left"/>
      <w:pPr>
        <w:ind w:left="2300" w:hanging="420"/>
      </w:pPr>
      <w:rPr>
        <w:rFonts w:hint="default" w:ascii="Wingdings" w:hAnsi="Wingdings"/>
      </w:rPr>
    </w:lvl>
    <w:lvl w:ilvl="5" w:tentative="0">
      <w:start w:val="1"/>
      <w:numFmt w:val="bullet"/>
      <w:lvlText w:val=""/>
      <w:lvlJc w:val="left"/>
      <w:pPr>
        <w:ind w:left="2720" w:hanging="420"/>
      </w:pPr>
      <w:rPr>
        <w:rFonts w:hint="default" w:ascii="Wingdings" w:hAnsi="Wingdings"/>
      </w:rPr>
    </w:lvl>
    <w:lvl w:ilvl="6" w:tentative="0">
      <w:start w:val="1"/>
      <w:numFmt w:val="bullet"/>
      <w:lvlText w:val=""/>
      <w:lvlJc w:val="left"/>
      <w:pPr>
        <w:ind w:left="3140" w:hanging="420"/>
      </w:pPr>
      <w:rPr>
        <w:rFonts w:hint="default" w:ascii="Wingdings" w:hAnsi="Wingdings"/>
      </w:rPr>
    </w:lvl>
    <w:lvl w:ilvl="7" w:tentative="0">
      <w:start w:val="1"/>
      <w:numFmt w:val="bullet"/>
      <w:lvlText w:val=""/>
      <w:lvlJc w:val="left"/>
      <w:pPr>
        <w:ind w:left="3560" w:hanging="420"/>
      </w:pPr>
      <w:rPr>
        <w:rFonts w:hint="default" w:ascii="Wingdings" w:hAnsi="Wingdings"/>
      </w:rPr>
    </w:lvl>
    <w:lvl w:ilvl="8" w:tentative="0">
      <w:start w:val="1"/>
      <w:numFmt w:val="bullet"/>
      <w:lvlText w:val=""/>
      <w:lvlJc w:val="left"/>
      <w:pPr>
        <w:ind w:left="3980" w:hanging="420"/>
      </w:pPr>
      <w:rPr>
        <w:rFonts w:hint="default" w:ascii="Wingdings" w:hAnsi="Wingdings"/>
      </w:rPr>
    </w:lvl>
  </w:abstractNum>
  <w:abstractNum w:abstractNumId="23">
    <w:nsid w:val="657D3FBC"/>
    <w:multiLevelType w:val="multilevel"/>
    <w:tmpl w:val="657D3FBC"/>
    <w:lvl w:ilvl="0" w:tentative="0">
      <w:start w:val="1"/>
      <w:numFmt w:val="upperLetter"/>
      <w:pStyle w:val="76"/>
      <w:suff w:val="nothing"/>
      <w:lvlText w:val="附录%1"/>
      <w:lvlJc w:val="left"/>
      <w:pPr>
        <w:ind w:left="0" w:firstLine="0"/>
      </w:pPr>
      <w:rPr>
        <w:rFonts w:hint="eastAsia"/>
        <w:spacing w:val="100"/>
      </w:rPr>
    </w:lvl>
    <w:lvl w:ilvl="1" w:tentative="0">
      <w:start w:val="1"/>
      <w:numFmt w:val="decimal"/>
      <w:pStyle w:val="78"/>
      <w:suff w:val="nothing"/>
      <w:lvlText w:val="%1.%2　"/>
      <w:lvlJc w:val="left"/>
      <w:pPr>
        <w:ind w:left="0" w:firstLine="0"/>
      </w:pPr>
      <w:rPr>
        <w:rFonts w:hint="eastAsia" w:ascii="黑体" w:eastAsia="黑体"/>
        <w:b w:val="0"/>
        <w:i w:val="0"/>
        <w:sz w:val="21"/>
      </w:rPr>
    </w:lvl>
    <w:lvl w:ilvl="2" w:tentative="0">
      <w:start w:val="1"/>
      <w:numFmt w:val="decimal"/>
      <w:pStyle w:val="79"/>
      <w:suff w:val="nothing"/>
      <w:lvlText w:val="%1.%2.%3　"/>
      <w:lvlJc w:val="left"/>
      <w:pPr>
        <w:ind w:left="0" w:firstLine="0"/>
      </w:pPr>
      <w:rPr>
        <w:rFonts w:hint="eastAsia" w:ascii="黑体" w:eastAsia="黑体"/>
        <w:b w:val="0"/>
        <w:i w:val="0"/>
        <w:sz w:val="21"/>
      </w:rPr>
    </w:lvl>
    <w:lvl w:ilvl="3" w:tentative="0">
      <w:start w:val="1"/>
      <w:numFmt w:val="decimal"/>
      <w:pStyle w:val="81"/>
      <w:suff w:val="nothing"/>
      <w:lvlText w:val="%1.%2.%3.%4　"/>
      <w:lvlJc w:val="left"/>
      <w:pPr>
        <w:ind w:left="0" w:firstLine="0"/>
      </w:pPr>
      <w:rPr>
        <w:rFonts w:hint="eastAsia" w:ascii="黑体" w:eastAsia="黑体"/>
        <w:b w:val="0"/>
        <w:i w:val="0"/>
        <w:sz w:val="21"/>
      </w:rPr>
    </w:lvl>
    <w:lvl w:ilvl="4" w:tentative="0">
      <w:start w:val="1"/>
      <w:numFmt w:val="decimal"/>
      <w:pStyle w:val="82"/>
      <w:suff w:val="nothing"/>
      <w:lvlText w:val="%1.%2.%3.%4.%5　"/>
      <w:lvlJc w:val="left"/>
      <w:pPr>
        <w:ind w:left="0" w:firstLine="0"/>
      </w:pPr>
      <w:rPr>
        <w:rFonts w:hint="eastAsia" w:ascii="黑体" w:eastAsia="黑体"/>
        <w:b w:val="0"/>
        <w:i w:val="0"/>
        <w:sz w:val="21"/>
      </w:rPr>
    </w:lvl>
    <w:lvl w:ilvl="5" w:tentative="0">
      <w:start w:val="1"/>
      <w:numFmt w:val="decimal"/>
      <w:pStyle w:val="84"/>
      <w:suff w:val="nothing"/>
      <w:lvlText w:val="%1.%2.%3.%4.%5.%6　"/>
      <w:lvlJc w:val="left"/>
      <w:pPr>
        <w:ind w:left="0" w:firstLine="0"/>
      </w:pPr>
      <w:rPr>
        <w:rFonts w:hint="eastAsia" w:ascii="黑体" w:eastAsia="黑体"/>
        <w:b w:val="0"/>
        <w:i w:val="0"/>
        <w:sz w:val="21"/>
      </w:rPr>
    </w:lvl>
    <w:lvl w:ilvl="6" w:tentative="0">
      <w:start w:val="1"/>
      <w:numFmt w:val="decimal"/>
      <w:suff w:val="nothing"/>
      <w:lvlText w:val="%1.%2.%3.%4.%5.%6.%7　"/>
      <w:lvlJc w:val="left"/>
      <w:pPr>
        <w:ind w:left="0" w:firstLine="0"/>
      </w:pPr>
      <w:rPr>
        <w:rFonts w:hint="eastAsia"/>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24">
    <w:nsid w:val="69506ABF"/>
    <w:multiLevelType w:val="multilevel"/>
    <w:tmpl w:val="69506ABF"/>
    <w:lvl w:ilvl="0" w:tentative="0">
      <w:start w:val="1"/>
      <w:numFmt w:val="bullet"/>
      <w:pStyle w:val="188"/>
      <w:lvlText w:val=""/>
      <w:lvlJc w:val="left"/>
      <w:pPr>
        <w:ind w:left="851" w:firstLine="0"/>
      </w:pPr>
      <w:rPr>
        <w:rFonts w:hint="default" w:ascii="Wingdings" w:hAnsi="Wingdings"/>
        <w:color w:val="auto"/>
      </w:rPr>
    </w:lvl>
    <w:lvl w:ilvl="1" w:tentative="0">
      <w:start w:val="1"/>
      <w:numFmt w:val="lowerLetter"/>
      <w:lvlText w:val="%2)"/>
      <w:lvlJc w:val="left"/>
      <w:pPr>
        <w:ind w:left="1040" w:hanging="420"/>
      </w:pPr>
      <w:rPr>
        <w:rFonts w:hint="eastAsia"/>
      </w:rPr>
    </w:lvl>
    <w:lvl w:ilvl="2" w:tentative="0">
      <w:start w:val="1"/>
      <w:numFmt w:val="lowerRoman"/>
      <w:lvlText w:val="%3."/>
      <w:lvlJc w:val="right"/>
      <w:pPr>
        <w:ind w:left="1460" w:hanging="420"/>
      </w:pPr>
      <w:rPr>
        <w:rFonts w:hint="eastAsia"/>
      </w:rPr>
    </w:lvl>
    <w:lvl w:ilvl="3" w:tentative="0">
      <w:start w:val="1"/>
      <w:numFmt w:val="decimal"/>
      <w:lvlText w:val="%4."/>
      <w:lvlJc w:val="left"/>
      <w:pPr>
        <w:ind w:left="1880" w:hanging="420"/>
      </w:pPr>
      <w:rPr>
        <w:rFonts w:hint="eastAsia"/>
      </w:rPr>
    </w:lvl>
    <w:lvl w:ilvl="4" w:tentative="0">
      <w:start w:val="1"/>
      <w:numFmt w:val="lowerLetter"/>
      <w:lvlText w:val="%5)"/>
      <w:lvlJc w:val="left"/>
      <w:pPr>
        <w:ind w:left="2300" w:hanging="420"/>
      </w:pPr>
      <w:rPr>
        <w:rFonts w:hint="eastAsia"/>
      </w:rPr>
    </w:lvl>
    <w:lvl w:ilvl="5" w:tentative="0">
      <w:start w:val="1"/>
      <w:numFmt w:val="lowerRoman"/>
      <w:lvlText w:val="%6."/>
      <w:lvlJc w:val="right"/>
      <w:pPr>
        <w:ind w:left="2720" w:hanging="420"/>
      </w:pPr>
      <w:rPr>
        <w:rFonts w:hint="eastAsia"/>
      </w:rPr>
    </w:lvl>
    <w:lvl w:ilvl="6" w:tentative="0">
      <w:start w:val="1"/>
      <w:numFmt w:val="decimal"/>
      <w:lvlText w:val="%7."/>
      <w:lvlJc w:val="left"/>
      <w:pPr>
        <w:ind w:left="3140" w:hanging="420"/>
      </w:pPr>
      <w:rPr>
        <w:rFonts w:hint="eastAsia"/>
      </w:rPr>
    </w:lvl>
    <w:lvl w:ilvl="7" w:tentative="0">
      <w:start w:val="1"/>
      <w:numFmt w:val="lowerLetter"/>
      <w:lvlText w:val="%8)"/>
      <w:lvlJc w:val="left"/>
      <w:pPr>
        <w:ind w:left="3560" w:hanging="420"/>
      </w:pPr>
      <w:rPr>
        <w:rFonts w:hint="eastAsia"/>
      </w:rPr>
    </w:lvl>
    <w:lvl w:ilvl="8" w:tentative="0">
      <w:start w:val="1"/>
      <w:numFmt w:val="lowerRoman"/>
      <w:lvlText w:val="%9."/>
      <w:lvlJc w:val="right"/>
      <w:pPr>
        <w:ind w:left="3980" w:hanging="420"/>
      </w:pPr>
      <w:rPr>
        <w:rFonts w:hint="eastAsia"/>
      </w:rPr>
    </w:lvl>
  </w:abstractNum>
  <w:abstractNum w:abstractNumId="25">
    <w:nsid w:val="6CA41985"/>
    <w:multiLevelType w:val="multilevel"/>
    <w:tmpl w:val="6CA41985"/>
    <w:lvl w:ilvl="0" w:tentative="0">
      <w:start w:val="1"/>
      <w:numFmt w:val="decimal"/>
      <w:pStyle w:val="97"/>
      <w:lvlText w:val="%1)"/>
      <w:lvlJc w:val="left"/>
      <w:pPr>
        <w:tabs>
          <w:tab w:val="left" w:pos="823"/>
        </w:tabs>
        <w:ind w:left="823"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6">
    <w:nsid w:val="6CE42AC1"/>
    <w:multiLevelType w:val="multilevel"/>
    <w:tmpl w:val="6CE42AC1"/>
    <w:lvl w:ilvl="0" w:tentative="0">
      <w:start w:val="1"/>
      <w:numFmt w:val="lowerLetter"/>
      <w:pStyle w:val="173"/>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7">
    <w:nsid w:val="6CEA2025"/>
    <w:multiLevelType w:val="multilevel"/>
    <w:tmpl w:val="6CEA2025"/>
    <w:lvl w:ilvl="0" w:tentative="0">
      <w:start w:val="1"/>
      <w:numFmt w:val="none"/>
      <w:pStyle w:val="152"/>
      <w:suff w:val="nothing"/>
      <w:lvlText w:val="%1"/>
      <w:lvlJc w:val="left"/>
      <w:pPr>
        <w:ind w:left="0" w:firstLine="0"/>
      </w:pPr>
      <w:rPr>
        <w:rFonts w:hint="eastAsia"/>
      </w:rPr>
    </w:lvl>
    <w:lvl w:ilvl="1" w:tentative="0">
      <w:start w:val="1"/>
      <w:numFmt w:val="decimal"/>
      <w:pStyle w:val="104"/>
      <w:suff w:val="nothing"/>
      <w:lvlText w:val="%1%2　"/>
      <w:lvlJc w:val="left"/>
      <w:pPr>
        <w:ind w:left="0" w:firstLine="0"/>
      </w:pPr>
      <w:rPr>
        <w:rFonts w:hint="eastAsia" w:ascii="黑体" w:eastAsia="黑体"/>
        <w:b w:val="0"/>
        <w:i w:val="0"/>
        <w:sz w:val="21"/>
      </w:rPr>
    </w:lvl>
    <w:lvl w:ilvl="2" w:tentative="0">
      <w:start w:val="1"/>
      <w:numFmt w:val="decimal"/>
      <w:pStyle w:val="105"/>
      <w:suff w:val="nothing"/>
      <w:lvlText w:val="%1%2.%3　"/>
      <w:lvlJc w:val="left"/>
      <w:pPr>
        <w:ind w:left="0" w:firstLine="0"/>
      </w:pPr>
      <w:rPr>
        <w:rFonts w:hint="eastAsia" w:ascii="黑体" w:hAnsi="Times New Roman" w:eastAsia="黑体" w:cs="Times New Roman"/>
        <w:b w:val="0"/>
        <w:bCs w:val="0"/>
        <w:i w:val="0"/>
        <w:iCs w:val="0"/>
        <w:caps w:val="0"/>
        <w:smallCaps w:val="0"/>
        <w:strike w:val="0"/>
        <w:dstrike w:val="0"/>
        <w:vanish w:val="0"/>
        <w:color w:val="000000"/>
        <w:spacing w:val="0"/>
        <w:kern w:val="0"/>
        <w:position w:val="0"/>
        <w:sz w:val="21"/>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14:cntxtalts w14:val="0"/>
      </w:rPr>
    </w:lvl>
    <w:lvl w:ilvl="3" w:tentative="0">
      <w:start w:val="1"/>
      <w:numFmt w:val="decimal"/>
      <w:pStyle w:val="65"/>
      <w:suff w:val="nothing"/>
      <w:lvlText w:val="%1%2.%3.%4　"/>
      <w:lvlJc w:val="left"/>
      <w:pPr>
        <w:ind w:left="0" w:firstLine="0"/>
      </w:pPr>
      <w:rPr>
        <w:rFonts w:hint="eastAsia" w:ascii="黑体" w:eastAsia="黑体"/>
        <w:b w:val="0"/>
        <w:i w:val="0"/>
        <w:sz w:val="21"/>
      </w:rPr>
    </w:lvl>
    <w:lvl w:ilvl="4" w:tentative="0">
      <w:start w:val="1"/>
      <w:numFmt w:val="decimal"/>
      <w:pStyle w:val="94"/>
      <w:suff w:val="nothing"/>
      <w:lvlText w:val="%1%2.%3.%4.%5　"/>
      <w:lvlJc w:val="left"/>
      <w:pPr>
        <w:ind w:left="0" w:firstLine="0"/>
      </w:pPr>
      <w:rPr>
        <w:rFonts w:hint="eastAsia" w:ascii="黑体" w:eastAsia="黑体"/>
        <w:b w:val="0"/>
        <w:i w:val="0"/>
        <w:sz w:val="21"/>
      </w:rPr>
    </w:lvl>
    <w:lvl w:ilvl="5" w:tentative="0">
      <w:start w:val="1"/>
      <w:numFmt w:val="decimal"/>
      <w:pStyle w:val="98"/>
      <w:suff w:val="nothing"/>
      <w:lvlText w:val="%1%2.%3.%4.%5.%6　"/>
      <w:lvlJc w:val="left"/>
      <w:pPr>
        <w:ind w:left="0" w:firstLine="0"/>
      </w:pPr>
      <w:rPr>
        <w:rFonts w:hint="eastAsia" w:ascii="黑体" w:eastAsia="黑体"/>
        <w:b w:val="0"/>
        <w:i w:val="0"/>
        <w:sz w:val="21"/>
      </w:rPr>
    </w:lvl>
    <w:lvl w:ilvl="6" w:tentative="0">
      <w:start w:val="1"/>
      <w:numFmt w:val="decimal"/>
      <w:pStyle w:val="103"/>
      <w:suff w:val="nothing"/>
      <w:lvlText w:val="%1%2.%3.%4.%5.%6.%7　"/>
      <w:lvlJc w:val="left"/>
      <w:pPr>
        <w:ind w:left="0" w:firstLine="0"/>
      </w:pPr>
      <w:rPr>
        <w:rFonts w:hint="eastAsia" w:ascii="黑体"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28">
    <w:nsid w:val="6DBF04F4"/>
    <w:multiLevelType w:val="multilevel"/>
    <w:tmpl w:val="6DBF04F4"/>
    <w:lvl w:ilvl="0" w:tentative="0">
      <w:start w:val="1"/>
      <w:numFmt w:val="none"/>
      <w:pStyle w:val="179"/>
      <w:lvlText w:val="%1注："/>
      <w:lvlJc w:val="left"/>
      <w:pPr>
        <w:ind w:left="737" w:hanging="374"/>
      </w:pPr>
      <w:rPr>
        <w:rFonts w:hint="eastAsia" w:ascii="黑体" w:eastAsia="黑体"/>
        <w:b w:val="0"/>
        <w:i w:val="0"/>
        <w:sz w:val="18"/>
      </w:rPr>
    </w:lvl>
    <w:lvl w:ilvl="1" w:tentative="0">
      <w:start w:val="1"/>
      <w:numFmt w:val="lowerLetter"/>
      <w:lvlText w:val="%2)"/>
      <w:lvlJc w:val="left"/>
      <w:pPr>
        <w:tabs>
          <w:tab w:val="left" w:pos="1140"/>
        </w:tabs>
        <w:ind w:left="726" w:hanging="363"/>
      </w:pPr>
      <w:rPr>
        <w:rFonts w:hint="eastAsia"/>
      </w:rPr>
    </w:lvl>
    <w:lvl w:ilvl="2" w:tentative="0">
      <w:start w:val="1"/>
      <w:numFmt w:val="lowerRoman"/>
      <w:lvlText w:val="%3."/>
      <w:lvlJc w:val="right"/>
      <w:pPr>
        <w:tabs>
          <w:tab w:val="left" w:pos="1140"/>
        </w:tabs>
        <w:ind w:left="726" w:hanging="363"/>
      </w:pPr>
      <w:rPr>
        <w:rFonts w:hint="eastAsia"/>
      </w:rPr>
    </w:lvl>
    <w:lvl w:ilvl="3" w:tentative="0">
      <w:start w:val="1"/>
      <w:numFmt w:val="decimal"/>
      <w:lvlText w:val="%4."/>
      <w:lvlJc w:val="left"/>
      <w:pPr>
        <w:tabs>
          <w:tab w:val="left" w:pos="1140"/>
        </w:tabs>
        <w:ind w:left="726" w:hanging="363"/>
      </w:pPr>
      <w:rPr>
        <w:rFonts w:hint="eastAsia"/>
      </w:rPr>
    </w:lvl>
    <w:lvl w:ilvl="4" w:tentative="0">
      <w:start w:val="1"/>
      <w:numFmt w:val="lowerLetter"/>
      <w:lvlText w:val="%5)"/>
      <w:lvlJc w:val="left"/>
      <w:pPr>
        <w:tabs>
          <w:tab w:val="left" w:pos="1140"/>
        </w:tabs>
        <w:ind w:left="726" w:hanging="363"/>
      </w:pPr>
      <w:rPr>
        <w:rFonts w:hint="eastAsia"/>
      </w:rPr>
    </w:lvl>
    <w:lvl w:ilvl="5" w:tentative="0">
      <w:start w:val="1"/>
      <w:numFmt w:val="lowerRoman"/>
      <w:lvlText w:val="%6."/>
      <w:lvlJc w:val="right"/>
      <w:pPr>
        <w:tabs>
          <w:tab w:val="left" w:pos="1140"/>
        </w:tabs>
        <w:ind w:left="726" w:hanging="363"/>
      </w:pPr>
      <w:rPr>
        <w:rFonts w:hint="eastAsia"/>
      </w:rPr>
    </w:lvl>
    <w:lvl w:ilvl="6" w:tentative="0">
      <w:start w:val="1"/>
      <w:numFmt w:val="decimal"/>
      <w:lvlText w:val="%7."/>
      <w:lvlJc w:val="left"/>
      <w:pPr>
        <w:tabs>
          <w:tab w:val="left" w:pos="1140"/>
        </w:tabs>
        <w:ind w:left="726" w:hanging="363"/>
      </w:pPr>
      <w:rPr>
        <w:rFonts w:hint="eastAsia"/>
      </w:rPr>
    </w:lvl>
    <w:lvl w:ilvl="7" w:tentative="0">
      <w:start w:val="1"/>
      <w:numFmt w:val="lowerLetter"/>
      <w:lvlText w:val="%8)"/>
      <w:lvlJc w:val="left"/>
      <w:pPr>
        <w:tabs>
          <w:tab w:val="left" w:pos="1140"/>
        </w:tabs>
        <w:ind w:left="726" w:hanging="363"/>
      </w:pPr>
      <w:rPr>
        <w:rFonts w:hint="eastAsia"/>
      </w:rPr>
    </w:lvl>
    <w:lvl w:ilvl="8" w:tentative="0">
      <w:start w:val="1"/>
      <w:numFmt w:val="lowerRoman"/>
      <w:lvlText w:val="%9."/>
      <w:lvlJc w:val="right"/>
      <w:pPr>
        <w:tabs>
          <w:tab w:val="left" w:pos="1140"/>
        </w:tabs>
        <w:ind w:left="726" w:hanging="363"/>
      </w:pPr>
      <w:rPr>
        <w:rFonts w:hint="eastAsia"/>
      </w:rPr>
    </w:lvl>
  </w:abstractNum>
  <w:abstractNum w:abstractNumId="29">
    <w:nsid w:val="6DF35F19"/>
    <w:multiLevelType w:val="multilevel"/>
    <w:tmpl w:val="6DF35F19"/>
    <w:lvl w:ilvl="0" w:tentative="0">
      <w:start w:val="1"/>
      <w:numFmt w:val="decimal"/>
      <w:pStyle w:val="115"/>
      <w:suff w:val="nothing"/>
      <w:lvlText w:val="Table %1　"/>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48"/>
        </w:tabs>
        <w:ind w:left="3969" w:hanging="1418"/>
      </w:pPr>
    </w:lvl>
    <w:lvl w:ilvl="8" w:tentative="0">
      <w:start w:val="1"/>
      <w:numFmt w:val="decimal"/>
      <w:lvlText w:val="%1.%2.%3.%4.%5.%6.%7.%8.%9"/>
      <w:lvlJc w:val="left"/>
      <w:pPr>
        <w:tabs>
          <w:tab w:val="left" w:pos="4774"/>
        </w:tabs>
        <w:ind w:left="4677" w:hanging="1701"/>
      </w:pPr>
    </w:lvl>
  </w:abstractNum>
  <w:abstractNum w:abstractNumId="30">
    <w:nsid w:val="76933334"/>
    <w:multiLevelType w:val="multilevel"/>
    <w:tmpl w:val="76933334"/>
    <w:lvl w:ilvl="0" w:tentative="0">
      <w:start w:val="1"/>
      <w:numFmt w:val="none"/>
      <w:pStyle w:val="139"/>
      <w:lvlText w:val="%1——"/>
      <w:lvlJc w:val="left"/>
      <w:pPr>
        <w:tabs>
          <w:tab w:val="left" w:pos="330"/>
        </w:tabs>
        <w:ind w:left="948"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0"/>
  </w:num>
  <w:num w:numId="2">
    <w:abstractNumId w:val="27"/>
  </w:num>
  <w:num w:numId="3">
    <w:abstractNumId w:val="5"/>
  </w:num>
  <w:num w:numId="4">
    <w:abstractNumId w:val="23"/>
  </w:num>
  <w:num w:numId="5">
    <w:abstractNumId w:val="18"/>
  </w:num>
  <w:num w:numId="6">
    <w:abstractNumId w:val="13"/>
  </w:num>
  <w:num w:numId="7">
    <w:abstractNumId w:val="8"/>
  </w:num>
  <w:num w:numId="8">
    <w:abstractNumId w:val="3"/>
  </w:num>
  <w:num w:numId="9">
    <w:abstractNumId w:val="9"/>
  </w:num>
  <w:num w:numId="10">
    <w:abstractNumId w:val="16"/>
  </w:num>
  <w:num w:numId="11">
    <w:abstractNumId w:val="25"/>
  </w:num>
  <w:num w:numId="12">
    <w:abstractNumId w:val="11"/>
  </w:num>
  <w:num w:numId="13">
    <w:abstractNumId w:val="12"/>
  </w:num>
  <w:num w:numId="14">
    <w:abstractNumId w:val="7"/>
  </w:num>
  <w:num w:numId="15">
    <w:abstractNumId w:val="19"/>
  </w:num>
  <w:num w:numId="16">
    <w:abstractNumId w:val="21"/>
  </w:num>
  <w:num w:numId="17">
    <w:abstractNumId w:val="17"/>
  </w:num>
  <w:num w:numId="18">
    <w:abstractNumId w:val="29"/>
  </w:num>
  <w:num w:numId="19">
    <w:abstractNumId w:val="15"/>
  </w:num>
  <w:num w:numId="20">
    <w:abstractNumId w:val="1"/>
  </w:num>
  <w:num w:numId="21">
    <w:abstractNumId w:val="10"/>
  </w:num>
  <w:num w:numId="22">
    <w:abstractNumId w:val="30"/>
  </w:num>
  <w:num w:numId="23">
    <w:abstractNumId w:val="20"/>
  </w:num>
  <w:num w:numId="24">
    <w:abstractNumId w:val="6"/>
  </w:num>
  <w:num w:numId="25">
    <w:abstractNumId w:val="26"/>
  </w:num>
  <w:num w:numId="26">
    <w:abstractNumId w:val="28"/>
  </w:num>
  <w:num w:numId="27">
    <w:abstractNumId w:val="2"/>
  </w:num>
  <w:num w:numId="28">
    <w:abstractNumId w:val="4"/>
  </w:num>
  <w:num w:numId="29">
    <w:abstractNumId w:val="14"/>
  </w:num>
  <w:num w:numId="30">
    <w:abstractNumId w:val="24"/>
  </w:num>
  <w:num w:numId="31">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attachedTemplate r:id="rId1"/>
  <w:documentProtection w:edit="forms" w:enforcement="1" w:cryptProviderType="rsaAES" w:cryptAlgorithmClass="hash" w:cryptAlgorithmType="typeAny" w:cryptAlgorithmSid="14" w:cryptSpinCount="100000" w:hash="Cc1D2X54PZZ42GWeT7Kuqs7Hdii2O8Gu77jNLrvdPMWqHeSLXv66EFz2sbdEPGfHapbGO1CxVZk8hYlXiFwDXA==" w:salt="nS0JIn65TgRCoJRC2kROhg=="/>
  <w:defaultTabStop w:val="420"/>
  <w:drawingGridHorizontalSpacing w:val="105"/>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A4C"/>
    <w:rsid w:val="0000040A"/>
    <w:rsid w:val="00000A94"/>
    <w:rsid w:val="00001972"/>
    <w:rsid w:val="00001D9A"/>
    <w:rsid w:val="00007B3A"/>
    <w:rsid w:val="000107E0"/>
    <w:rsid w:val="00011FDE"/>
    <w:rsid w:val="00012FFD"/>
    <w:rsid w:val="00014162"/>
    <w:rsid w:val="00014340"/>
    <w:rsid w:val="00016A9C"/>
    <w:rsid w:val="00022184"/>
    <w:rsid w:val="00022762"/>
    <w:rsid w:val="000238E0"/>
    <w:rsid w:val="000249DB"/>
    <w:rsid w:val="0002595E"/>
    <w:rsid w:val="000303C3"/>
    <w:rsid w:val="000331D3"/>
    <w:rsid w:val="000346A5"/>
    <w:rsid w:val="000359C3"/>
    <w:rsid w:val="00035A7D"/>
    <w:rsid w:val="000365ED"/>
    <w:rsid w:val="0004249A"/>
    <w:rsid w:val="00043282"/>
    <w:rsid w:val="00044286"/>
    <w:rsid w:val="00047F28"/>
    <w:rsid w:val="000503AA"/>
    <w:rsid w:val="000506A1"/>
    <w:rsid w:val="000515DD"/>
    <w:rsid w:val="0005265A"/>
    <w:rsid w:val="000539DD"/>
    <w:rsid w:val="00053BD3"/>
    <w:rsid w:val="00053F13"/>
    <w:rsid w:val="000556ED"/>
    <w:rsid w:val="00055FE2"/>
    <w:rsid w:val="0005616F"/>
    <w:rsid w:val="00060C2E"/>
    <w:rsid w:val="00061033"/>
    <w:rsid w:val="000619E9"/>
    <w:rsid w:val="000622D4"/>
    <w:rsid w:val="0006357D"/>
    <w:rsid w:val="00067F1E"/>
    <w:rsid w:val="00071CC0"/>
    <w:rsid w:val="00071CFC"/>
    <w:rsid w:val="00073C8C"/>
    <w:rsid w:val="00077B64"/>
    <w:rsid w:val="00080A1C"/>
    <w:rsid w:val="00082317"/>
    <w:rsid w:val="00083D2C"/>
    <w:rsid w:val="00086AA1"/>
    <w:rsid w:val="00087A77"/>
    <w:rsid w:val="00090CA6"/>
    <w:rsid w:val="00092B8A"/>
    <w:rsid w:val="00092FB0"/>
    <w:rsid w:val="000934C5"/>
    <w:rsid w:val="00093D25"/>
    <w:rsid w:val="00093DAB"/>
    <w:rsid w:val="00094D73"/>
    <w:rsid w:val="00096D63"/>
    <w:rsid w:val="000A0B60"/>
    <w:rsid w:val="000A0EB8"/>
    <w:rsid w:val="000A19FC"/>
    <w:rsid w:val="000A296B"/>
    <w:rsid w:val="000A7311"/>
    <w:rsid w:val="000B060F"/>
    <w:rsid w:val="000B1592"/>
    <w:rsid w:val="000B1FF2"/>
    <w:rsid w:val="000B3CDA"/>
    <w:rsid w:val="000B6A0B"/>
    <w:rsid w:val="000C0F6C"/>
    <w:rsid w:val="000C11DB"/>
    <w:rsid w:val="000C1492"/>
    <w:rsid w:val="000C2FBD"/>
    <w:rsid w:val="000C4B41"/>
    <w:rsid w:val="000C57D6"/>
    <w:rsid w:val="000C6362"/>
    <w:rsid w:val="000C7666"/>
    <w:rsid w:val="000D0A9C"/>
    <w:rsid w:val="000D1795"/>
    <w:rsid w:val="000D329A"/>
    <w:rsid w:val="000D4B9C"/>
    <w:rsid w:val="000D4EB6"/>
    <w:rsid w:val="000D753B"/>
    <w:rsid w:val="000E4C9E"/>
    <w:rsid w:val="000E6FD7"/>
    <w:rsid w:val="000E7144"/>
    <w:rsid w:val="000F06E1"/>
    <w:rsid w:val="000F0E3C"/>
    <w:rsid w:val="000F19D5"/>
    <w:rsid w:val="000F4050"/>
    <w:rsid w:val="000F489D"/>
    <w:rsid w:val="000F4AEA"/>
    <w:rsid w:val="000F67E9"/>
    <w:rsid w:val="00104926"/>
    <w:rsid w:val="00113B1E"/>
    <w:rsid w:val="0011711C"/>
    <w:rsid w:val="00124E4F"/>
    <w:rsid w:val="001260B7"/>
    <w:rsid w:val="001265CB"/>
    <w:rsid w:val="001321C6"/>
    <w:rsid w:val="001325C4"/>
    <w:rsid w:val="00133010"/>
    <w:rsid w:val="001338EE"/>
    <w:rsid w:val="00133AAE"/>
    <w:rsid w:val="00135323"/>
    <w:rsid w:val="001356C4"/>
    <w:rsid w:val="00137565"/>
    <w:rsid w:val="00141114"/>
    <w:rsid w:val="00142969"/>
    <w:rsid w:val="001446C2"/>
    <w:rsid w:val="001457E7"/>
    <w:rsid w:val="00145D9D"/>
    <w:rsid w:val="00146388"/>
    <w:rsid w:val="001529E5"/>
    <w:rsid w:val="00152FB3"/>
    <w:rsid w:val="00153C7E"/>
    <w:rsid w:val="00156B25"/>
    <w:rsid w:val="00156E1A"/>
    <w:rsid w:val="00157894"/>
    <w:rsid w:val="00157B55"/>
    <w:rsid w:val="001642FA"/>
    <w:rsid w:val="001649EB"/>
    <w:rsid w:val="00164BAF"/>
    <w:rsid w:val="00164FA8"/>
    <w:rsid w:val="00165065"/>
    <w:rsid w:val="00165434"/>
    <w:rsid w:val="0016580B"/>
    <w:rsid w:val="00165F49"/>
    <w:rsid w:val="00166B88"/>
    <w:rsid w:val="0016770A"/>
    <w:rsid w:val="00170804"/>
    <w:rsid w:val="001708E9"/>
    <w:rsid w:val="0017140A"/>
    <w:rsid w:val="0017340B"/>
    <w:rsid w:val="00173FB1"/>
    <w:rsid w:val="00176DFD"/>
    <w:rsid w:val="001852C9"/>
    <w:rsid w:val="00187A0B"/>
    <w:rsid w:val="00190087"/>
    <w:rsid w:val="001913C4"/>
    <w:rsid w:val="0019348F"/>
    <w:rsid w:val="00193A07"/>
    <w:rsid w:val="00194C95"/>
    <w:rsid w:val="00195C34"/>
    <w:rsid w:val="00196EF5"/>
    <w:rsid w:val="001A1A53"/>
    <w:rsid w:val="001A234A"/>
    <w:rsid w:val="001A4CF3"/>
    <w:rsid w:val="001A6696"/>
    <w:rsid w:val="001B06E8"/>
    <w:rsid w:val="001B71D0"/>
    <w:rsid w:val="001B71EE"/>
    <w:rsid w:val="001C04A8"/>
    <w:rsid w:val="001C2C03"/>
    <w:rsid w:val="001C42F7"/>
    <w:rsid w:val="001C49E5"/>
    <w:rsid w:val="001C5524"/>
    <w:rsid w:val="001C680C"/>
    <w:rsid w:val="001C7FEA"/>
    <w:rsid w:val="001D0499"/>
    <w:rsid w:val="001D0BBE"/>
    <w:rsid w:val="001D0ED4"/>
    <w:rsid w:val="001D212F"/>
    <w:rsid w:val="001D29D7"/>
    <w:rsid w:val="001D2DE7"/>
    <w:rsid w:val="001D411C"/>
    <w:rsid w:val="001E1B6A"/>
    <w:rsid w:val="001E2484"/>
    <w:rsid w:val="001E3CC4"/>
    <w:rsid w:val="001E4882"/>
    <w:rsid w:val="001E73AB"/>
    <w:rsid w:val="001F092D"/>
    <w:rsid w:val="001F143A"/>
    <w:rsid w:val="001F1605"/>
    <w:rsid w:val="001F2508"/>
    <w:rsid w:val="001F4816"/>
    <w:rsid w:val="001F69B4"/>
    <w:rsid w:val="001F77C7"/>
    <w:rsid w:val="00200183"/>
    <w:rsid w:val="00200333"/>
    <w:rsid w:val="0020107D"/>
    <w:rsid w:val="00202AA4"/>
    <w:rsid w:val="002031F7"/>
    <w:rsid w:val="002040E6"/>
    <w:rsid w:val="0020527B"/>
    <w:rsid w:val="00205F2C"/>
    <w:rsid w:val="00210B15"/>
    <w:rsid w:val="002142EA"/>
    <w:rsid w:val="00215ADD"/>
    <w:rsid w:val="002204BB"/>
    <w:rsid w:val="00221B79"/>
    <w:rsid w:val="00221C6B"/>
    <w:rsid w:val="002253A1"/>
    <w:rsid w:val="00225CF8"/>
    <w:rsid w:val="0022794E"/>
    <w:rsid w:val="00233D64"/>
    <w:rsid w:val="0023482A"/>
    <w:rsid w:val="002359CB"/>
    <w:rsid w:val="00243540"/>
    <w:rsid w:val="0024497B"/>
    <w:rsid w:val="0024515B"/>
    <w:rsid w:val="00246021"/>
    <w:rsid w:val="0024666E"/>
    <w:rsid w:val="00247F52"/>
    <w:rsid w:val="00250B25"/>
    <w:rsid w:val="00250BBE"/>
    <w:rsid w:val="002515C2"/>
    <w:rsid w:val="0025194F"/>
    <w:rsid w:val="0026148A"/>
    <w:rsid w:val="00262696"/>
    <w:rsid w:val="00263D25"/>
    <w:rsid w:val="002643C3"/>
    <w:rsid w:val="00264A0C"/>
    <w:rsid w:val="00266EEB"/>
    <w:rsid w:val="00267EF4"/>
    <w:rsid w:val="00270CB8"/>
    <w:rsid w:val="00272B08"/>
    <w:rsid w:val="00281BB8"/>
    <w:rsid w:val="00281E9E"/>
    <w:rsid w:val="00282405"/>
    <w:rsid w:val="00285170"/>
    <w:rsid w:val="00285361"/>
    <w:rsid w:val="00292D60"/>
    <w:rsid w:val="00293B30"/>
    <w:rsid w:val="00294D34"/>
    <w:rsid w:val="00294E3B"/>
    <w:rsid w:val="00296193"/>
    <w:rsid w:val="00296C66"/>
    <w:rsid w:val="00296EBE"/>
    <w:rsid w:val="002974E3"/>
    <w:rsid w:val="002A084B"/>
    <w:rsid w:val="002A1260"/>
    <w:rsid w:val="002A1589"/>
    <w:rsid w:val="002A1608"/>
    <w:rsid w:val="002A25DC"/>
    <w:rsid w:val="002A3AAB"/>
    <w:rsid w:val="002A4CEA"/>
    <w:rsid w:val="002A5977"/>
    <w:rsid w:val="002A5A13"/>
    <w:rsid w:val="002A757F"/>
    <w:rsid w:val="002A7F44"/>
    <w:rsid w:val="002B0C40"/>
    <w:rsid w:val="002B1966"/>
    <w:rsid w:val="002B4508"/>
    <w:rsid w:val="002B5779"/>
    <w:rsid w:val="002B7332"/>
    <w:rsid w:val="002B7F51"/>
    <w:rsid w:val="002C09E7"/>
    <w:rsid w:val="002C1E06"/>
    <w:rsid w:val="002C3F07"/>
    <w:rsid w:val="002C5278"/>
    <w:rsid w:val="002C7EBB"/>
    <w:rsid w:val="002D06C1"/>
    <w:rsid w:val="002D42B5"/>
    <w:rsid w:val="002D4F1A"/>
    <w:rsid w:val="002D6EC6"/>
    <w:rsid w:val="002D79AC"/>
    <w:rsid w:val="002E039D"/>
    <w:rsid w:val="002E4D5A"/>
    <w:rsid w:val="002E6326"/>
    <w:rsid w:val="002F30E0"/>
    <w:rsid w:val="002F35E4"/>
    <w:rsid w:val="002F3730"/>
    <w:rsid w:val="002F38E1"/>
    <w:rsid w:val="002F7AF6"/>
    <w:rsid w:val="00300E63"/>
    <w:rsid w:val="00302F5F"/>
    <w:rsid w:val="0030441D"/>
    <w:rsid w:val="00306063"/>
    <w:rsid w:val="00313B85"/>
    <w:rsid w:val="00317988"/>
    <w:rsid w:val="003221B4"/>
    <w:rsid w:val="0032258D"/>
    <w:rsid w:val="00322E62"/>
    <w:rsid w:val="00324D13"/>
    <w:rsid w:val="00324EDD"/>
    <w:rsid w:val="003331E4"/>
    <w:rsid w:val="00336C64"/>
    <w:rsid w:val="00337162"/>
    <w:rsid w:val="0034194F"/>
    <w:rsid w:val="00344605"/>
    <w:rsid w:val="003474AA"/>
    <w:rsid w:val="00350D1D"/>
    <w:rsid w:val="00352C83"/>
    <w:rsid w:val="00352F1A"/>
    <w:rsid w:val="0036107C"/>
    <w:rsid w:val="003615D2"/>
    <w:rsid w:val="0036429C"/>
    <w:rsid w:val="00364A53"/>
    <w:rsid w:val="003654CB"/>
    <w:rsid w:val="00365AA9"/>
    <w:rsid w:val="00365F86"/>
    <w:rsid w:val="00365F87"/>
    <w:rsid w:val="00366E89"/>
    <w:rsid w:val="003705F4"/>
    <w:rsid w:val="00370D58"/>
    <w:rsid w:val="00371316"/>
    <w:rsid w:val="00376713"/>
    <w:rsid w:val="00381815"/>
    <w:rsid w:val="003819AF"/>
    <w:rsid w:val="003820E9"/>
    <w:rsid w:val="00382DE7"/>
    <w:rsid w:val="00384FFC"/>
    <w:rsid w:val="003872FC"/>
    <w:rsid w:val="00387ADC"/>
    <w:rsid w:val="00390020"/>
    <w:rsid w:val="003903D6"/>
    <w:rsid w:val="00390EE6"/>
    <w:rsid w:val="0039118F"/>
    <w:rsid w:val="00392AD7"/>
    <w:rsid w:val="003938D9"/>
    <w:rsid w:val="00394376"/>
    <w:rsid w:val="003943FF"/>
    <w:rsid w:val="003974EB"/>
    <w:rsid w:val="00397CC5"/>
    <w:rsid w:val="003A0C54"/>
    <w:rsid w:val="003A11D1"/>
    <w:rsid w:val="003A1582"/>
    <w:rsid w:val="003A3D9C"/>
    <w:rsid w:val="003A4077"/>
    <w:rsid w:val="003A4AA7"/>
    <w:rsid w:val="003B09AD"/>
    <w:rsid w:val="003B1F18"/>
    <w:rsid w:val="003B5BF0"/>
    <w:rsid w:val="003B60BF"/>
    <w:rsid w:val="003B6BE3"/>
    <w:rsid w:val="003C010C"/>
    <w:rsid w:val="003C0A6C"/>
    <w:rsid w:val="003C14F8"/>
    <w:rsid w:val="003C5A43"/>
    <w:rsid w:val="003D0519"/>
    <w:rsid w:val="003D0FF6"/>
    <w:rsid w:val="003D262C"/>
    <w:rsid w:val="003D6D61"/>
    <w:rsid w:val="003E019F"/>
    <w:rsid w:val="003E091D"/>
    <w:rsid w:val="003E1C53"/>
    <w:rsid w:val="003E2A69"/>
    <w:rsid w:val="003E2D49"/>
    <w:rsid w:val="003E2FD4"/>
    <w:rsid w:val="003E49F6"/>
    <w:rsid w:val="003E660F"/>
    <w:rsid w:val="003F0841"/>
    <w:rsid w:val="003F23D3"/>
    <w:rsid w:val="003F3F08"/>
    <w:rsid w:val="003F49F1"/>
    <w:rsid w:val="003F6272"/>
    <w:rsid w:val="00400E72"/>
    <w:rsid w:val="00401400"/>
    <w:rsid w:val="00404869"/>
    <w:rsid w:val="00405884"/>
    <w:rsid w:val="00407D39"/>
    <w:rsid w:val="0041477A"/>
    <w:rsid w:val="004167A3"/>
    <w:rsid w:val="00427EA9"/>
    <w:rsid w:val="00432DAA"/>
    <w:rsid w:val="00434305"/>
    <w:rsid w:val="00435DF7"/>
    <w:rsid w:val="0043741A"/>
    <w:rsid w:val="0044083F"/>
    <w:rsid w:val="00441AE7"/>
    <w:rsid w:val="00445574"/>
    <w:rsid w:val="004467FB"/>
    <w:rsid w:val="00452D6B"/>
    <w:rsid w:val="00454484"/>
    <w:rsid w:val="0045517B"/>
    <w:rsid w:val="00463B77"/>
    <w:rsid w:val="00463C7B"/>
    <w:rsid w:val="004644A6"/>
    <w:rsid w:val="004659BD"/>
    <w:rsid w:val="00470775"/>
    <w:rsid w:val="004746B1"/>
    <w:rsid w:val="0047583F"/>
    <w:rsid w:val="00475DE8"/>
    <w:rsid w:val="00481C44"/>
    <w:rsid w:val="00484936"/>
    <w:rsid w:val="00485C89"/>
    <w:rsid w:val="00486BE3"/>
    <w:rsid w:val="004905E4"/>
    <w:rsid w:val="00490A4C"/>
    <w:rsid w:val="00490A89"/>
    <w:rsid w:val="00490AB4"/>
    <w:rsid w:val="00492F02"/>
    <w:rsid w:val="004939AE"/>
    <w:rsid w:val="004A12DF"/>
    <w:rsid w:val="004A1BA8"/>
    <w:rsid w:val="004A4B57"/>
    <w:rsid w:val="004A63FA"/>
    <w:rsid w:val="004A6A3D"/>
    <w:rsid w:val="004B0272"/>
    <w:rsid w:val="004B2701"/>
    <w:rsid w:val="004B2E1B"/>
    <w:rsid w:val="004B3AA8"/>
    <w:rsid w:val="004B3E93"/>
    <w:rsid w:val="004C1FBC"/>
    <w:rsid w:val="004C25A2"/>
    <w:rsid w:val="004C3F1D"/>
    <w:rsid w:val="004C458D"/>
    <w:rsid w:val="004C7556"/>
    <w:rsid w:val="004C7E8B"/>
    <w:rsid w:val="004C7E9D"/>
    <w:rsid w:val="004C7F67"/>
    <w:rsid w:val="004D076D"/>
    <w:rsid w:val="004D0EF1"/>
    <w:rsid w:val="004D2253"/>
    <w:rsid w:val="004D4406"/>
    <w:rsid w:val="004D7C42"/>
    <w:rsid w:val="004E0465"/>
    <w:rsid w:val="004E127B"/>
    <w:rsid w:val="004E1C0A"/>
    <w:rsid w:val="004E30C5"/>
    <w:rsid w:val="004E4AA5"/>
    <w:rsid w:val="004E4AEE"/>
    <w:rsid w:val="004E59E3"/>
    <w:rsid w:val="004E67C0"/>
    <w:rsid w:val="004F391A"/>
    <w:rsid w:val="004F3CFB"/>
    <w:rsid w:val="004F6456"/>
    <w:rsid w:val="004F696E"/>
    <w:rsid w:val="004F6C71"/>
    <w:rsid w:val="00501139"/>
    <w:rsid w:val="0050363E"/>
    <w:rsid w:val="005039BC"/>
    <w:rsid w:val="005043BB"/>
    <w:rsid w:val="00504A3D"/>
    <w:rsid w:val="00505767"/>
    <w:rsid w:val="005073F0"/>
    <w:rsid w:val="00510A7B"/>
    <w:rsid w:val="00512F6E"/>
    <w:rsid w:val="00513038"/>
    <w:rsid w:val="00514174"/>
    <w:rsid w:val="00516088"/>
    <w:rsid w:val="00516B0B"/>
    <w:rsid w:val="005220EC"/>
    <w:rsid w:val="00523F95"/>
    <w:rsid w:val="00524D65"/>
    <w:rsid w:val="00525B16"/>
    <w:rsid w:val="00533D04"/>
    <w:rsid w:val="00534804"/>
    <w:rsid w:val="00534BDF"/>
    <w:rsid w:val="005354EA"/>
    <w:rsid w:val="0053585F"/>
    <w:rsid w:val="00535EC4"/>
    <w:rsid w:val="00535ED9"/>
    <w:rsid w:val="0053692B"/>
    <w:rsid w:val="00541853"/>
    <w:rsid w:val="00543BDA"/>
    <w:rsid w:val="005441CC"/>
    <w:rsid w:val="005479DA"/>
    <w:rsid w:val="00547BCC"/>
    <w:rsid w:val="0055013B"/>
    <w:rsid w:val="00551F6F"/>
    <w:rsid w:val="00555044"/>
    <w:rsid w:val="00561475"/>
    <w:rsid w:val="00562308"/>
    <w:rsid w:val="0056487B"/>
    <w:rsid w:val="00564FB9"/>
    <w:rsid w:val="00573D9E"/>
    <w:rsid w:val="005801E3"/>
    <w:rsid w:val="00581802"/>
    <w:rsid w:val="005836A8"/>
    <w:rsid w:val="0058409C"/>
    <w:rsid w:val="00584262"/>
    <w:rsid w:val="00586630"/>
    <w:rsid w:val="00587ADD"/>
    <w:rsid w:val="00593A49"/>
    <w:rsid w:val="00596160"/>
    <w:rsid w:val="005966E2"/>
    <w:rsid w:val="00597007"/>
    <w:rsid w:val="005A0966"/>
    <w:rsid w:val="005A11B7"/>
    <w:rsid w:val="005A260B"/>
    <w:rsid w:val="005A4A1B"/>
    <w:rsid w:val="005A7830"/>
    <w:rsid w:val="005A7FCE"/>
    <w:rsid w:val="005B0F3F"/>
    <w:rsid w:val="005B191C"/>
    <w:rsid w:val="005B4903"/>
    <w:rsid w:val="005B51CE"/>
    <w:rsid w:val="005B5885"/>
    <w:rsid w:val="005B5CD7"/>
    <w:rsid w:val="005B6CF6"/>
    <w:rsid w:val="005B7422"/>
    <w:rsid w:val="005C29B8"/>
    <w:rsid w:val="005C5F21"/>
    <w:rsid w:val="005C7156"/>
    <w:rsid w:val="005D0C75"/>
    <w:rsid w:val="005D4171"/>
    <w:rsid w:val="005D6A95"/>
    <w:rsid w:val="005D6B2C"/>
    <w:rsid w:val="005D6D9C"/>
    <w:rsid w:val="005E2335"/>
    <w:rsid w:val="005E34CA"/>
    <w:rsid w:val="005E3C18"/>
    <w:rsid w:val="005E4250"/>
    <w:rsid w:val="005E6812"/>
    <w:rsid w:val="005E7881"/>
    <w:rsid w:val="005E78E0"/>
    <w:rsid w:val="005F0D9C"/>
    <w:rsid w:val="005F284E"/>
    <w:rsid w:val="006015CE"/>
    <w:rsid w:val="00604784"/>
    <w:rsid w:val="00606419"/>
    <w:rsid w:val="00607D29"/>
    <w:rsid w:val="00612952"/>
    <w:rsid w:val="00614CC1"/>
    <w:rsid w:val="00615A9D"/>
    <w:rsid w:val="00617387"/>
    <w:rsid w:val="006205D6"/>
    <w:rsid w:val="006252D8"/>
    <w:rsid w:val="006259BC"/>
    <w:rsid w:val="0062636B"/>
    <w:rsid w:val="00632182"/>
    <w:rsid w:val="00632AE0"/>
    <w:rsid w:val="00633C17"/>
    <w:rsid w:val="00634D9E"/>
    <w:rsid w:val="00636E3E"/>
    <w:rsid w:val="006379F7"/>
    <w:rsid w:val="00637E4D"/>
    <w:rsid w:val="00640620"/>
    <w:rsid w:val="00641A1F"/>
    <w:rsid w:val="00645904"/>
    <w:rsid w:val="00651ACB"/>
    <w:rsid w:val="00651C47"/>
    <w:rsid w:val="00652AB2"/>
    <w:rsid w:val="00653FED"/>
    <w:rsid w:val="00654EC0"/>
    <w:rsid w:val="0065525B"/>
    <w:rsid w:val="00655D4F"/>
    <w:rsid w:val="00656D29"/>
    <w:rsid w:val="006640E5"/>
    <w:rsid w:val="006646F1"/>
    <w:rsid w:val="00664929"/>
    <w:rsid w:val="00664F62"/>
    <w:rsid w:val="006655E1"/>
    <w:rsid w:val="00672060"/>
    <w:rsid w:val="00672BFD"/>
    <w:rsid w:val="006736AA"/>
    <w:rsid w:val="006770F4"/>
    <w:rsid w:val="00677A84"/>
    <w:rsid w:val="0068026D"/>
    <w:rsid w:val="00680A27"/>
    <w:rsid w:val="006816A4"/>
    <w:rsid w:val="006819B8"/>
    <w:rsid w:val="006840A6"/>
    <w:rsid w:val="006850CD"/>
    <w:rsid w:val="00685AAB"/>
    <w:rsid w:val="00693962"/>
    <w:rsid w:val="0069796F"/>
    <w:rsid w:val="006A07AA"/>
    <w:rsid w:val="006A25E5"/>
    <w:rsid w:val="006A2B46"/>
    <w:rsid w:val="006A336D"/>
    <w:rsid w:val="006A37B9"/>
    <w:rsid w:val="006B2672"/>
    <w:rsid w:val="006B54BF"/>
    <w:rsid w:val="006B5F44"/>
    <w:rsid w:val="006B5F90"/>
    <w:rsid w:val="006B62E4"/>
    <w:rsid w:val="006C1BBA"/>
    <w:rsid w:val="006C2079"/>
    <w:rsid w:val="006C5A62"/>
    <w:rsid w:val="006C5D68"/>
    <w:rsid w:val="006C6976"/>
    <w:rsid w:val="006C6DD0"/>
    <w:rsid w:val="006D04EA"/>
    <w:rsid w:val="006D16C4"/>
    <w:rsid w:val="006D1836"/>
    <w:rsid w:val="006D3E96"/>
    <w:rsid w:val="006D4515"/>
    <w:rsid w:val="006D4BB1"/>
    <w:rsid w:val="006D6593"/>
    <w:rsid w:val="006F03A8"/>
    <w:rsid w:val="006F16A5"/>
    <w:rsid w:val="006F2ACA"/>
    <w:rsid w:val="006F2ADC"/>
    <w:rsid w:val="006F2BFE"/>
    <w:rsid w:val="006F31E9"/>
    <w:rsid w:val="006F6284"/>
    <w:rsid w:val="007002C5"/>
    <w:rsid w:val="00704387"/>
    <w:rsid w:val="00707669"/>
    <w:rsid w:val="00711CBA"/>
    <w:rsid w:val="00711FB5"/>
    <w:rsid w:val="00712A01"/>
    <w:rsid w:val="00714F58"/>
    <w:rsid w:val="00722FBF"/>
    <w:rsid w:val="00722FC2"/>
    <w:rsid w:val="00724E1B"/>
    <w:rsid w:val="00725949"/>
    <w:rsid w:val="00727FA2"/>
    <w:rsid w:val="007322D9"/>
    <w:rsid w:val="00732BC0"/>
    <w:rsid w:val="0073720F"/>
    <w:rsid w:val="00737796"/>
    <w:rsid w:val="0074165C"/>
    <w:rsid w:val="00742C35"/>
    <w:rsid w:val="007432CA"/>
    <w:rsid w:val="007439EB"/>
    <w:rsid w:val="00743CB4"/>
    <w:rsid w:val="00743F0A"/>
    <w:rsid w:val="007444E8"/>
    <w:rsid w:val="0074548E"/>
    <w:rsid w:val="00745773"/>
    <w:rsid w:val="00746800"/>
    <w:rsid w:val="007501A8"/>
    <w:rsid w:val="00750D61"/>
    <w:rsid w:val="00750EE1"/>
    <w:rsid w:val="00752B4D"/>
    <w:rsid w:val="00755402"/>
    <w:rsid w:val="00756B26"/>
    <w:rsid w:val="00756EDF"/>
    <w:rsid w:val="007600E3"/>
    <w:rsid w:val="00765C43"/>
    <w:rsid w:val="00765EFB"/>
    <w:rsid w:val="007671CA"/>
    <w:rsid w:val="00767C61"/>
    <w:rsid w:val="0077008A"/>
    <w:rsid w:val="00773C1F"/>
    <w:rsid w:val="00774DA4"/>
    <w:rsid w:val="00776599"/>
    <w:rsid w:val="0078114B"/>
    <w:rsid w:val="00781DD2"/>
    <w:rsid w:val="00783ECF"/>
    <w:rsid w:val="0078413A"/>
    <w:rsid w:val="007959E8"/>
    <w:rsid w:val="00795E9C"/>
    <w:rsid w:val="007A0521"/>
    <w:rsid w:val="007A2E12"/>
    <w:rsid w:val="007A3475"/>
    <w:rsid w:val="007A41C8"/>
    <w:rsid w:val="007A54CE"/>
    <w:rsid w:val="007A5D3A"/>
    <w:rsid w:val="007A6FD9"/>
    <w:rsid w:val="007A7FFA"/>
    <w:rsid w:val="007B04EB"/>
    <w:rsid w:val="007B0D4F"/>
    <w:rsid w:val="007B5A3D"/>
    <w:rsid w:val="007B5B95"/>
    <w:rsid w:val="007B6032"/>
    <w:rsid w:val="007B68EA"/>
    <w:rsid w:val="007B7453"/>
    <w:rsid w:val="007C2D89"/>
    <w:rsid w:val="007C4593"/>
    <w:rsid w:val="007C5309"/>
    <w:rsid w:val="007C6069"/>
    <w:rsid w:val="007D06C4"/>
    <w:rsid w:val="007D1352"/>
    <w:rsid w:val="007D2508"/>
    <w:rsid w:val="007D346A"/>
    <w:rsid w:val="007D6518"/>
    <w:rsid w:val="007D76BD"/>
    <w:rsid w:val="007E0BF1"/>
    <w:rsid w:val="007E7500"/>
    <w:rsid w:val="007F0ED8"/>
    <w:rsid w:val="007F0F63"/>
    <w:rsid w:val="007F75CE"/>
    <w:rsid w:val="008013A4"/>
    <w:rsid w:val="008027CE"/>
    <w:rsid w:val="00802F42"/>
    <w:rsid w:val="00804383"/>
    <w:rsid w:val="00804BB7"/>
    <w:rsid w:val="00804D41"/>
    <w:rsid w:val="00810257"/>
    <w:rsid w:val="008104F5"/>
    <w:rsid w:val="00811072"/>
    <w:rsid w:val="00811369"/>
    <w:rsid w:val="00815419"/>
    <w:rsid w:val="008163C8"/>
    <w:rsid w:val="008164A1"/>
    <w:rsid w:val="00816BC5"/>
    <w:rsid w:val="00817325"/>
    <w:rsid w:val="008209E6"/>
    <w:rsid w:val="00821D19"/>
    <w:rsid w:val="00823303"/>
    <w:rsid w:val="008233B2"/>
    <w:rsid w:val="00823A9F"/>
    <w:rsid w:val="00823C85"/>
    <w:rsid w:val="00825138"/>
    <w:rsid w:val="008269DD"/>
    <w:rsid w:val="008279EB"/>
    <w:rsid w:val="00830621"/>
    <w:rsid w:val="0083348C"/>
    <w:rsid w:val="008373D3"/>
    <w:rsid w:val="00840617"/>
    <w:rsid w:val="00840F84"/>
    <w:rsid w:val="0084209A"/>
    <w:rsid w:val="00842A47"/>
    <w:rsid w:val="00843C13"/>
    <w:rsid w:val="00843DEF"/>
    <w:rsid w:val="008454F8"/>
    <w:rsid w:val="00846195"/>
    <w:rsid w:val="0085173A"/>
    <w:rsid w:val="008603CE"/>
    <w:rsid w:val="008620FC"/>
    <w:rsid w:val="008627A5"/>
    <w:rsid w:val="00863E05"/>
    <w:rsid w:val="00865ACA"/>
    <w:rsid w:val="00865D28"/>
    <w:rsid w:val="00865F85"/>
    <w:rsid w:val="00867C10"/>
    <w:rsid w:val="00870439"/>
    <w:rsid w:val="00870DA1"/>
    <w:rsid w:val="00883F93"/>
    <w:rsid w:val="0088476F"/>
    <w:rsid w:val="00884DB3"/>
    <w:rsid w:val="00885A9D"/>
    <w:rsid w:val="008864F6"/>
    <w:rsid w:val="0089049D"/>
    <w:rsid w:val="008928C9"/>
    <w:rsid w:val="008930CB"/>
    <w:rsid w:val="008938DC"/>
    <w:rsid w:val="00893FD1"/>
    <w:rsid w:val="00894836"/>
    <w:rsid w:val="00895172"/>
    <w:rsid w:val="00895680"/>
    <w:rsid w:val="00896DFF"/>
    <w:rsid w:val="0089762C"/>
    <w:rsid w:val="008A173B"/>
    <w:rsid w:val="008A1893"/>
    <w:rsid w:val="008A57E6"/>
    <w:rsid w:val="008A6F81"/>
    <w:rsid w:val="008A769A"/>
    <w:rsid w:val="008B0C9C"/>
    <w:rsid w:val="008B166D"/>
    <w:rsid w:val="008B17F4"/>
    <w:rsid w:val="008B3615"/>
    <w:rsid w:val="008B4AC4"/>
    <w:rsid w:val="008B50C8"/>
    <w:rsid w:val="008B5281"/>
    <w:rsid w:val="008B7E05"/>
    <w:rsid w:val="008C1797"/>
    <w:rsid w:val="008C219C"/>
    <w:rsid w:val="008C475E"/>
    <w:rsid w:val="008C619A"/>
    <w:rsid w:val="008C7F91"/>
    <w:rsid w:val="008D0CE8"/>
    <w:rsid w:val="008D2D1D"/>
    <w:rsid w:val="008D453D"/>
    <w:rsid w:val="008D53AD"/>
    <w:rsid w:val="008D562B"/>
    <w:rsid w:val="008D5733"/>
    <w:rsid w:val="008D622B"/>
    <w:rsid w:val="008D666C"/>
    <w:rsid w:val="008D7B54"/>
    <w:rsid w:val="008E0C9D"/>
    <w:rsid w:val="008E1648"/>
    <w:rsid w:val="008E1B3E"/>
    <w:rsid w:val="008E2319"/>
    <w:rsid w:val="008E4BB6"/>
    <w:rsid w:val="008E5518"/>
    <w:rsid w:val="008E6A84"/>
    <w:rsid w:val="008F0CDC"/>
    <w:rsid w:val="008F17A3"/>
    <w:rsid w:val="008F1ED3"/>
    <w:rsid w:val="008F4C29"/>
    <w:rsid w:val="008F70BD"/>
    <w:rsid w:val="008F788F"/>
    <w:rsid w:val="008F7EA2"/>
    <w:rsid w:val="00902722"/>
    <w:rsid w:val="009027BC"/>
    <w:rsid w:val="009062E6"/>
    <w:rsid w:val="00911BE5"/>
    <w:rsid w:val="00913CA9"/>
    <w:rsid w:val="009145AE"/>
    <w:rsid w:val="009146CE"/>
    <w:rsid w:val="00914CA7"/>
    <w:rsid w:val="00915C3E"/>
    <w:rsid w:val="009161A8"/>
    <w:rsid w:val="00916CEB"/>
    <w:rsid w:val="009245AE"/>
    <w:rsid w:val="009245F5"/>
    <w:rsid w:val="009249EC"/>
    <w:rsid w:val="009273B3"/>
    <w:rsid w:val="009305B5"/>
    <w:rsid w:val="009378DD"/>
    <w:rsid w:val="009429D5"/>
    <w:rsid w:val="00942BF1"/>
    <w:rsid w:val="00945180"/>
    <w:rsid w:val="00945428"/>
    <w:rsid w:val="0094607B"/>
    <w:rsid w:val="00953604"/>
    <w:rsid w:val="0095496B"/>
    <w:rsid w:val="00960F1E"/>
    <w:rsid w:val="009610DC"/>
    <w:rsid w:val="00961490"/>
    <w:rsid w:val="0096333A"/>
    <w:rsid w:val="0096381A"/>
    <w:rsid w:val="00965E04"/>
    <w:rsid w:val="009674AD"/>
    <w:rsid w:val="00970CDC"/>
    <w:rsid w:val="0097563A"/>
    <w:rsid w:val="00975727"/>
    <w:rsid w:val="00977010"/>
    <w:rsid w:val="00977D02"/>
    <w:rsid w:val="00977FF9"/>
    <w:rsid w:val="009809BB"/>
    <w:rsid w:val="0098364B"/>
    <w:rsid w:val="009908A3"/>
    <w:rsid w:val="009911AF"/>
    <w:rsid w:val="00991875"/>
    <w:rsid w:val="00991F92"/>
    <w:rsid w:val="00992985"/>
    <w:rsid w:val="00992CD0"/>
    <w:rsid w:val="00993889"/>
    <w:rsid w:val="0099551B"/>
    <w:rsid w:val="00996BD2"/>
    <w:rsid w:val="00997BF1"/>
    <w:rsid w:val="009A089C"/>
    <w:rsid w:val="009A118E"/>
    <w:rsid w:val="009A21CD"/>
    <w:rsid w:val="009A278C"/>
    <w:rsid w:val="009A2BC2"/>
    <w:rsid w:val="009A42C1"/>
    <w:rsid w:val="009A5429"/>
    <w:rsid w:val="009A72AD"/>
    <w:rsid w:val="009B09E0"/>
    <w:rsid w:val="009B0BC5"/>
    <w:rsid w:val="009B1247"/>
    <w:rsid w:val="009B6029"/>
    <w:rsid w:val="009B6971"/>
    <w:rsid w:val="009C27F1"/>
    <w:rsid w:val="009C3152"/>
    <w:rsid w:val="009C3257"/>
    <w:rsid w:val="009C4CFA"/>
    <w:rsid w:val="009C5070"/>
    <w:rsid w:val="009D112C"/>
    <w:rsid w:val="009D1385"/>
    <w:rsid w:val="009D47FA"/>
    <w:rsid w:val="009D4C5B"/>
    <w:rsid w:val="009D50D2"/>
    <w:rsid w:val="009D6BCA"/>
    <w:rsid w:val="009E0F62"/>
    <w:rsid w:val="009E4A58"/>
    <w:rsid w:val="009E5A2D"/>
    <w:rsid w:val="009E5AB2"/>
    <w:rsid w:val="009E6219"/>
    <w:rsid w:val="009F03B3"/>
    <w:rsid w:val="00A0096C"/>
    <w:rsid w:val="00A01757"/>
    <w:rsid w:val="00A028C0"/>
    <w:rsid w:val="00A02BAE"/>
    <w:rsid w:val="00A06A6B"/>
    <w:rsid w:val="00A06F1C"/>
    <w:rsid w:val="00A07E47"/>
    <w:rsid w:val="00A129D0"/>
    <w:rsid w:val="00A12C33"/>
    <w:rsid w:val="00A138BA"/>
    <w:rsid w:val="00A14C8E"/>
    <w:rsid w:val="00A153D9"/>
    <w:rsid w:val="00A15F09"/>
    <w:rsid w:val="00A169B6"/>
    <w:rsid w:val="00A2271D"/>
    <w:rsid w:val="00A237D5"/>
    <w:rsid w:val="00A30EFC"/>
    <w:rsid w:val="00A31984"/>
    <w:rsid w:val="00A32D73"/>
    <w:rsid w:val="00A3367B"/>
    <w:rsid w:val="00A33C67"/>
    <w:rsid w:val="00A3597D"/>
    <w:rsid w:val="00A36DD1"/>
    <w:rsid w:val="00A4006C"/>
    <w:rsid w:val="00A40091"/>
    <w:rsid w:val="00A4030F"/>
    <w:rsid w:val="00A41C79"/>
    <w:rsid w:val="00A41CB5"/>
    <w:rsid w:val="00A42CDF"/>
    <w:rsid w:val="00A4452E"/>
    <w:rsid w:val="00A4472C"/>
    <w:rsid w:val="00A44E69"/>
    <w:rsid w:val="00A4661E"/>
    <w:rsid w:val="00A55BD6"/>
    <w:rsid w:val="00A55D50"/>
    <w:rsid w:val="00A57142"/>
    <w:rsid w:val="00A648CD"/>
    <w:rsid w:val="00A6537A"/>
    <w:rsid w:val="00A67866"/>
    <w:rsid w:val="00A70B07"/>
    <w:rsid w:val="00A723F8"/>
    <w:rsid w:val="00A77CCB"/>
    <w:rsid w:val="00A83D8D"/>
    <w:rsid w:val="00A8446B"/>
    <w:rsid w:val="00A8473F"/>
    <w:rsid w:val="00A862D6"/>
    <w:rsid w:val="00A8715E"/>
    <w:rsid w:val="00A9295B"/>
    <w:rsid w:val="00A93B09"/>
    <w:rsid w:val="00A952D7"/>
    <w:rsid w:val="00A963F7"/>
    <w:rsid w:val="00A96AD8"/>
    <w:rsid w:val="00AA052C"/>
    <w:rsid w:val="00AA1E45"/>
    <w:rsid w:val="00AA4286"/>
    <w:rsid w:val="00AA456B"/>
    <w:rsid w:val="00AA57F5"/>
    <w:rsid w:val="00AA672E"/>
    <w:rsid w:val="00AA6EC9"/>
    <w:rsid w:val="00AB6309"/>
    <w:rsid w:val="00AB6C5F"/>
    <w:rsid w:val="00AB7129"/>
    <w:rsid w:val="00AC27A6"/>
    <w:rsid w:val="00AC30F7"/>
    <w:rsid w:val="00AC3A5A"/>
    <w:rsid w:val="00AC4D95"/>
    <w:rsid w:val="00AC5DF4"/>
    <w:rsid w:val="00AD0AEF"/>
    <w:rsid w:val="00AD11B7"/>
    <w:rsid w:val="00AD1A94"/>
    <w:rsid w:val="00AD1C05"/>
    <w:rsid w:val="00AD4126"/>
    <w:rsid w:val="00AD421C"/>
    <w:rsid w:val="00AD44FA"/>
    <w:rsid w:val="00AE070A"/>
    <w:rsid w:val="00AE101C"/>
    <w:rsid w:val="00AE2A69"/>
    <w:rsid w:val="00AE37E5"/>
    <w:rsid w:val="00AE5EB4"/>
    <w:rsid w:val="00AF0C18"/>
    <w:rsid w:val="00AF47C5"/>
    <w:rsid w:val="00AF5398"/>
    <w:rsid w:val="00B049AF"/>
    <w:rsid w:val="00B07242"/>
    <w:rsid w:val="00B10534"/>
    <w:rsid w:val="00B113DB"/>
    <w:rsid w:val="00B11D8A"/>
    <w:rsid w:val="00B12981"/>
    <w:rsid w:val="00B147DD"/>
    <w:rsid w:val="00B156FD"/>
    <w:rsid w:val="00B21F61"/>
    <w:rsid w:val="00B261F1"/>
    <w:rsid w:val="00B265BC"/>
    <w:rsid w:val="00B31FB1"/>
    <w:rsid w:val="00B33952"/>
    <w:rsid w:val="00B33C5E"/>
    <w:rsid w:val="00B342F4"/>
    <w:rsid w:val="00B34369"/>
    <w:rsid w:val="00B34808"/>
    <w:rsid w:val="00B34DC2"/>
    <w:rsid w:val="00B378E5"/>
    <w:rsid w:val="00B4346D"/>
    <w:rsid w:val="00B43759"/>
    <w:rsid w:val="00B440F4"/>
    <w:rsid w:val="00B447A5"/>
    <w:rsid w:val="00B4654C"/>
    <w:rsid w:val="00B47293"/>
    <w:rsid w:val="00B50E50"/>
    <w:rsid w:val="00B52120"/>
    <w:rsid w:val="00B54ABC"/>
    <w:rsid w:val="00B56FBE"/>
    <w:rsid w:val="00B60ACF"/>
    <w:rsid w:val="00B62B58"/>
    <w:rsid w:val="00B65149"/>
    <w:rsid w:val="00B66567"/>
    <w:rsid w:val="00B66F52"/>
    <w:rsid w:val="00B66FE5"/>
    <w:rsid w:val="00B72880"/>
    <w:rsid w:val="00B758BF"/>
    <w:rsid w:val="00B77EC8"/>
    <w:rsid w:val="00B827A6"/>
    <w:rsid w:val="00B831CE"/>
    <w:rsid w:val="00B86677"/>
    <w:rsid w:val="00B87131"/>
    <w:rsid w:val="00B939B1"/>
    <w:rsid w:val="00B958E7"/>
    <w:rsid w:val="00B96D40"/>
    <w:rsid w:val="00B97386"/>
    <w:rsid w:val="00BA263B"/>
    <w:rsid w:val="00BA42B2"/>
    <w:rsid w:val="00BA58D4"/>
    <w:rsid w:val="00BA5B9E"/>
    <w:rsid w:val="00BA7C9A"/>
    <w:rsid w:val="00BB5F8F"/>
    <w:rsid w:val="00BB657A"/>
    <w:rsid w:val="00BC1A4E"/>
    <w:rsid w:val="00BC5DC7"/>
    <w:rsid w:val="00BC6B8B"/>
    <w:rsid w:val="00BC73D8"/>
    <w:rsid w:val="00BD52D7"/>
    <w:rsid w:val="00BD5AD2"/>
    <w:rsid w:val="00BE22F3"/>
    <w:rsid w:val="00BE5B52"/>
    <w:rsid w:val="00BE7B8D"/>
    <w:rsid w:val="00BF0993"/>
    <w:rsid w:val="00BF10A9"/>
    <w:rsid w:val="00BF1703"/>
    <w:rsid w:val="00BF231C"/>
    <w:rsid w:val="00BF51E5"/>
    <w:rsid w:val="00BF74A6"/>
    <w:rsid w:val="00C013AD"/>
    <w:rsid w:val="00C04904"/>
    <w:rsid w:val="00C056B3"/>
    <w:rsid w:val="00C103E5"/>
    <w:rsid w:val="00C13319"/>
    <w:rsid w:val="00C13EE9"/>
    <w:rsid w:val="00C21540"/>
    <w:rsid w:val="00C21906"/>
    <w:rsid w:val="00C21BFA"/>
    <w:rsid w:val="00C24C8D"/>
    <w:rsid w:val="00C25FE2"/>
    <w:rsid w:val="00C26B53"/>
    <w:rsid w:val="00C279B2"/>
    <w:rsid w:val="00C33E50"/>
    <w:rsid w:val="00C34C20"/>
    <w:rsid w:val="00C35A3E"/>
    <w:rsid w:val="00C42130"/>
    <w:rsid w:val="00C423A4"/>
    <w:rsid w:val="00C423E3"/>
    <w:rsid w:val="00C44BF5"/>
    <w:rsid w:val="00C521D6"/>
    <w:rsid w:val="00C55232"/>
    <w:rsid w:val="00C553A4"/>
    <w:rsid w:val="00C55A06"/>
    <w:rsid w:val="00C55D03"/>
    <w:rsid w:val="00C601BC"/>
    <w:rsid w:val="00C6329F"/>
    <w:rsid w:val="00C63340"/>
    <w:rsid w:val="00C643F9"/>
    <w:rsid w:val="00C64E95"/>
    <w:rsid w:val="00C71372"/>
    <w:rsid w:val="00C72410"/>
    <w:rsid w:val="00C7287F"/>
    <w:rsid w:val="00C80CB8"/>
    <w:rsid w:val="00C819F8"/>
    <w:rsid w:val="00C8248C"/>
    <w:rsid w:val="00C84E33"/>
    <w:rsid w:val="00C86D6F"/>
    <w:rsid w:val="00C905FC"/>
    <w:rsid w:val="00C92D03"/>
    <w:rsid w:val="00C9319C"/>
    <w:rsid w:val="00C9435D"/>
    <w:rsid w:val="00C94DF2"/>
    <w:rsid w:val="00C96741"/>
    <w:rsid w:val="00CA2D1B"/>
    <w:rsid w:val="00CA31EF"/>
    <w:rsid w:val="00CA375D"/>
    <w:rsid w:val="00CA662A"/>
    <w:rsid w:val="00CA7AFD"/>
    <w:rsid w:val="00CA7C3C"/>
    <w:rsid w:val="00CB0189"/>
    <w:rsid w:val="00CB0BA2"/>
    <w:rsid w:val="00CB1A42"/>
    <w:rsid w:val="00CB1B0C"/>
    <w:rsid w:val="00CB2C0B"/>
    <w:rsid w:val="00CB517D"/>
    <w:rsid w:val="00CC038D"/>
    <w:rsid w:val="00CC08DB"/>
    <w:rsid w:val="00CC39FF"/>
    <w:rsid w:val="00CC3C2F"/>
    <w:rsid w:val="00CC4AC8"/>
    <w:rsid w:val="00CC5233"/>
    <w:rsid w:val="00CC5DE6"/>
    <w:rsid w:val="00CC6E4E"/>
    <w:rsid w:val="00CC6FE8"/>
    <w:rsid w:val="00CC7202"/>
    <w:rsid w:val="00CD2808"/>
    <w:rsid w:val="00CD28BF"/>
    <w:rsid w:val="00CD4092"/>
    <w:rsid w:val="00CD4A20"/>
    <w:rsid w:val="00CD50A1"/>
    <w:rsid w:val="00CD519E"/>
    <w:rsid w:val="00CE0C4F"/>
    <w:rsid w:val="00CE30EA"/>
    <w:rsid w:val="00CF048A"/>
    <w:rsid w:val="00CF155A"/>
    <w:rsid w:val="00CF2947"/>
    <w:rsid w:val="00CF686F"/>
    <w:rsid w:val="00CF6E60"/>
    <w:rsid w:val="00CF7BCA"/>
    <w:rsid w:val="00D008FD"/>
    <w:rsid w:val="00D0321C"/>
    <w:rsid w:val="00D035EC"/>
    <w:rsid w:val="00D06AB1"/>
    <w:rsid w:val="00D06FC1"/>
    <w:rsid w:val="00D072ED"/>
    <w:rsid w:val="00D07A16"/>
    <w:rsid w:val="00D1067E"/>
    <w:rsid w:val="00D10F50"/>
    <w:rsid w:val="00D11272"/>
    <w:rsid w:val="00D126F5"/>
    <w:rsid w:val="00D1489E"/>
    <w:rsid w:val="00D20737"/>
    <w:rsid w:val="00D21E81"/>
    <w:rsid w:val="00D223DE"/>
    <w:rsid w:val="00D25E37"/>
    <w:rsid w:val="00D2661A"/>
    <w:rsid w:val="00D27582"/>
    <w:rsid w:val="00D27EC4"/>
    <w:rsid w:val="00D32719"/>
    <w:rsid w:val="00D32CF0"/>
    <w:rsid w:val="00D33333"/>
    <w:rsid w:val="00D352A2"/>
    <w:rsid w:val="00D4162B"/>
    <w:rsid w:val="00D4514F"/>
    <w:rsid w:val="00D451E2"/>
    <w:rsid w:val="00D45E89"/>
    <w:rsid w:val="00D45E8D"/>
    <w:rsid w:val="00D466AE"/>
    <w:rsid w:val="00D4734F"/>
    <w:rsid w:val="00D51BF3"/>
    <w:rsid w:val="00D66846"/>
    <w:rsid w:val="00D675FB"/>
    <w:rsid w:val="00D71F25"/>
    <w:rsid w:val="00D72A9C"/>
    <w:rsid w:val="00D77031"/>
    <w:rsid w:val="00D84941"/>
    <w:rsid w:val="00D84FA1"/>
    <w:rsid w:val="00D851F0"/>
    <w:rsid w:val="00D86DB7"/>
    <w:rsid w:val="00D87BF5"/>
    <w:rsid w:val="00D90721"/>
    <w:rsid w:val="00D926D0"/>
    <w:rsid w:val="00D93030"/>
    <w:rsid w:val="00D950E1"/>
    <w:rsid w:val="00D952A6"/>
    <w:rsid w:val="00D97F99"/>
    <w:rsid w:val="00DA1E08"/>
    <w:rsid w:val="00DA24F8"/>
    <w:rsid w:val="00DA28E8"/>
    <w:rsid w:val="00DA38D3"/>
    <w:rsid w:val="00DA3932"/>
    <w:rsid w:val="00DA3AFC"/>
    <w:rsid w:val="00DA64F8"/>
    <w:rsid w:val="00DA6C15"/>
    <w:rsid w:val="00DB0258"/>
    <w:rsid w:val="00DB38EE"/>
    <w:rsid w:val="00DB498B"/>
    <w:rsid w:val="00DB66CA"/>
    <w:rsid w:val="00DB6BCA"/>
    <w:rsid w:val="00DB6F54"/>
    <w:rsid w:val="00DB73F7"/>
    <w:rsid w:val="00DC0321"/>
    <w:rsid w:val="00DC3067"/>
    <w:rsid w:val="00DC370B"/>
    <w:rsid w:val="00DC5B90"/>
    <w:rsid w:val="00DD00FF"/>
    <w:rsid w:val="00DD0619"/>
    <w:rsid w:val="00DD07FB"/>
    <w:rsid w:val="00DD25C6"/>
    <w:rsid w:val="00DD4FE5"/>
    <w:rsid w:val="00DD54B0"/>
    <w:rsid w:val="00DD57EE"/>
    <w:rsid w:val="00DD6BCC"/>
    <w:rsid w:val="00DE0A4B"/>
    <w:rsid w:val="00DE2410"/>
    <w:rsid w:val="00DE2939"/>
    <w:rsid w:val="00DE6E81"/>
    <w:rsid w:val="00DE703F"/>
    <w:rsid w:val="00DE7595"/>
    <w:rsid w:val="00DF1961"/>
    <w:rsid w:val="00DF44DE"/>
    <w:rsid w:val="00E009A6"/>
    <w:rsid w:val="00E01138"/>
    <w:rsid w:val="00E02DFB"/>
    <w:rsid w:val="00E030F9"/>
    <w:rsid w:val="00E0311A"/>
    <w:rsid w:val="00E03138"/>
    <w:rsid w:val="00E06404"/>
    <w:rsid w:val="00E11A85"/>
    <w:rsid w:val="00E12495"/>
    <w:rsid w:val="00E15CCD"/>
    <w:rsid w:val="00E202EF"/>
    <w:rsid w:val="00E210B5"/>
    <w:rsid w:val="00E2552F"/>
    <w:rsid w:val="00E3137A"/>
    <w:rsid w:val="00E32CCF"/>
    <w:rsid w:val="00E34A98"/>
    <w:rsid w:val="00E35D1E"/>
    <w:rsid w:val="00E364F9"/>
    <w:rsid w:val="00E365FA"/>
    <w:rsid w:val="00E36789"/>
    <w:rsid w:val="00E44A83"/>
    <w:rsid w:val="00E502C1"/>
    <w:rsid w:val="00E502DD"/>
    <w:rsid w:val="00E50D3A"/>
    <w:rsid w:val="00E51387"/>
    <w:rsid w:val="00E51E68"/>
    <w:rsid w:val="00E52EFD"/>
    <w:rsid w:val="00E5408A"/>
    <w:rsid w:val="00E56800"/>
    <w:rsid w:val="00E60C63"/>
    <w:rsid w:val="00E62FF9"/>
    <w:rsid w:val="00E635D6"/>
    <w:rsid w:val="00E639BC"/>
    <w:rsid w:val="00E664CC"/>
    <w:rsid w:val="00E70388"/>
    <w:rsid w:val="00E70F92"/>
    <w:rsid w:val="00E74313"/>
    <w:rsid w:val="00E74C54"/>
    <w:rsid w:val="00E77A03"/>
    <w:rsid w:val="00E822E8"/>
    <w:rsid w:val="00E82554"/>
    <w:rsid w:val="00E82606"/>
    <w:rsid w:val="00E831C1"/>
    <w:rsid w:val="00E846C8"/>
    <w:rsid w:val="00E84957"/>
    <w:rsid w:val="00E84A55"/>
    <w:rsid w:val="00E85BFF"/>
    <w:rsid w:val="00E90391"/>
    <w:rsid w:val="00E906C2"/>
    <w:rsid w:val="00E9311F"/>
    <w:rsid w:val="00E934D1"/>
    <w:rsid w:val="00E94AF0"/>
    <w:rsid w:val="00E95D13"/>
    <w:rsid w:val="00E95DD3"/>
    <w:rsid w:val="00E969D5"/>
    <w:rsid w:val="00EA0DBD"/>
    <w:rsid w:val="00EA58D1"/>
    <w:rsid w:val="00EA61BC"/>
    <w:rsid w:val="00EA681A"/>
    <w:rsid w:val="00EA735B"/>
    <w:rsid w:val="00EB1E69"/>
    <w:rsid w:val="00EB2086"/>
    <w:rsid w:val="00EB31ED"/>
    <w:rsid w:val="00EB5EDF"/>
    <w:rsid w:val="00EB60FE"/>
    <w:rsid w:val="00EB74DB"/>
    <w:rsid w:val="00EC5359"/>
    <w:rsid w:val="00EC562A"/>
    <w:rsid w:val="00ED067A"/>
    <w:rsid w:val="00ED2B50"/>
    <w:rsid w:val="00EE0350"/>
    <w:rsid w:val="00EE0719"/>
    <w:rsid w:val="00EE0E80"/>
    <w:rsid w:val="00EE613F"/>
    <w:rsid w:val="00EE7295"/>
    <w:rsid w:val="00EE7869"/>
    <w:rsid w:val="00EF054A"/>
    <w:rsid w:val="00EF3235"/>
    <w:rsid w:val="00EF7E72"/>
    <w:rsid w:val="00F00222"/>
    <w:rsid w:val="00F06D37"/>
    <w:rsid w:val="00F07B9D"/>
    <w:rsid w:val="00F11586"/>
    <w:rsid w:val="00F1183B"/>
    <w:rsid w:val="00F11C9F"/>
    <w:rsid w:val="00F12263"/>
    <w:rsid w:val="00F1409D"/>
    <w:rsid w:val="00F14214"/>
    <w:rsid w:val="00F157A9"/>
    <w:rsid w:val="00F16F00"/>
    <w:rsid w:val="00F25BB6"/>
    <w:rsid w:val="00F26B7E"/>
    <w:rsid w:val="00F27A3B"/>
    <w:rsid w:val="00F32780"/>
    <w:rsid w:val="00F33817"/>
    <w:rsid w:val="00F420D5"/>
    <w:rsid w:val="00F451EA"/>
    <w:rsid w:val="00F45447"/>
    <w:rsid w:val="00F456C6"/>
    <w:rsid w:val="00F4577B"/>
    <w:rsid w:val="00F46496"/>
    <w:rsid w:val="00F474D0"/>
    <w:rsid w:val="00F50179"/>
    <w:rsid w:val="00F515EE"/>
    <w:rsid w:val="00F56511"/>
    <w:rsid w:val="00F6194E"/>
    <w:rsid w:val="00F623AC"/>
    <w:rsid w:val="00F6412A"/>
    <w:rsid w:val="00F65893"/>
    <w:rsid w:val="00F66A4A"/>
    <w:rsid w:val="00F71E22"/>
    <w:rsid w:val="00F72142"/>
    <w:rsid w:val="00F72AE7"/>
    <w:rsid w:val="00F73A40"/>
    <w:rsid w:val="00F833BA"/>
    <w:rsid w:val="00F84FD0"/>
    <w:rsid w:val="00F859A8"/>
    <w:rsid w:val="00F86D87"/>
    <w:rsid w:val="00F9108B"/>
    <w:rsid w:val="00F91349"/>
    <w:rsid w:val="00F93A8A"/>
    <w:rsid w:val="00F95248"/>
    <w:rsid w:val="00F956A9"/>
    <w:rsid w:val="00F963ED"/>
    <w:rsid w:val="00F966CF"/>
    <w:rsid w:val="00F96CAE"/>
    <w:rsid w:val="00F97C99"/>
    <w:rsid w:val="00FA662D"/>
    <w:rsid w:val="00FA73B1"/>
    <w:rsid w:val="00FB0CB9"/>
    <w:rsid w:val="00FB231D"/>
    <w:rsid w:val="00FB45F1"/>
    <w:rsid w:val="00FB4A72"/>
    <w:rsid w:val="00FB54E8"/>
    <w:rsid w:val="00FB7054"/>
    <w:rsid w:val="00FC17B7"/>
    <w:rsid w:val="00FC2CB7"/>
    <w:rsid w:val="00FC4090"/>
    <w:rsid w:val="00FC55B4"/>
    <w:rsid w:val="00FD00E6"/>
    <w:rsid w:val="00FD09A1"/>
    <w:rsid w:val="00FD2A7C"/>
    <w:rsid w:val="00FD59EB"/>
    <w:rsid w:val="00FD7299"/>
    <w:rsid w:val="00FE1FBE"/>
    <w:rsid w:val="00FE3901"/>
    <w:rsid w:val="00FE39D3"/>
    <w:rsid w:val="00FE4BCE"/>
    <w:rsid w:val="00FE54AE"/>
    <w:rsid w:val="00FE576A"/>
    <w:rsid w:val="00FE7E79"/>
    <w:rsid w:val="00FF3E7D"/>
    <w:rsid w:val="00FF5B99"/>
    <w:rsid w:val="00FF730C"/>
    <w:rsid w:val="00FF73F4"/>
    <w:rsid w:val="00FF7CE4"/>
    <w:rsid w:val="00FF7E39"/>
    <w:rsid w:val="0457633D"/>
    <w:rsid w:val="04D035F5"/>
    <w:rsid w:val="080D2DB2"/>
    <w:rsid w:val="085338F1"/>
    <w:rsid w:val="08E92ED7"/>
    <w:rsid w:val="0926237D"/>
    <w:rsid w:val="0946032A"/>
    <w:rsid w:val="0A426D43"/>
    <w:rsid w:val="0BB90B6D"/>
    <w:rsid w:val="0BF409A8"/>
    <w:rsid w:val="0CC7352F"/>
    <w:rsid w:val="0DF052B3"/>
    <w:rsid w:val="0F3A448D"/>
    <w:rsid w:val="10836160"/>
    <w:rsid w:val="12481122"/>
    <w:rsid w:val="12C14EC5"/>
    <w:rsid w:val="186D58D3"/>
    <w:rsid w:val="1A8C1DD9"/>
    <w:rsid w:val="1B1262BE"/>
    <w:rsid w:val="1C5A482F"/>
    <w:rsid w:val="1D6848BB"/>
    <w:rsid w:val="20685E61"/>
    <w:rsid w:val="206E5844"/>
    <w:rsid w:val="21BE2CFB"/>
    <w:rsid w:val="22C41308"/>
    <w:rsid w:val="25EC3BAF"/>
    <w:rsid w:val="270A69E3"/>
    <w:rsid w:val="2A5C1303"/>
    <w:rsid w:val="2A9860B3"/>
    <w:rsid w:val="2B3771D1"/>
    <w:rsid w:val="2B6366C1"/>
    <w:rsid w:val="2BD25271"/>
    <w:rsid w:val="2EAE774E"/>
    <w:rsid w:val="2EB536D8"/>
    <w:rsid w:val="2F0E519C"/>
    <w:rsid w:val="3077690B"/>
    <w:rsid w:val="31A44A84"/>
    <w:rsid w:val="328952BB"/>
    <w:rsid w:val="32C03D43"/>
    <w:rsid w:val="334D3EDF"/>
    <w:rsid w:val="35A40002"/>
    <w:rsid w:val="36B10C29"/>
    <w:rsid w:val="395064D7"/>
    <w:rsid w:val="39893797"/>
    <w:rsid w:val="3B620744"/>
    <w:rsid w:val="3E300685"/>
    <w:rsid w:val="414032D5"/>
    <w:rsid w:val="42862F6A"/>
    <w:rsid w:val="44A75419"/>
    <w:rsid w:val="44F7090B"/>
    <w:rsid w:val="49A47AF7"/>
    <w:rsid w:val="4D693BB4"/>
    <w:rsid w:val="4E7740AE"/>
    <w:rsid w:val="51A219F0"/>
    <w:rsid w:val="57744397"/>
    <w:rsid w:val="59485C27"/>
    <w:rsid w:val="5A7F6EEF"/>
    <w:rsid w:val="5D35722E"/>
    <w:rsid w:val="5DEC5943"/>
    <w:rsid w:val="60E15308"/>
    <w:rsid w:val="627B3D15"/>
    <w:rsid w:val="63365E8E"/>
    <w:rsid w:val="63984453"/>
    <w:rsid w:val="63C4349A"/>
    <w:rsid w:val="63E87188"/>
    <w:rsid w:val="652E506F"/>
    <w:rsid w:val="664B39FF"/>
    <w:rsid w:val="66C537B1"/>
    <w:rsid w:val="68410E80"/>
    <w:rsid w:val="6A4946F9"/>
    <w:rsid w:val="6B56531F"/>
    <w:rsid w:val="72B90C9D"/>
    <w:rsid w:val="737044EB"/>
    <w:rsid w:val="75630D65"/>
    <w:rsid w:val="75901B5A"/>
    <w:rsid w:val="79DC7DD6"/>
    <w:rsid w:val="7BF84C41"/>
    <w:rsid w:val="7C717599"/>
    <w:rsid w:val="7C8141C6"/>
    <w:rsid w:val="7E192908"/>
    <w:rsid w:val="7E5E35DC"/>
    <w:rsid w:val="7EE60311"/>
    <w:rsid w:val="7EFE38AC"/>
    <w:rsid w:val="7F601E7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uiPriority="0" w:name="toc 8"/>
    <w:lsdException w:uiPriority="0" w:name="toc 9"/>
    <w:lsdException w:qFormat="1" w:unhideWhenUsed="0" w:uiPriority="0" w:semiHidden="0" w:name="Normal Indent"/>
    <w:lsdException w:qFormat="1" w:unhideWhenUsed="0" w:uiPriority="0"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35" w:name="caption"/>
    <w:lsdException w:qFormat="1" w:unhideWhenUsed="0" w:uiPriority="0" w:name="table of figures"/>
    <w:lsdException w:uiPriority="99" w:name="envelope address"/>
    <w:lsdException w:uiPriority="99" w:name="envelope return"/>
    <w:lsdException w:qFormat="1" w:unhideWhenUsed="0" w:uiPriority="0"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29" w:semiHidden="0" w:name="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pacing w:line="400" w:lineRule="exact"/>
      <w:jc w:val="both"/>
    </w:pPr>
    <w:rPr>
      <w:rFonts w:ascii="Calibri" w:hAnsi="Calibri" w:eastAsia="宋体" w:cs="Times New Roman"/>
      <w:kern w:val="2"/>
      <w:sz w:val="21"/>
      <w:szCs w:val="21"/>
      <w:lang w:val="en-US" w:eastAsia="zh-CN" w:bidi="ar-SA"/>
    </w:rPr>
  </w:style>
  <w:style w:type="paragraph" w:styleId="2">
    <w:name w:val="heading 1"/>
    <w:basedOn w:val="1"/>
    <w:next w:val="1"/>
    <w:link w:val="34"/>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35"/>
    <w:qFormat/>
    <w:uiPriority w:val="0"/>
    <w:pPr>
      <w:keepNext/>
      <w:keepLines/>
      <w:spacing w:before="260" w:after="260" w:line="416" w:lineRule="auto"/>
      <w:outlineLvl w:val="1"/>
    </w:pPr>
    <w:rPr>
      <w:rFonts w:ascii="Arial" w:hAnsi="Arial" w:eastAsia="黑体"/>
      <w:b/>
      <w:bCs/>
      <w:sz w:val="32"/>
      <w:szCs w:val="32"/>
    </w:rPr>
  </w:style>
  <w:style w:type="paragraph" w:styleId="4">
    <w:name w:val="heading 3"/>
    <w:basedOn w:val="1"/>
    <w:next w:val="1"/>
    <w:link w:val="36"/>
    <w:qFormat/>
    <w:uiPriority w:val="0"/>
    <w:pPr>
      <w:keepNext/>
      <w:keepLines/>
      <w:spacing w:before="260" w:after="260" w:line="416" w:lineRule="auto"/>
      <w:outlineLvl w:val="2"/>
    </w:pPr>
    <w:rPr>
      <w:b/>
      <w:bCs/>
      <w:sz w:val="32"/>
      <w:szCs w:val="32"/>
    </w:rPr>
  </w:style>
  <w:style w:type="paragraph" w:styleId="5">
    <w:name w:val="heading 4"/>
    <w:basedOn w:val="1"/>
    <w:next w:val="1"/>
    <w:link w:val="37"/>
    <w:qFormat/>
    <w:uiPriority w:val="0"/>
    <w:pPr>
      <w:keepNext/>
      <w:keepLines/>
      <w:spacing w:before="280" w:after="290" w:line="376" w:lineRule="auto"/>
      <w:outlineLvl w:val="3"/>
    </w:pPr>
    <w:rPr>
      <w:rFonts w:ascii="Arial" w:hAnsi="Arial" w:eastAsia="黑体"/>
      <w:b/>
      <w:bCs/>
      <w:sz w:val="28"/>
      <w:szCs w:val="28"/>
    </w:rPr>
  </w:style>
  <w:style w:type="paragraph" w:styleId="6">
    <w:name w:val="heading 5"/>
    <w:basedOn w:val="1"/>
    <w:next w:val="1"/>
    <w:link w:val="38"/>
    <w:qFormat/>
    <w:uiPriority w:val="0"/>
    <w:pPr>
      <w:keepNext/>
      <w:keepLines/>
      <w:adjustRightInd/>
      <w:spacing w:before="280" w:after="290" w:line="376" w:lineRule="auto"/>
      <w:outlineLvl w:val="4"/>
    </w:pPr>
    <w:rPr>
      <w:b/>
      <w:bCs/>
      <w:sz w:val="28"/>
      <w:szCs w:val="28"/>
    </w:rPr>
  </w:style>
  <w:style w:type="paragraph" w:styleId="7">
    <w:name w:val="heading 6"/>
    <w:basedOn w:val="1"/>
    <w:next w:val="1"/>
    <w:link w:val="39"/>
    <w:qFormat/>
    <w:uiPriority w:val="0"/>
    <w:pPr>
      <w:keepNext/>
      <w:keepLines/>
      <w:adjustRightInd/>
      <w:spacing w:before="240" w:after="64" w:line="320" w:lineRule="auto"/>
      <w:outlineLvl w:val="5"/>
    </w:pPr>
    <w:rPr>
      <w:rFonts w:ascii="Arial" w:hAnsi="Arial" w:eastAsia="黑体"/>
      <w:b/>
      <w:bCs/>
      <w:sz w:val="24"/>
      <w:szCs w:val="24"/>
    </w:rPr>
  </w:style>
  <w:style w:type="paragraph" w:styleId="8">
    <w:name w:val="heading 7"/>
    <w:basedOn w:val="1"/>
    <w:next w:val="1"/>
    <w:link w:val="40"/>
    <w:qFormat/>
    <w:uiPriority w:val="0"/>
    <w:pPr>
      <w:keepNext/>
      <w:keepLines/>
      <w:adjustRightInd/>
      <w:spacing w:before="240" w:after="64" w:line="320" w:lineRule="auto"/>
      <w:outlineLvl w:val="6"/>
    </w:pPr>
    <w:rPr>
      <w:b/>
      <w:bCs/>
      <w:sz w:val="24"/>
      <w:szCs w:val="24"/>
    </w:rPr>
  </w:style>
  <w:style w:type="paragraph" w:styleId="9">
    <w:name w:val="heading 8"/>
    <w:basedOn w:val="1"/>
    <w:next w:val="1"/>
    <w:link w:val="41"/>
    <w:qFormat/>
    <w:uiPriority w:val="0"/>
    <w:pPr>
      <w:keepNext/>
      <w:keepLines/>
      <w:adjustRightInd/>
      <w:spacing w:before="240" w:after="64" w:line="320" w:lineRule="auto"/>
      <w:outlineLvl w:val="7"/>
    </w:pPr>
    <w:rPr>
      <w:rFonts w:ascii="Arial" w:hAnsi="Arial" w:eastAsia="黑体"/>
      <w:sz w:val="24"/>
      <w:szCs w:val="24"/>
    </w:rPr>
  </w:style>
  <w:style w:type="paragraph" w:styleId="10">
    <w:name w:val="heading 9"/>
    <w:basedOn w:val="1"/>
    <w:next w:val="1"/>
    <w:link w:val="42"/>
    <w:qFormat/>
    <w:uiPriority w:val="0"/>
    <w:pPr>
      <w:keepNext/>
      <w:keepLines/>
      <w:adjustRightInd/>
      <w:spacing w:before="240" w:after="64" w:line="320" w:lineRule="auto"/>
      <w:outlineLvl w:val="8"/>
    </w:pPr>
    <w:rPr>
      <w:rFonts w:ascii="Arial" w:hAnsi="Arial" w:eastAsia="黑体"/>
    </w:rPr>
  </w:style>
  <w:style w:type="character" w:default="1" w:styleId="28">
    <w:name w:val="Default Paragraph Font"/>
    <w:semiHidden/>
    <w:unhideWhenUsed/>
    <w:qFormat/>
    <w:uiPriority w:val="1"/>
  </w:style>
  <w:style w:type="table" w:default="1" w:styleId="26">
    <w:name w:val="Normal Table"/>
    <w:semiHidden/>
    <w:unhideWhenUsed/>
    <w:qFormat/>
    <w:uiPriority w:val="99"/>
    <w:tblPr>
      <w:tblCellMar>
        <w:top w:w="0" w:type="dxa"/>
        <w:left w:w="108" w:type="dxa"/>
        <w:bottom w:w="0" w:type="dxa"/>
        <w:right w:w="108" w:type="dxa"/>
      </w:tblCellMar>
    </w:tblPr>
  </w:style>
  <w:style w:type="paragraph" w:styleId="11">
    <w:name w:val="toc 7"/>
    <w:basedOn w:val="1"/>
    <w:next w:val="1"/>
    <w:unhideWhenUsed/>
    <w:qFormat/>
    <w:uiPriority w:val="39"/>
    <w:pPr>
      <w:tabs>
        <w:tab w:val="right" w:leader="dot" w:pos="9344"/>
      </w:tabs>
      <w:spacing w:line="300" w:lineRule="exact"/>
      <w:ind w:left="1259"/>
    </w:pPr>
    <w:rPr>
      <w:rFonts w:ascii="宋体"/>
    </w:rPr>
  </w:style>
  <w:style w:type="paragraph" w:styleId="12">
    <w:name w:val="Normal Indent"/>
    <w:basedOn w:val="1"/>
    <w:qFormat/>
    <w:uiPriority w:val="0"/>
    <w:pPr>
      <w:ind w:firstLine="420"/>
    </w:pPr>
  </w:style>
  <w:style w:type="paragraph" w:styleId="13">
    <w:name w:val="Body Text"/>
    <w:basedOn w:val="1"/>
    <w:link w:val="86"/>
    <w:qFormat/>
    <w:uiPriority w:val="0"/>
    <w:pPr>
      <w:spacing w:after="120"/>
    </w:pPr>
  </w:style>
  <w:style w:type="paragraph" w:styleId="14">
    <w:name w:val="toc 5"/>
    <w:basedOn w:val="1"/>
    <w:next w:val="1"/>
    <w:unhideWhenUsed/>
    <w:qFormat/>
    <w:uiPriority w:val="39"/>
    <w:pPr>
      <w:ind w:left="839"/>
    </w:pPr>
    <w:rPr>
      <w:rFonts w:ascii="宋体"/>
    </w:rPr>
  </w:style>
  <w:style w:type="paragraph" w:styleId="15">
    <w:name w:val="toc 3"/>
    <w:basedOn w:val="1"/>
    <w:next w:val="1"/>
    <w:unhideWhenUsed/>
    <w:qFormat/>
    <w:uiPriority w:val="39"/>
    <w:pPr>
      <w:spacing w:line="300" w:lineRule="exact"/>
      <w:ind w:left="420"/>
    </w:pPr>
    <w:rPr>
      <w:rFonts w:ascii="宋体"/>
    </w:rPr>
  </w:style>
  <w:style w:type="paragraph" w:styleId="16">
    <w:name w:val="Balloon Text"/>
    <w:basedOn w:val="1"/>
    <w:link w:val="45"/>
    <w:semiHidden/>
    <w:unhideWhenUsed/>
    <w:qFormat/>
    <w:uiPriority w:val="99"/>
    <w:rPr>
      <w:sz w:val="18"/>
      <w:szCs w:val="18"/>
    </w:rPr>
  </w:style>
  <w:style w:type="paragraph" w:styleId="17">
    <w:name w:val="footer"/>
    <w:basedOn w:val="1"/>
    <w:link w:val="44"/>
    <w:qFormat/>
    <w:uiPriority w:val="99"/>
    <w:pPr>
      <w:tabs>
        <w:tab w:val="center" w:pos="4153"/>
        <w:tab w:val="right" w:pos="8306"/>
      </w:tabs>
      <w:adjustRightInd/>
      <w:snapToGrid w:val="0"/>
      <w:spacing w:line="240" w:lineRule="auto"/>
      <w:jc w:val="right"/>
    </w:pPr>
    <w:rPr>
      <w:rFonts w:ascii="宋体"/>
      <w:sz w:val="18"/>
      <w:szCs w:val="18"/>
    </w:rPr>
  </w:style>
  <w:style w:type="paragraph" w:styleId="18">
    <w:name w:val="header"/>
    <w:basedOn w:val="1"/>
    <w:link w:val="43"/>
    <w:qFormat/>
    <w:uiPriority w:val="99"/>
    <w:pPr>
      <w:tabs>
        <w:tab w:val="center" w:pos="4153"/>
        <w:tab w:val="right" w:pos="8306"/>
      </w:tabs>
      <w:adjustRightInd/>
      <w:snapToGrid w:val="0"/>
      <w:jc w:val="center"/>
    </w:pPr>
    <w:rPr>
      <w:sz w:val="18"/>
      <w:szCs w:val="18"/>
    </w:rPr>
  </w:style>
  <w:style w:type="paragraph" w:styleId="19">
    <w:name w:val="toc 1"/>
    <w:basedOn w:val="1"/>
    <w:next w:val="1"/>
    <w:unhideWhenUsed/>
    <w:qFormat/>
    <w:uiPriority w:val="39"/>
    <w:rPr>
      <w:rFonts w:ascii="宋体"/>
    </w:rPr>
  </w:style>
  <w:style w:type="paragraph" w:styleId="20">
    <w:name w:val="toc 4"/>
    <w:basedOn w:val="1"/>
    <w:next w:val="1"/>
    <w:unhideWhenUsed/>
    <w:qFormat/>
    <w:uiPriority w:val="39"/>
    <w:pPr>
      <w:tabs>
        <w:tab w:val="right" w:leader="dot" w:pos="9344"/>
      </w:tabs>
      <w:spacing w:line="300" w:lineRule="exact"/>
      <w:ind w:left="629"/>
    </w:pPr>
    <w:rPr>
      <w:rFonts w:ascii="宋体"/>
    </w:rPr>
  </w:style>
  <w:style w:type="paragraph" w:styleId="21">
    <w:name w:val="footnote text"/>
    <w:basedOn w:val="1"/>
    <w:next w:val="1"/>
    <w:link w:val="99"/>
    <w:semiHidden/>
    <w:qFormat/>
    <w:uiPriority w:val="0"/>
    <w:pPr>
      <w:adjustRightInd/>
      <w:snapToGrid w:val="0"/>
      <w:spacing w:line="300" w:lineRule="exact"/>
      <w:ind w:left="400" w:leftChars="200" w:hanging="200" w:hangingChars="200"/>
      <w:jc w:val="left"/>
    </w:pPr>
    <w:rPr>
      <w:rFonts w:ascii="宋体"/>
      <w:sz w:val="18"/>
      <w:szCs w:val="18"/>
    </w:rPr>
  </w:style>
  <w:style w:type="paragraph" w:styleId="22">
    <w:name w:val="toc 6"/>
    <w:basedOn w:val="1"/>
    <w:next w:val="1"/>
    <w:unhideWhenUsed/>
    <w:qFormat/>
    <w:uiPriority w:val="39"/>
    <w:pPr>
      <w:spacing w:line="300" w:lineRule="exact"/>
      <w:ind w:left="1049"/>
    </w:pPr>
    <w:rPr>
      <w:rFonts w:ascii="宋体"/>
    </w:rPr>
  </w:style>
  <w:style w:type="paragraph" w:styleId="23">
    <w:name w:val="table of figures"/>
    <w:basedOn w:val="1"/>
    <w:next w:val="1"/>
    <w:semiHidden/>
    <w:qFormat/>
    <w:uiPriority w:val="0"/>
    <w:pPr>
      <w:adjustRightInd/>
      <w:spacing w:line="240" w:lineRule="auto"/>
      <w:jc w:val="left"/>
    </w:pPr>
    <w:rPr>
      <w:szCs w:val="24"/>
    </w:rPr>
  </w:style>
  <w:style w:type="paragraph" w:styleId="24">
    <w:name w:val="toc 2"/>
    <w:basedOn w:val="1"/>
    <w:next w:val="1"/>
    <w:unhideWhenUsed/>
    <w:qFormat/>
    <w:uiPriority w:val="39"/>
    <w:pPr>
      <w:tabs>
        <w:tab w:val="right" w:leader="dot" w:pos="9344"/>
      </w:tabs>
      <w:spacing w:line="300" w:lineRule="exact"/>
      <w:ind w:left="210"/>
    </w:pPr>
    <w:rPr>
      <w:rFonts w:ascii="宋体"/>
    </w:rPr>
  </w:style>
  <w:style w:type="paragraph" w:styleId="25">
    <w:name w:val="Title"/>
    <w:basedOn w:val="1"/>
    <w:link w:val="48"/>
    <w:qFormat/>
    <w:uiPriority w:val="0"/>
    <w:pPr>
      <w:spacing w:before="240" w:after="60"/>
      <w:jc w:val="center"/>
      <w:outlineLvl w:val="0"/>
    </w:pPr>
    <w:rPr>
      <w:rFonts w:ascii="Arial" w:hAnsi="Arial" w:cs="Arial"/>
      <w:b/>
      <w:bCs/>
      <w:sz w:val="32"/>
      <w:szCs w:val="32"/>
    </w:rPr>
  </w:style>
  <w:style w:type="table" w:styleId="27">
    <w:name w:val="Table Grid"/>
    <w:basedOn w:val="26"/>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9">
    <w:name w:val="Strong"/>
    <w:qFormat/>
    <w:uiPriority w:val="22"/>
    <w:rPr>
      <w:b/>
      <w:bCs/>
    </w:rPr>
  </w:style>
  <w:style w:type="character" w:styleId="30">
    <w:name w:val="page number"/>
    <w:qFormat/>
    <w:uiPriority w:val="0"/>
    <w:rPr>
      <w:rFonts w:ascii="宋体" w:hAnsi="Times New Roman" w:eastAsia="宋体"/>
      <w:sz w:val="18"/>
    </w:rPr>
  </w:style>
  <w:style w:type="character" w:styleId="31">
    <w:name w:val="Emphasis"/>
    <w:qFormat/>
    <w:uiPriority w:val="20"/>
    <w:rPr>
      <w:i/>
      <w:iCs/>
    </w:rPr>
  </w:style>
  <w:style w:type="character" w:styleId="32">
    <w:name w:val="Hyperlink"/>
    <w:qFormat/>
    <w:uiPriority w:val="99"/>
    <w:rPr>
      <w:rFonts w:ascii="宋体" w:hAnsi="Times New Roman" w:eastAsia="宋体"/>
      <w:color w:val="auto"/>
      <w:spacing w:val="0"/>
      <w:w w:val="100"/>
      <w:position w:val="0"/>
      <w:sz w:val="21"/>
      <w:u w:val="none"/>
      <w:vertAlign w:val="baseline"/>
    </w:rPr>
  </w:style>
  <w:style w:type="character" w:styleId="33">
    <w:name w:val="footnote reference"/>
    <w:semiHidden/>
    <w:qFormat/>
    <w:uiPriority w:val="0"/>
    <w:rPr>
      <w:rFonts w:ascii="宋体" w:hAnsi="宋体" w:eastAsia="宋体" w:cs="Times New Roman"/>
      <w:spacing w:val="0"/>
      <w:sz w:val="18"/>
      <w:vertAlign w:val="superscript"/>
    </w:rPr>
  </w:style>
  <w:style w:type="character" w:customStyle="1" w:styleId="34">
    <w:name w:val="标题 1 字符"/>
    <w:link w:val="2"/>
    <w:qFormat/>
    <w:uiPriority w:val="0"/>
    <w:rPr>
      <w:b/>
      <w:bCs/>
      <w:kern w:val="44"/>
      <w:sz w:val="44"/>
      <w:szCs w:val="44"/>
    </w:rPr>
  </w:style>
  <w:style w:type="character" w:customStyle="1" w:styleId="35">
    <w:name w:val="标题 2 字符"/>
    <w:link w:val="3"/>
    <w:qFormat/>
    <w:uiPriority w:val="0"/>
    <w:rPr>
      <w:rFonts w:ascii="Arial" w:hAnsi="Arial" w:eastAsia="黑体"/>
      <w:b/>
      <w:bCs/>
      <w:kern w:val="2"/>
      <w:sz w:val="32"/>
      <w:szCs w:val="32"/>
    </w:rPr>
  </w:style>
  <w:style w:type="character" w:customStyle="1" w:styleId="36">
    <w:name w:val="标题 3 字符"/>
    <w:link w:val="4"/>
    <w:qFormat/>
    <w:uiPriority w:val="0"/>
    <w:rPr>
      <w:b/>
      <w:bCs/>
      <w:kern w:val="2"/>
      <w:sz w:val="32"/>
      <w:szCs w:val="32"/>
    </w:rPr>
  </w:style>
  <w:style w:type="character" w:customStyle="1" w:styleId="37">
    <w:name w:val="标题 4 字符"/>
    <w:link w:val="5"/>
    <w:qFormat/>
    <w:uiPriority w:val="0"/>
    <w:rPr>
      <w:rFonts w:ascii="Arial" w:hAnsi="Arial" w:eastAsia="黑体"/>
      <w:b/>
      <w:bCs/>
      <w:kern w:val="2"/>
      <w:sz w:val="28"/>
      <w:szCs w:val="28"/>
    </w:rPr>
  </w:style>
  <w:style w:type="character" w:customStyle="1" w:styleId="38">
    <w:name w:val="标题 5 字符"/>
    <w:link w:val="6"/>
    <w:qFormat/>
    <w:uiPriority w:val="0"/>
    <w:rPr>
      <w:b/>
      <w:bCs/>
      <w:kern w:val="2"/>
      <w:sz w:val="28"/>
      <w:szCs w:val="28"/>
    </w:rPr>
  </w:style>
  <w:style w:type="character" w:customStyle="1" w:styleId="39">
    <w:name w:val="标题 6 字符"/>
    <w:link w:val="7"/>
    <w:qFormat/>
    <w:uiPriority w:val="0"/>
    <w:rPr>
      <w:rFonts w:ascii="Arial" w:hAnsi="Arial" w:eastAsia="黑体"/>
      <w:b/>
      <w:bCs/>
      <w:kern w:val="2"/>
      <w:sz w:val="24"/>
      <w:szCs w:val="24"/>
    </w:rPr>
  </w:style>
  <w:style w:type="character" w:customStyle="1" w:styleId="40">
    <w:name w:val="标题 7 字符"/>
    <w:link w:val="8"/>
    <w:qFormat/>
    <w:uiPriority w:val="0"/>
    <w:rPr>
      <w:b/>
      <w:bCs/>
      <w:kern w:val="2"/>
      <w:sz w:val="24"/>
      <w:szCs w:val="24"/>
    </w:rPr>
  </w:style>
  <w:style w:type="character" w:customStyle="1" w:styleId="41">
    <w:name w:val="标题 8 字符"/>
    <w:link w:val="9"/>
    <w:qFormat/>
    <w:uiPriority w:val="0"/>
    <w:rPr>
      <w:rFonts w:ascii="Arial" w:hAnsi="Arial" w:eastAsia="黑体"/>
      <w:kern w:val="2"/>
      <w:sz w:val="24"/>
      <w:szCs w:val="24"/>
    </w:rPr>
  </w:style>
  <w:style w:type="character" w:customStyle="1" w:styleId="42">
    <w:name w:val="标题 9 字符"/>
    <w:link w:val="10"/>
    <w:qFormat/>
    <w:uiPriority w:val="0"/>
    <w:rPr>
      <w:rFonts w:ascii="Arial" w:hAnsi="Arial" w:eastAsia="黑体"/>
      <w:kern w:val="2"/>
      <w:sz w:val="21"/>
      <w:szCs w:val="21"/>
    </w:rPr>
  </w:style>
  <w:style w:type="character" w:customStyle="1" w:styleId="43">
    <w:name w:val="页眉 字符"/>
    <w:link w:val="18"/>
    <w:qFormat/>
    <w:uiPriority w:val="99"/>
    <w:rPr>
      <w:kern w:val="2"/>
      <w:sz w:val="18"/>
      <w:szCs w:val="18"/>
    </w:rPr>
  </w:style>
  <w:style w:type="character" w:customStyle="1" w:styleId="44">
    <w:name w:val="页脚 字符"/>
    <w:link w:val="17"/>
    <w:qFormat/>
    <w:uiPriority w:val="99"/>
    <w:rPr>
      <w:rFonts w:ascii="宋体"/>
      <w:kern w:val="2"/>
      <w:sz w:val="18"/>
      <w:szCs w:val="18"/>
    </w:rPr>
  </w:style>
  <w:style w:type="character" w:customStyle="1" w:styleId="45">
    <w:name w:val="批注框文本 字符"/>
    <w:link w:val="16"/>
    <w:semiHidden/>
    <w:qFormat/>
    <w:uiPriority w:val="99"/>
    <w:rPr>
      <w:kern w:val="2"/>
      <w:sz w:val="18"/>
      <w:szCs w:val="18"/>
    </w:rPr>
  </w:style>
  <w:style w:type="paragraph" w:styleId="46">
    <w:name w:val="Quote"/>
    <w:basedOn w:val="1"/>
    <w:next w:val="1"/>
    <w:link w:val="47"/>
    <w:qFormat/>
    <w:uiPriority w:val="29"/>
    <w:rPr>
      <w:i/>
      <w:iCs/>
      <w:color w:val="000000"/>
    </w:rPr>
  </w:style>
  <w:style w:type="character" w:customStyle="1" w:styleId="47">
    <w:name w:val="引用 字符"/>
    <w:link w:val="46"/>
    <w:qFormat/>
    <w:uiPriority w:val="29"/>
    <w:rPr>
      <w:i/>
      <w:iCs/>
      <w:color w:val="000000"/>
      <w:kern w:val="2"/>
      <w:sz w:val="21"/>
      <w:szCs w:val="21"/>
    </w:rPr>
  </w:style>
  <w:style w:type="character" w:customStyle="1" w:styleId="48">
    <w:name w:val="标题 字符"/>
    <w:link w:val="25"/>
    <w:qFormat/>
    <w:uiPriority w:val="0"/>
    <w:rPr>
      <w:rFonts w:ascii="Arial" w:hAnsi="Arial" w:cs="Arial"/>
      <w:b/>
      <w:bCs/>
      <w:kern w:val="2"/>
      <w:sz w:val="32"/>
      <w:szCs w:val="32"/>
    </w:rPr>
  </w:style>
  <w:style w:type="paragraph" w:customStyle="1" w:styleId="49">
    <w:name w:val="标准标志"/>
    <w:next w:val="1"/>
    <w:qFormat/>
    <w:uiPriority w:val="0"/>
    <w:pPr>
      <w:framePr w:w="2268" w:h="1392" w:hRule="exact" w:wrap="around" w:vAnchor="margin" w:hAnchor="margin" w:x="6748" w:y="171" w:anchorLock="1"/>
      <w:shd w:val="solid" w:color="FFFFFF" w:fill="FFFFFF"/>
      <w:spacing w:line="0" w:lineRule="atLeast"/>
      <w:jc w:val="right"/>
    </w:pPr>
    <w:rPr>
      <w:rFonts w:ascii="Times New Roman" w:hAnsi="Times New Roman" w:eastAsia="宋体" w:cs="Times New Roman"/>
      <w:b/>
      <w:w w:val="130"/>
      <w:sz w:val="96"/>
      <w:lang w:val="en-US" w:eastAsia="zh-CN" w:bidi="ar-SA"/>
    </w:rPr>
  </w:style>
  <w:style w:type="paragraph" w:customStyle="1" w:styleId="50">
    <w:name w:val="标准称谓"/>
    <w:next w:val="1"/>
    <w:qFormat/>
    <w:uiPriority w:val="0"/>
    <w:pPr>
      <w:framePr w:w="9638" w:h="754" w:hRule="exact" w:hSpace="180" w:vSpace="180" w:wrap="around" w:vAnchor="page" w:hAnchor="margin" w:xAlign="center" w:y="2128" w:anchorLock="1"/>
      <w:widowControl w:val="0"/>
      <w:kinsoku w:val="0"/>
      <w:overflowPunct w:val="0"/>
      <w:autoSpaceDE w:val="0"/>
      <w:autoSpaceDN w:val="0"/>
      <w:spacing w:line="0" w:lineRule="atLeast"/>
      <w:jc w:val="distribute"/>
    </w:pPr>
    <w:rPr>
      <w:rFonts w:ascii="宋体" w:hAnsi="Times New Roman" w:eastAsia="宋体" w:cs="Times New Roman"/>
      <w:b/>
      <w:bCs/>
      <w:w w:val="148"/>
      <w:sz w:val="52"/>
      <w:lang w:val="en-US" w:eastAsia="zh-CN" w:bidi="ar-SA"/>
    </w:rPr>
  </w:style>
  <w:style w:type="paragraph" w:customStyle="1" w:styleId="51">
    <w:name w:val="标准文件_页脚偶数页"/>
    <w:qFormat/>
    <w:uiPriority w:val="0"/>
    <w:pPr>
      <w:ind w:left="198"/>
    </w:pPr>
    <w:rPr>
      <w:rFonts w:ascii="宋体" w:hAnsi="Times New Roman" w:eastAsia="宋体" w:cs="Times New Roman"/>
      <w:sz w:val="18"/>
      <w:lang w:val="en-US" w:eastAsia="zh-CN" w:bidi="ar-SA"/>
    </w:rPr>
  </w:style>
  <w:style w:type="paragraph" w:customStyle="1" w:styleId="52">
    <w:name w:val="标准文件_页脚奇数页"/>
    <w:qFormat/>
    <w:uiPriority w:val="0"/>
    <w:pPr>
      <w:ind w:right="227"/>
      <w:jc w:val="right"/>
    </w:pPr>
    <w:rPr>
      <w:rFonts w:ascii="宋体" w:hAnsi="Times New Roman" w:eastAsia="宋体" w:cs="Times New Roman"/>
      <w:sz w:val="18"/>
      <w:lang w:val="en-US" w:eastAsia="zh-CN" w:bidi="ar-SA"/>
    </w:rPr>
  </w:style>
  <w:style w:type="paragraph" w:customStyle="1" w:styleId="53">
    <w:name w:val="标准书眉一"/>
    <w:qFormat/>
    <w:uiPriority w:val="0"/>
    <w:pPr>
      <w:jc w:val="both"/>
    </w:pPr>
    <w:rPr>
      <w:rFonts w:ascii="Times New Roman" w:hAnsi="Times New Roman" w:eastAsia="宋体" w:cs="Times New Roman"/>
      <w:lang w:val="en-US" w:eastAsia="zh-CN" w:bidi="ar-SA"/>
    </w:rPr>
  </w:style>
  <w:style w:type="paragraph" w:customStyle="1" w:styleId="54">
    <w:name w:val="标准文件_ICS"/>
    <w:basedOn w:val="1"/>
    <w:qFormat/>
    <w:uiPriority w:val="0"/>
    <w:pPr>
      <w:spacing w:line="0" w:lineRule="atLeast"/>
    </w:pPr>
    <w:rPr>
      <w:rFonts w:ascii="黑体" w:hAnsi="宋体" w:eastAsia="黑体"/>
    </w:rPr>
  </w:style>
  <w:style w:type="paragraph" w:customStyle="1" w:styleId="55">
    <w:name w:val="标准文件_标准正文"/>
    <w:basedOn w:val="1"/>
    <w:next w:val="56"/>
    <w:qFormat/>
    <w:uiPriority w:val="0"/>
    <w:pPr>
      <w:snapToGrid w:val="0"/>
      <w:ind w:firstLine="200" w:firstLineChars="200"/>
    </w:pPr>
    <w:rPr>
      <w:kern w:val="0"/>
    </w:rPr>
  </w:style>
  <w:style w:type="paragraph" w:customStyle="1" w:styleId="56">
    <w:name w:val="标准文件_段"/>
    <w:link w:val="184"/>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57">
    <w:name w:val="标准文件_版本"/>
    <w:basedOn w:val="55"/>
    <w:qFormat/>
    <w:uiPriority w:val="0"/>
    <w:pPr>
      <w:adjustRightInd/>
      <w:snapToGrid/>
      <w:ind w:firstLine="0" w:firstLineChars="0"/>
    </w:pPr>
    <w:rPr>
      <w:rFonts w:ascii="宋体" w:hAnsi="宋体"/>
      <w:kern w:val="2"/>
    </w:rPr>
  </w:style>
  <w:style w:type="paragraph" w:customStyle="1" w:styleId="58">
    <w:name w:val="标准文件_标准部门"/>
    <w:basedOn w:val="1"/>
    <w:qFormat/>
    <w:uiPriority w:val="0"/>
    <w:pPr>
      <w:jc w:val="center"/>
    </w:pPr>
    <w:rPr>
      <w:rFonts w:ascii="黑体" w:eastAsia="黑体"/>
      <w:kern w:val="0"/>
      <w:sz w:val="44"/>
    </w:rPr>
  </w:style>
  <w:style w:type="paragraph" w:customStyle="1" w:styleId="59">
    <w:name w:val="标准文件_标准代替"/>
    <w:basedOn w:val="1"/>
    <w:next w:val="1"/>
    <w:qFormat/>
    <w:uiPriority w:val="0"/>
    <w:pPr>
      <w:spacing w:line="310" w:lineRule="exact"/>
      <w:jc w:val="right"/>
    </w:pPr>
    <w:rPr>
      <w:rFonts w:ascii="宋体" w:hAnsi="宋体"/>
      <w:kern w:val="0"/>
    </w:rPr>
  </w:style>
  <w:style w:type="paragraph" w:customStyle="1" w:styleId="60">
    <w:name w:val="标准文件_标准名称标题"/>
    <w:basedOn w:val="1"/>
    <w:next w:val="1"/>
    <w:qFormat/>
    <w:uiPriority w:val="0"/>
    <w:pPr>
      <w:widowControl/>
      <w:shd w:val="clear" w:color="FFFFFF" w:fill="FFFFFF"/>
      <w:adjustRightInd/>
      <w:spacing w:before="640" w:after="100"/>
      <w:jc w:val="center"/>
    </w:pPr>
    <w:rPr>
      <w:rFonts w:ascii="黑体" w:eastAsia="黑体"/>
      <w:kern w:val="0"/>
      <w:sz w:val="32"/>
    </w:rPr>
  </w:style>
  <w:style w:type="paragraph" w:customStyle="1" w:styleId="61">
    <w:name w:val="标准文件_页眉奇数页"/>
    <w:next w:val="1"/>
    <w:qFormat/>
    <w:uiPriority w:val="0"/>
    <w:pPr>
      <w:tabs>
        <w:tab w:val="center" w:pos="4154"/>
        <w:tab w:val="right" w:pos="8306"/>
      </w:tabs>
      <w:spacing w:after="120"/>
      <w:jc w:val="right"/>
    </w:pPr>
    <w:rPr>
      <w:rFonts w:ascii="黑体" w:hAnsi="宋体" w:eastAsia="黑体" w:cs="Times New Roman"/>
      <w:sz w:val="21"/>
      <w:lang w:val="en-US" w:eastAsia="zh-CN" w:bidi="ar-SA"/>
    </w:rPr>
  </w:style>
  <w:style w:type="paragraph" w:customStyle="1" w:styleId="62">
    <w:name w:val="标准文件_页眉偶数页"/>
    <w:basedOn w:val="61"/>
    <w:next w:val="1"/>
    <w:qFormat/>
    <w:uiPriority w:val="0"/>
    <w:pPr>
      <w:jc w:val="left"/>
    </w:pPr>
  </w:style>
  <w:style w:type="paragraph" w:customStyle="1" w:styleId="63">
    <w:name w:val="标准文件_参考文献标题"/>
    <w:basedOn w:val="1"/>
    <w:next w:val="1"/>
    <w:qFormat/>
    <w:uiPriority w:val="0"/>
    <w:pPr>
      <w:widowControl/>
      <w:shd w:val="clear" w:color="FFFFFF" w:fill="FFFFFF"/>
      <w:adjustRightInd/>
      <w:spacing w:before="560" w:after="50" w:afterLines="50" w:line="240" w:lineRule="auto"/>
      <w:jc w:val="center"/>
      <w:outlineLvl w:val="0"/>
    </w:pPr>
    <w:rPr>
      <w:rFonts w:ascii="黑体" w:eastAsia="黑体"/>
      <w:kern w:val="0"/>
    </w:rPr>
  </w:style>
  <w:style w:type="paragraph" w:customStyle="1" w:styleId="64">
    <w:name w:val="标准文件_参考文献条目"/>
    <w:qFormat/>
    <w:uiPriority w:val="0"/>
    <w:pPr>
      <w:numPr>
        <w:ilvl w:val="0"/>
        <w:numId w:val="1"/>
      </w:numPr>
    </w:pPr>
    <w:rPr>
      <w:rFonts w:ascii="宋体" w:hAnsi="Times New Roman" w:eastAsia="宋体" w:cs="Times New Roman"/>
      <w:lang w:val="en-US" w:eastAsia="zh-CN" w:bidi="ar-SA"/>
    </w:rPr>
  </w:style>
  <w:style w:type="paragraph" w:customStyle="1" w:styleId="65">
    <w:name w:val="标准文件_二级条标题"/>
    <w:next w:val="56"/>
    <w:qFormat/>
    <w:uiPriority w:val="0"/>
    <w:pPr>
      <w:widowControl w:val="0"/>
      <w:numPr>
        <w:ilvl w:val="3"/>
        <w:numId w:val="2"/>
      </w:numPr>
      <w:spacing w:before="50" w:beforeLines="50" w:after="50" w:afterLines="50"/>
      <w:jc w:val="both"/>
      <w:outlineLvl w:val="2"/>
    </w:pPr>
    <w:rPr>
      <w:rFonts w:ascii="黑体" w:hAnsi="Times New Roman" w:eastAsia="黑体" w:cs="Times New Roman"/>
      <w:sz w:val="21"/>
      <w:lang w:val="en-US" w:eastAsia="zh-CN" w:bidi="ar-SA"/>
    </w:rPr>
  </w:style>
  <w:style w:type="character" w:customStyle="1" w:styleId="66">
    <w:name w:val="标准文件_发布"/>
    <w:qFormat/>
    <w:uiPriority w:val="0"/>
    <w:rPr>
      <w:rFonts w:ascii="黑体" w:eastAsia="黑体"/>
      <w:spacing w:val="0"/>
      <w:w w:val="100"/>
      <w:position w:val="3"/>
      <w:sz w:val="28"/>
    </w:rPr>
  </w:style>
  <w:style w:type="paragraph" w:customStyle="1" w:styleId="67">
    <w:name w:val="标准文件_方框数字列项"/>
    <w:basedOn w:val="56"/>
    <w:qFormat/>
    <w:uiPriority w:val="0"/>
    <w:pPr>
      <w:numPr>
        <w:ilvl w:val="0"/>
        <w:numId w:val="3"/>
      </w:numPr>
      <w:ind w:firstLine="0" w:firstLineChars="0"/>
    </w:pPr>
  </w:style>
  <w:style w:type="paragraph" w:customStyle="1" w:styleId="68">
    <w:name w:val="标准文件_封面标准编号"/>
    <w:basedOn w:val="1"/>
    <w:next w:val="59"/>
    <w:qFormat/>
    <w:uiPriority w:val="0"/>
    <w:pPr>
      <w:spacing w:line="310" w:lineRule="exact"/>
      <w:jc w:val="right"/>
    </w:pPr>
    <w:rPr>
      <w:rFonts w:ascii="黑体" w:eastAsia="黑体"/>
      <w:kern w:val="0"/>
      <w:sz w:val="28"/>
    </w:rPr>
  </w:style>
  <w:style w:type="paragraph" w:customStyle="1" w:styleId="69">
    <w:name w:val="标准文件_封面标准分类号"/>
    <w:basedOn w:val="1"/>
    <w:qFormat/>
    <w:uiPriority w:val="0"/>
    <w:rPr>
      <w:rFonts w:ascii="黑体" w:eastAsia="黑体"/>
      <w:b/>
      <w:kern w:val="0"/>
      <w:sz w:val="28"/>
    </w:rPr>
  </w:style>
  <w:style w:type="paragraph" w:customStyle="1" w:styleId="70">
    <w:name w:val="标准文件_封面标准名称"/>
    <w:basedOn w:val="1"/>
    <w:qFormat/>
    <w:uiPriority w:val="0"/>
    <w:pPr>
      <w:spacing w:line="240" w:lineRule="auto"/>
      <w:jc w:val="center"/>
    </w:pPr>
    <w:rPr>
      <w:rFonts w:ascii="黑体" w:eastAsia="黑体"/>
      <w:kern w:val="0"/>
      <w:sz w:val="52"/>
    </w:rPr>
  </w:style>
  <w:style w:type="paragraph" w:customStyle="1" w:styleId="71">
    <w:name w:val="标准文件_封面标准英文名称"/>
    <w:basedOn w:val="1"/>
    <w:qFormat/>
    <w:uiPriority w:val="0"/>
    <w:pPr>
      <w:spacing w:line="240" w:lineRule="auto"/>
      <w:jc w:val="center"/>
    </w:pPr>
    <w:rPr>
      <w:rFonts w:ascii="黑体" w:eastAsia="黑体"/>
      <w:b/>
      <w:sz w:val="28"/>
    </w:rPr>
  </w:style>
  <w:style w:type="paragraph" w:customStyle="1" w:styleId="72">
    <w:name w:val="标准文件_封面发布日期"/>
    <w:basedOn w:val="1"/>
    <w:qFormat/>
    <w:uiPriority w:val="0"/>
    <w:pPr>
      <w:spacing w:line="310" w:lineRule="exact"/>
    </w:pPr>
    <w:rPr>
      <w:rFonts w:ascii="黑体" w:eastAsia="黑体"/>
      <w:kern w:val="0"/>
      <w:sz w:val="28"/>
    </w:rPr>
  </w:style>
  <w:style w:type="paragraph" w:customStyle="1" w:styleId="73">
    <w:name w:val="标准文件_封面密级"/>
    <w:basedOn w:val="1"/>
    <w:qFormat/>
    <w:uiPriority w:val="0"/>
    <w:rPr>
      <w:rFonts w:eastAsia="黑体"/>
      <w:sz w:val="32"/>
    </w:rPr>
  </w:style>
  <w:style w:type="paragraph" w:customStyle="1" w:styleId="74">
    <w:name w:val="标准文件_封面实施日期"/>
    <w:basedOn w:val="1"/>
    <w:qFormat/>
    <w:uiPriority w:val="0"/>
    <w:pPr>
      <w:spacing w:line="310" w:lineRule="exact"/>
      <w:jc w:val="right"/>
    </w:pPr>
    <w:rPr>
      <w:rFonts w:ascii="黑体" w:eastAsia="黑体"/>
      <w:sz w:val="28"/>
    </w:rPr>
  </w:style>
  <w:style w:type="paragraph" w:customStyle="1" w:styleId="75">
    <w:name w:val="标准文件_封面抬头"/>
    <w:basedOn w:val="56"/>
    <w:qFormat/>
    <w:uiPriority w:val="0"/>
    <w:pPr>
      <w:adjustRightInd w:val="0"/>
      <w:spacing w:line="800" w:lineRule="exact"/>
      <w:ind w:firstLine="0" w:firstLineChars="0"/>
      <w:jc w:val="distribute"/>
    </w:pPr>
    <w:rPr>
      <w:rFonts w:ascii="黑体" w:eastAsia="黑体"/>
      <w:b/>
      <w:sz w:val="64"/>
    </w:rPr>
  </w:style>
  <w:style w:type="paragraph" w:customStyle="1" w:styleId="76">
    <w:name w:val="标准文件_附录标识"/>
    <w:next w:val="56"/>
    <w:qFormat/>
    <w:uiPriority w:val="0"/>
    <w:pPr>
      <w:numPr>
        <w:ilvl w:val="0"/>
        <w:numId w:val="4"/>
      </w:numPr>
      <w:shd w:val="clear" w:color="FFFFFF" w:fill="FFFFFF"/>
      <w:tabs>
        <w:tab w:val="left" w:pos="6406"/>
      </w:tabs>
      <w:spacing w:before="560" w:after="50" w:afterLines="50"/>
      <w:jc w:val="center"/>
      <w:outlineLvl w:val="0"/>
    </w:pPr>
    <w:rPr>
      <w:rFonts w:ascii="黑体" w:hAnsi="Times New Roman" w:eastAsia="黑体" w:cs="Times New Roman"/>
      <w:sz w:val="21"/>
      <w:lang w:val="en-US" w:eastAsia="zh-CN" w:bidi="ar-SA"/>
    </w:rPr>
  </w:style>
  <w:style w:type="paragraph" w:customStyle="1" w:styleId="77">
    <w:name w:val="标准文件_附录表标题"/>
    <w:next w:val="56"/>
    <w:qFormat/>
    <w:uiPriority w:val="0"/>
    <w:pPr>
      <w:numPr>
        <w:ilvl w:val="1"/>
        <w:numId w:val="5"/>
      </w:numPr>
      <w:adjustRightInd w:val="0"/>
      <w:snapToGrid w:val="0"/>
      <w:spacing w:before="50" w:beforeLines="50" w:after="50" w:afterLines="50"/>
      <w:jc w:val="center"/>
      <w:textAlignment w:val="baseline"/>
    </w:pPr>
    <w:rPr>
      <w:rFonts w:ascii="黑体" w:hAnsi="Times New Roman" w:eastAsia="黑体" w:cs="Times New Roman"/>
      <w:kern w:val="21"/>
      <w:sz w:val="21"/>
      <w:lang w:val="en-US" w:eastAsia="zh-CN" w:bidi="ar-SA"/>
    </w:rPr>
  </w:style>
  <w:style w:type="paragraph" w:customStyle="1" w:styleId="78">
    <w:name w:val="标准文件_附录一级条标题"/>
    <w:next w:val="56"/>
    <w:qFormat/>
    <w:uiPriority w:val="0"/>
    <w:pPr>
      <w:widowControl w:val="0"/>
      <w:numPr>
        <w:ilvl w:val="1"/>
        <w:numId w:val="4"/>
      </w:numPr>
      <w:spacing w:before="50" w:beforeLines="50" w:after="50" w:afterLines="50"/>
      <w:jc w:val="both"/>
      <w:outlineLvl w:val="2"/>
    </w:pPr>
    <w:rPr>
      <w:rFonts w:ascii="黑体" w:hAnsi="Times New Roman" w:eastAsia="黑体" w:cs="Times New Roman"/>
      <w:kern w:val="21"/>
      <w:sz w:val="21"/>
      <w:lang w:val="en-US" w:eastAsia="zh-CN" w:bidi="ar-SA"/>
    </w:rPr>
  </w:style>
  <w:style w:type="paragraph" w:customStyle="1" w:styleId="79">
    <w:name w:val="标准文件_附录二级条标题"/>
    <w:basedOn w:val="78"/>
    <w:next w:val="56"/>
    <w:qFormat/>
    <w:uiPriority w:val="0"/>
    <w:pPr>
      <w:widowControl/>
      <w:numPr>
        <w:ilvl w:val="2"/>
      </w:numPr>
      <w:wordWrap w:val="0"/>
      <w:overflowPunct w:val="0"/>
      <w:autoSpaceDE w:val="0"/>
      <w:autoSpaceDN w:val="0"/>
      <w:textAlignment w:val="baseline"/>
      <w:outlineLvl w:val="3"/>
    </w:pPr>
  </w:style>
  <w:style w:type="paragraph" w:customStyle="1" w:styleId="80">
    <w:name w:val="标准文件_附录公式"/>
    <w:basedOn w:val="55"/>
    <w:next w:val="55"/>
    <w:qFormat/>
    <w:uiPriority w:val="0"/>
    <w:pPr>
      <w:tabs>
        <w:tab w:val="center" w:pos="4678"/>
        <w:tab w:val="right" w:leader="middleDot" w:pos="9356"/>
      </w:tabs>
      <w:spacing w:line="240" w:lineRule="auto"/>
      <w:ind w:right="-51" w:firstLine="0" w:firstLineChars="0"/>
    </w:pPr>
    <w:rPr>
      <w:rFonts w:ascii="宋体" w:hAnsi="宋体"/>
    </w:rPr>
  </w:style>
  <w:style w:type="paragraph" w:customStyle="1" w:styleId="81">
    <w:name w:val="标准文件_附录三级条标题"/>
    <w:next w:val="56"/>
    <w:qFormat/>
    <w:uiPriority w:val="0"/>
    <w:pPr>
      <w:widowControl w:val="0"/>
      <w:numPr>
        <w:ilvl w:val="3"/>
        <w:numId w:val="4"/>
      </w:numPr>
      <w:spacing w:before="50" w:beforeLines="50" w:after="50" w:afterLines="50"/>
      <w:jc w:val="both"/>
      <w:outlineLvl w:val="4"/>
    </w:pPr>
    <w:rPr>
      <w:rFonts w:ascii="黑体" w:hAnsi="Times New Roman" w:eastAsia="黑体" w:cs="Times New Roman"/>
      <w:kern w:val="21"/>
      <w:sz w:val="21"/>
      <w:lang w:val="en-US" w:eastAsia="zh-CN" w:bidi="ar-SA"/>
    </w:rPr>
  </w:style>
  <w:style w:type="paragraph" w:customStyle="1" w:styleId="82">
    <w:name w:val="标准文件_附录四级条标题"/>
    <w:next w:val="56"/>
    <w:qFormat/>
    <w:uiPriority w:val="0"/>
    <w:pPr>
      <w:widowControl w:val="0"/>
      <w:numPr>
        <w:ilvl w:val="4"/>
        <w:numId w:val="4"/>
      </w:numPr>
      <w:spacing w:before="50" w:beforeLines="50" w:after="50" w:afterLines="50"/>
      <w:jc w:val="both"/>
      <w:outlineLvl w:val="5"/>
    </w:pPr>
    <w:rPr>
      <w:rFonts w:ascii="黑体" w:hAnsi="Times New Roman" w:eastAsia="黑体" w:cs="Times New Roman"/>
      <w:kern w:val="21"/>
      <w:sz w:val="21"/>
      <w:lang w:val="en-US" w:eastAsia="zh-CN" w:bidi="ar-SA"/>
    </w:rPr>
  </w:style>
  <w:style w:type="paragraph" w:customStyle="1" w:styleId="83">
    <w:name w:val="标准文件_附录图标题"/>
    <w:next w:val="56"/>
    <w:qFormat/>
    <w:uiPriority w:val="0"/>
    <w:pPr>
      <w:numPr>
        <w:ilvl w:val="1"/>
        <w:numId w:val="6"/>
      </w:numPr>
      <w:adjustRightInd w:val="0"/>
      <w:snapToGrid w:val="0"/>
      <w:spacing w:before="50" w:beforeLines="50" w:after="50" w:afterLines="50"/>
      <w:jc w:val="center"/>
    </w:pPr>
    <w:rPr>
      <w:rFonts w:ascii="黑体" w:hAnsi="Times New Roman" w:eastAsia="黑体" w:cs="Times New Roman"/>
      <w:sz w:val="21"/>
      <w:lang w:val="en-US" w:eastAsia="zh-CN" w:bidi="ar-SA"/>
    </w:rPr>
  </w:style>
  <w:style w:type="paragraph" w:customStyle="1" w:styleId="84">
    <w:name w:val="标准文件_附录五级条标题"/>
    <w:next w:val="56"/>
    <w:qFormat/>
    <w:uiPriority w:val="0"/>
    <w:pPr>
      <w:widowControl w:val="0"/>
      <w:numPr>
        <w:ilvl w:val="5"/>
        <w:numId w:val="4"/>
      </w:numPr>
      <w:spacing w:before="50" w:beforeLines="50" w:after="50" w:afterLines="50"/>
      <w:jc w:val="both"/>
      <w:outlineLvl w:val="6"/>
    </w:pPr>
    <w:rPr>
      <w:rFonts w:ascii="黑体" w:hAnsi="Times New Roman" w:eastAsia="黑体" w:cs="Times New Roman"/>
      <w:kern w:val="21"/>
      <w:sz w:val="21"/>
      <w:lang w:val="en-US" w:eastAsia="zh-CN" w:bidi="ar-SA"/>
    </w:rPr>
  </w:style>
  <w:style w:type="paragraph" w:customStyle="1" w:styleId="85">
    <w:name w:val="标准文件_附录英文标识"/>
    <w:next w:val="13"/>
    <w:qFormat/>
    <w:uiPriority w:val="0"/>
    <w:pPr>
      <w:numPr>
        <w:ilvl w:val="0"/>
        <w:numId w:val="7"/>
      </w:numPr>
      <w:tabs>
        <w:tab w:val="left" w:pos="6406"/>
      </w:tabs>
      <w:spacing w:before="220" w:after="320"/>
      <w:jc w:val="center"/>
      <w:outlineLvl w:val="0"/>
    </w:pPr>
    <w:rPr>
      <w:rFonts w:ascii="黑体" w:hAnsi="Times New Roman" w:eastAsia="黑体" w:cs="Times New Roman"/>
      <w:sz w:val="21"/>
      <w:lang w:val="en-US" w:eastAsia="zh-CN" w:bidi="ar-SA"/>
    </w:rPr>
  </w:style>
  <w:style w:type="character" w:customStyle="1" w:styleId="86">
    <w:name w:val="正文文本 字符"/>
    <w:link w:val="13"/>
    <w:qFormat/>
    <w:uiPriority w:val="0"/>
    <w:rPr>
      <w:kern w:val="2"/>
      <w:sz w:val="21"/>
      <w:szCs w:val="21"/>
    </w:rPr>
  </w:style>
  <w:style w:type="paragraph" w:customStyle="1" w:styleId="87">
    <w:name w:val="标准文件_附录章标题"/>
    <w:next w:val="56"/>
    <w:qFormat/>
    <w:uiPriority w:val="0"/>
    <w:pPr>
      <w:wordWrap w:val="0"/>
      <w:overflowPunct w:val="0"/>
      <w:autoSpaceDE w:val="0"/>
      <w:spacing w:beforeLines="50" w:afterLines="50"/>
      <w:jc w:val="both"/>
      <w:textAlignment w:val="baseline"/>
      <w:outlineLvl w:val="1"/>
    </w:pPr>
    <w:rPr>
      <w:rFonts w:ascii="黑体" w:hAnsi="Times New Roman" w:eastAsia="黑体" w:cs="Times New Roman"/>
      <w:kern w:val="21"/>
      <w:sz w:val="21"/>
      <w:lang w:val="en-US" w:eastAsia="zh-CN" w:bidi="ar-SA"/>
    </w:rPr>
  </w:style>
  <w:style w:type="paragraph" w:customStyle="1" w:styleId="88">
    <w:name w:val="标准文件_公式后的破折号"/>
    <w:basedOn w:val="56"/>
    <w:next w:val="56"/>
    <w:qFormat/>
    <w:uiPriority w:val="0"/>
    <w:pPr>
      <w:ind w:left="488" w:leftChars="200" w:hanging="289" w:hangingChars="290"/>
    </w:pPr>
  </w:style>
  <w:style w:type="paragraph" w:customStyle="1" w:styleId="89">
    <w:name w:val="标准文件_前言、引言标题"/>
    <w:next w:val="1"/>
    <w:qFormat/>
    <w:uiPriority w:val="0"/>
    <w:pPr>
      <w:numPr>
        <w:ilvl w:val="0"/>
        <w:numId w:val="8"/>
      </w:numPr>
      <w:shd w:val="clear" w:color="FFFFFF" w:fill="FFFFFF"/>
      <w:spacing w:before="480" w:after="150" w:afterLines="150"/>
      <w:jc w:val="center"/>
      <w:outlineLvl w:val="0"/>
    </w:pPr>
    <w:rPr>
      <w:rFonts w:ascii="黑体" w:hAnsi="Times New Roman" w:eastAsia="黑体" w:cs="Times New Roman"/>
      <w:sz w:val="32"/>
      <w:lang w:val="en-US" w:eastAsia="zh-CN" w:bidi="ar-SA"/>
    </w:rPr>
  </w:style>
  <w:style w:type="paragraph" w:customStyle="1" w:styleId="90">
    <w:name w:val="标准文件_目次、标准名称标题"/>
    <w:basedOn w:val="89"/>
    <w:next w:val="56"/>
    <w:qFormat/>
    <w:uiPriority w:val="0"/>
    <w:pPr>
      <w:spacing w:line="460" w:lineRule="exact"/>
      <w:ind w:left="0" w:firstLine="0"/>
    </w:pPr>
  </w:style>
  <w:style w:type="paragraph" w:customStyle="1" w:styleId="91">
    <w:name w:val="标准文件_目录标题"/>
    <w:basedOn w:val="1"/>
    <w:qFormat/>
    <w:uiPriority w:val="0"/>
    <w:pPr>
      <w:spacing w:before="480" w:after="150" w:afterLines="150" w:line="240" w:lineRule="auto"/>
      <w:jc w:val="center"/>
    </w:pPr>
    <w:rPr>
      <w:rFonts w:ascii="黑体" w:eastAsia="黑体"/>
      <w:sz w:val="32"/>
    </w:rPr>
  </w:style>
  <w:style w:type="paragraph" w:customStyle="1" w:styleId="92">
    <w:name w:val="标准文件_破折号列项"/>
    <w:qFormat/>
    <w:uiPriority w:val="0"/>
    <w:pPr>
      <w:numPr>
        <w:ilvl w:val="0"/>
        <w:numId w:val="9"/>
      </w:numPr>
      <w:adjustRightInd w:val="0"/>
      <w:snapToGrid w:val="0"/>
      <w:ind w:firstLine="200" w:firstLineChars="200"/>
    </w:pPr>
    <w:rPr>
      <w:rFonts w:ascii="Times New Roman" w:hAnsi="Times New Roman" w:eastAsia="宋体" w:cs="Times New Roman"/>
      <w:sz w:val="21"/>
      <w:lang w:val="en-US" w:eastAsia="zh-CN" w:bidi="ar-SA"/>
    </w:rPr>
  </w:style>
  <w:style w:type="paragraph" w:customStyle="1" w:styleId="93">
    <w:name w:val="标准文件_破折号列项（二级）"/>
    <w:basedOn w:val="92"/>
    <w:qFormat/>
    <w:uiPriority w:val="0"/>
    <w:pPr>
      <w:numPr>
        <w:numId w:val="10"/>
      </w:numPr>
    </w:pPr>
  </w:style>
  <w:style w:type="paragraph" w:customStyle="1" w:styleId="94">
    <w:name w:val="标准文件_三级条标题"/>
    <w:basedOn w:val="65"/>
    <w:next w:val="56"/>
    <w:qFormat/>
    <w:uiPriority w:val="0"/>
    <w:pPr>
      <w:widowControl/>
      <w:numPr>
        <w:ilvl w:val="4"/>
      </w:numPr>
      <w:outlineLvl w:val="3"/>
    </w:pPr>
  </w:style>
  <w:style w:type="character" w:customStyle="1" w:styleId="95">
    <w:name w:val="Subtle Reference"/>
    <w:qFormat/>
    <w:uiPriority w:val="31"/>
    <w:rPr>
      <w:smallCaps/>
      <w:color w:val="C0504D"/>
      <w:u w:val="single"/>
    </w:rPr>
  </w:style>
  <w:style w:type="paragraph" w:customStyle="1" w:styleId="96">
    <w:name w:val="标准文件_示例后续"/>
    <w:basedOn w:val="1"/>
    <w:qFormat/>
    <w:uiPriority w:val="0"/>
    <w:pPr>
      <w:adjustRightInd/>
      <w:spacing w:line="240" w:lineRule="auto"/>
      <w:ind w:firstLine="200" w:firstLineChars="200"/>
    </w:pPr>
    <w:rPr>
      <w:sz w:val="18"/>
      <w:szCs w:val="24"/>
    </w:rPr>
  </w:style>
  <w:style w:type="paragraph" w:customStyle="1" w:styleId="97">
    <w:name w:val="标准文件_数字编号列项"/>
    <w:qFormat/>
    <w:uiPriority w:val="0"/>
    <w:pPr>
      <w:numPr>
        <w:ilvl w:val="0"/>
        <w:numId w:val="11"/>
      </w:numPr>
      <w:jc w:val="both"/>
    </w:pPr>
    <w:rPr>
      <w:rFonts w:ascii="宋体" w:hAnsi="宋体" w:eastAsia="宋体" w:cs="Times New Roman"/>
      <w:sz w:val="21"/>
      <w:lang w:val="en-US" w:eastAsia="zh-CN" w:bidi="ar-SA"/>
    </w:rPr>
  </w:style>
  <w:style w:type="paragraph" w:customStyle="1" w:styleId="98">
    <w:name w:val="标准文件_四级条标题"/>
    <w:next w:val="56"/>
    <w:qFormat/>
    <w:uiPriority w:val="0"/>
    <w:pPr>
      <w:widowControl w:val="0"/>
      <w:numPr>
        <w:ilvl w:val="5"/>
        <w:numId w:val="2"/>
      </w:numPr>
      <w:spacing w:before="50" w:beforeLines="50" w:after="50" w:afterLines="50"/>
      <w:jc w:val="both"/>
      <w:outlineLvl w:val="4"/>
    </w:pPr>
    <w:rPr>
      <w:rFonts w:ascii="黑体" w:hAnsi="Times New Roman" w:eastAsia="黑体" w:cs="Times New Roman"/>
      <w:sz w:val="21"/>
      <w:lang w:val="en-US" w:eastAsia="zh-CN" w:bidi="ar-SA"/>
    </w:rPr>
  </w:style>
  <w:style w:type="character" w:customStyle="1" w:styleId="99">
    <w:name w:val="脚注文本 字符"/>
    <w:link w:val="21"/>
    <w:semiHidden/>
    <w:qFormat/>
    <w:uiPriority w:val="0"/>
    <w:rPr>
      <w:rFonts w:ascii="宋体"/>
      <w:kern w:val="2"/>
      <w:sz w:val="18"/>
      <w:szCs w:val="18"/>
    </w:rPr>
  </w:style>
  <w:style w:type="paragraph" w:customStyle="1" w:styleId="100">
    <w:name w:val="标准文件_条文脚注"/>
    <w:basedOn w:val="21"/>
    <w:qFormat/>
    <w:uiPriority w:val="0"/>
    <w:pPr>
      <w:adjustRightInd w:val="0"/>
      <w:spacing w:line="240" w:lineRule="auto"/>
      <w:ind w:left="0" w:leftChars="0" w:firstLine="200" w:firstLineChars="200"/>
      <w:jc w:val="both"/>
    </w:pPr>
    <w:rPr>
      <w:rFonts w:hAnsi="宋体"/>
    </w:rPr>
  </w:style>
  <w:style w:type="paragraph" w:customStyle="1" w:styleId="101">
    <w:name w:val="标准文件_图表脚注"/>
    <w:basedOn w:val="1"/>
    <w:next w:val="56"/>
    <w:qFormat/>
    <w:uiPriority w:val="0"/>
    <w:pPr>
      <w:numPr>
        <w:ilvl w:val="0"/>
        <w:numId w:val="12"/>
      </w:numPr>
      <w:spacing w:line="240" w:lineRule="auto"/>
      <w:jc w:val="left"/>
    </w:pPr>
    <w:rPr>
      <w:rFonts w:ascii="宋体" w:hAnsi="宋体"/>
      <w:sz w:val="18"/>
    </w:rPr>
  </w:style>
  <w:style w:type="character" w:customStyle="1" w:styleId="102">
    <w:name w:val="标准文件_图表脚注内容"/>
    <w:qFormat/>
    <w:uiPriority w:val="0"/>
    <w:rPr>
      <w:rFonts w:ascii="宋体" w:hAnsi="宋体" w:eastAsia="宋体" w:cs="Times New Roman"/>
      <w:spacing w:val="0"/>
      <w:sz w:val="18"/>
      <w:vertAlign w:val="superscript"/>
    </w:rPr>
  </w:style>
  <w:style w:type="paragraph" w:customStyle="1" w:styleId="103">
    <w:name w:val="标准文件_五级条标题"/>
    <w:next w:val="56"/>
    <w:qFormat/>
    <w:uiPriority w:val="0"/>
    <w:pPr>
      <w:widowControl w:val="0"/>
      <w:numPr>
        <w:ilvl w:val="6"/>
        <w:numId w:val="2"/>
      </w:numPr>
      <w:spacing w:before="50" w:beforeLines="50" w:after="50" w:afterLines="50"/>
      <w:jc w:val="both"/>
      <w:outlineLvl w:val="5"/>
    </w:pPr>
    <w:rPr>
      <w:rFonts w:ascii="黑体" w:hAnsi="Times New Roman" w:eastAsia="黑体" w:cs="Times New Roman"/>
      <w:sz w:val="21"/>
      <w:lang w:val="en-US" w:eastAsia="zh-CN" w:bidi="ar-SA"/>
    </w:rPr>
  </w:style>
  <w:style w:type="paragraph" w:customStyle="1" w:styleId="104">
    <w:name w:val="标准文件_章标题"/>
    <w:next w:val="56"/>
    <w:qFormat/>
    <w:uiPriority w:val="0"/>
    <w:pPr>
      <w:numPr>
        <w:ilvl w:val="1"/>
        <w:numId w:val="2"/>
      </w:numPr>
      <w:spacing w:before="100" w:beforeLines="100" w:after="100" w:afterLines="100"/>
      <w:jc w:val="both"/>
      <w:outlineLvl w:val="0"/>
    </w:pPr>
    <w:rPr>
      <w:rFonts w:ascii="黑体" w:hAnsi="Times New Roman" w:eastAsia="黑体" w:cs="Times New Roman"/>
      <w:sz w:val="21"/>
      <w:lang w:val="en-US" w:eastAsia="zh-CN" w:bidi="ar-SA"/>
    </w:rPr>
  </w:style>
  <w:style w:type="paragraph" w:customStyle="1" w:styleId="105">
    <w:name w:val="标准文件_一级条标题"/>
    <w:basedOn w:val="104"/>
    <w:next w:val="56"/>
    <w:qFormat/>
    <w:uiPriority w:val="0"/>
    <w:pPr>
      <w:numPr>
        <w:ilvl w:val="2"/>
      </w:numPr>
      <w:spacing w:before="50" w:beforeLines="50" w:after="50" w:afterLines="50"/>
      <w:outlineLvl w:val="1"/>
    </w:pPr>
  </w:style>
  <w:style w:type="paragraph" w:customStyle="1" w:styleId="106">
    <w:name w:val="标准文件_一致程度"/>
    <w:basedOn w:val="1"/>
    <w:qFormat/>
    <w:uiPriority w:val="0"/>
    <w:pPr>
      <w:spacing w:line="440" w:lineRule="exact"/>
      <w:jc w:val="center"/>
    </w:pPr>
    <w:rPr>
      <w:sz w:val="28"/>
    </w:rPr>
  </w:style>
  <w:style w:type="paragraph" w:customStyle="1" w:styleId="107">
    <w:name w:val="标准文件_引言标题"/>
    <w:next w:val="1"/>
    <w:qFormat/>
    <w:uiPriority w:val="0"/>
    <w:pPr>
      <w:shd w:val="clear" w:color="FFFFFF" w:fill="FFFFFF"/>
      <w:spacing w:before="540" w:after="600"/>
      <w:jc w:val="center"/>
      <w:outlineLvl w:val="0"/>
    </w:pPr>
    <w:rPr>
      <w:rFonts w:ascii="黑体" w:hAnsi="Times New Roman" w:eastAsia="黑体" w:cs="Times New Roman"/>
      <w:sz w:val="32"/>
      <w:lang w:val="en-US" w:eastAsia="zh-CN" w:bidi="ar-SA"/>
    </w:rPr>
  </w:style>
  <w:style w:type="paragraph" w:customStyle="1" w:styleId="108">
    <w:name w:val="标准文件_英文图表脚注"/>
    <w:basedOn w:val="55"/>
    <w:qFormat/>
    <w:uiPriority w:val="0"/>
    <w:pPr>
      <w:widowControl/>
      <w:adjustRightInd/>
      <w:snapToGrid/>
      <w:spacing w:line="240" w:lineRule="auto"/>
      <w:ind w:left="79" w:hanging="79" w:hangingChars="80"/>
    </w:pPr>
    <w:rPr>
      <w:rFonts w:ascii="宋体" w:hAnsi="宋体"/>
    </w:rPr>
  </w:style>
  <w:style w:type="paragraph" w:customStyle="1" w:styleId="109">
    <w:name w:val="标准文件_数字编号列项（二级）"/>
    <w:qFormat/>
    <w:uiPriority w:val="0"/>
    <w:pPr>
      <w:numPr>
        <w:ilvl w:val="1"/>
        <w:numId w:val="13"/>
      </w:numPr>
      <w:jc w:val="both"/>
    </w:pPr>
    <w:rPr>
      <w:rFonts w:ascii="宋体" w:hAnsi="Times New Roman" w:eastAsia="宋体" w:cs="Times New Roman"/>
      <w:sz w:val="21"/>
      <w:lang w:val="en-US" w:eastAsia="zh-CN" w:bidi="ar-SA"/>
    </w:rPr>
  </w:style>
  <w:style w:type="paragraph" w:customStyle="1" w:styleId="110">
    <w:name w:val="标准文件_英文注："/>
    <w:basedOn w:val="1"/>
    <w:next w:val="56"/>
    <w:qFormat/>
    <w:uiPriority w:val="0"/>
    <w:pPr>
      <w:numPr>
        <w:ilvl w:val="0"/>
        <w:numId w:val="14"/>
      </w:numPr>
      <w:tabs>
        <w:tab w:val="left" w:pos="420"/>
      </w:tabs>
      <w:autoSpaceDE w:val="0"/>
      <w:autoSpaceDN w:val="0"/>
      <w:spacing w:line="240" w:lineRule="auto"/>
    </w:pPr>
    <w:rPr>
      <w:rFonts w:ascii="宋体" w:hAnsi="宋体"/>
      <w:kern w:val="0"/>
      <w:sz w:val="18"/>
      <w:szCs w:val="20"/>
    </w:rPr>
  </w:style>
  <w:style w:type="paragraph" w:customStyle="1" w:styleId="111">
    <w:name w:val="标准文件_英文注×："/>
    <w:basedOn w:val="1"/>
    <w:qFormat/>
    <w:uiPriority w:val="0"/>
    <w:pPr>
      <w:numPr>
        <w:ilvl w:val="0"/>
        <w:numId w:val="15"/>
      </w:numPr>
      <w:tabs>
        <w:tab w:val="left" w:pos="210"/>
      </w:tabs>
      <w:autoSpaceDE w:val="0"/>
      <w:autoSpaceDN w:val="0"/>
      <w:spacing w:line="240" w:lineRule="auto"/>
    </w:pPr>
    <w:rPr>
      <w:rFonts w:ascii="宋体" w:hAnsi="宋体"/>
      <w:kern w:val="0"/>
      <w:szCs w:val="20"/>
    </w:rPr>
  </w:style>
  <w:style w:type="paragraph" w:customStyle="1" w:styleId="112">
    <w:name w:val="标准文件_正文表标题"/>
    <w:next w:val="56"/>
    <w:qFormat/>
    <w:uiPriority w:val="0"/>
    <w:pPr>
      <w:numPr>
        <w:ilvl w:val="0"/>
        <w:numId w:val="16"/>
      </w:numPr>
      <w:tabs>
        <w:tab w:val="left" w:pos="0"/>
      </w:tabs>
      <w:spacing w:before="50" w:beforeLines="50" w:after="50" w:afterLines="50"/>
      <w:jc w:val="center"/>
    </w:pPr>
    <w:rPr>
      <w:rFonts w:ascii="黑体" w:hAnsi="Times New Roman" w:eastAsia="黑体" w:cs="Times New Roman"/>
      <w:sz w:val="21"/>
      <w:lang w:val="en-US" w:eastAsia="zh-CN" w:bidi="ar-SA"/>
    </w:rPr>
  </w:style>
  <w:style w:type="paragraph" w:customStyle="1" w:styleId="113">
    <w:name w:val="标准文件_正文公式"/>
    <w:basedOn w:val="1"/>
    <w:next w:val="55"/>
    <w:qFormat/>
    <w:uiPriority w:val="0"/>
    <w:pPr>
      <w:tabs>
        <w:tab w:val="center" w:pos="4678"/>
        <w:tab w:val="right" w:leader="middleDot" w:pos="9356"/>
      </w:tabs>
      <w:spacing w:line="240" w:lineRule="auto"/>
    </w:pPr>
    <w:rPr>
      <w:rFonts w:ascii="宋体" w:hAnsi="宋体"/>
    </w:rPr>
  </w:style>
  <w:style w:type="paragraph" w:customStyle="1" w:styleId="114">
    <w:name w:val="标准文件_正文图标题"/>
    <w:next w:val="56"/>
    <w:qFormat/>
    <w:uiPriority w:val="0"/>
    <w:pPr>
      <w:numPr>
        <w:ilvl w:val="0"/>
        <w:numId w:val="17"/>
      </w:numPr>
      <w:spacing w:before="50" w:beforeLines="50" w:after="50" w:afterLines="50"/>
      <w:jc w:val="center"/>
    </w:pPr>
    <w:rPr>
      <w:rFonts w:ascii="黑体" w:hAnsi="Times New Roman" w:eastAsia="黑体" w:cs="Times New Roman"/>
      <w:sz w:val="21"/>
      <w:lang w:val="en-US" w:eastAsia="zh-CN" w:bidi="ar-SA"/>
    </w:rPr>
  </w:style>
  <w:style w:type="paragraph" w:customStyle="1" w:styleId="115">
    <w:name w:val="标准文件_正文英文表标题"/>
    <w:next w:val="56"/>
    <w:qFormat/>
    <w:uiPriority w:val="0"/>
    <w:pPr>
      <w:numPr>
        <w:ilvl w:val="0"/>
        <w:numId w:val="18"/>
      </w:numPr>
      <w:jc w:val="center"/>
    </w:pPr>
    <w:rPr>
      <w:rFonts w:ascii="黑体" w:hAnsi="Times New Roman" w:eastAsia="黑体" w:cs="Times New Roman"/>
      <w:sz w:val="21"/>
      <w:lang w:val="en-US" w:eastAsia="zh-CN" w:bidi="ar-SA"/>
    </w:rPr>
  </w:style>
  <w:style w:type="paragraph" w:customStyle="1" w:styleId="116">
    <w:name w:val="标准文件_正文英文图标题"/>
    <w:next w:val="56"/>
    <w:qFormat/>
    <w:uiPriority w:val="0"/>
    <w:pPr>
      <w:numPr>
        <w:ilvl w:val="0"/>
        <w:numId w:val="19"/>
      </w:numPr>
      <w:jc w:val="center"/>
    </w:pPr>
    <w:rPr>
      <w:rFonts w:ascii="黑体" w:hAnsi="Times New Roman" w:eastAsia="黑体" w:cs="Times New Roman"/>
      <w:sz w:val="21"/>
      <w:lang w:val="en-US" w:eastAsia="zh-CN" w:bidi="ar-SA"/>
    </w:rPr>
  </w:style>
  <w:style w:type="paragraph" w:customStyle="1" w:styleId="117">
    <w:name w:val="标准文件_编号列项（三级）"/>
    <w:qFormat/>
    <w:uiPriority w:val="0"/>
    <w:pPr>
      <w:numPr>
        <w:ilvl w:val="2"/>
        <w:numId w:val="13"/>
      </w:numPr>
    </w:pPr>
    <w:rPr>
      <w:rFonts w:ascii="宋体" w:hAnsi="Times New Roman" w:eastAsia="宋体" w:cs="Times New Roman"/>
      <w:sz w:val="21"/>
      <w:lang w:val="en-US" w:eastAsia="zh-CN" w:bidi="ar-SA"/>
    </w:rPr>
  </w:style>
  <w:style w:type="paragraph" w:customStyle="1" w:styleId="118">
    <w:name w:val="二级无标题条"/>
    <w:basedOn w:val="1"/>
    <w:qFormat/>
    <w:uiPriority w:val="0"/>
    <w:pPr>
      <w:numPr>
        <w:ilvl w:val="3"/>
        <w:numId w:val="20"/>
      </w:numPr>
      <w:adjustRightInd/>
      <w:spacing w:line="240" w:lineRule="auto"/>
    </w:pPr>
    <w:rPr>
      <w:rFonts w:ascii="宋体" w:hAnsi="宋体"/>
      <w:szCs w:val="24"/>
    </w:rPr>
  </w:style>
  <w:style w:type="paragraph" w:customStyle="1" w:styleId="119">
    <w:name w:val="发布部门"/>
    <w:next w:val="56"/>
    <w:qFormat/>
    <w:uiPriority w:val="0"/>
    <w:pPr>
      <w:framePr w:w="7433" w:h="585" w:hRule="exact" w:hSpace="180" w:vSpace="180" w:wrap="around" w:vAnchor="margin" w:hAnchor="margin" w:xAlign="center" w:y="14401" w:anchorLock="1"/>
      <w:jc w:val="center"/>
    </w:pPr>
    <w:rPr>
      <w:rFonts w:ascii="宋体" w:hAnsi="Times New Roman" w:eastAsia="宋体" w:cs="Times New Roman"/>
      <w:b/>
      <w:w w:val="135"/>
      <w:sz w:val="36"/>
      <w:lang w:val="en-US" w:eastAsia="zh-CN" w:bidi="ar-SA"/>
    </w:rPr>
  </w:style>
  <w:style w:type="paragraph" w:customStyle="1" w:styleId="120">
    <w:name w:val="发布日期"/>
    <w:qFormat/>
    <w:uiPriority w:val="0"/>
    <w:pPr>
      <w:framePr w:w="4000" w:h="473" w:hRule="exact" w:hSpace="180" w:vSpace="180" w:wrap="around" w:vAnchor="margin" w:hAnchor="margin" w:y="13511" w:anchorLock="1"/>
    </w:pPr>
    <w:rPr>
      <w:rFonts w:ascii="Times New Roman" w:hAnsi="Times New Roman" w:eastAsia="黑体" w:cs="Times New Roman"/>
      <w:sz w:val="28"/>
      <w:lang w:val="en-US" w:eastAsia="zh-CN" w:bidi="ar-SA"/>
    </w:rPr>
  </w:style>
  <w:style w:type="paragraph" w:customStyle="1" w:styleId="121">
    <w:name w:val="封面标准代替信息"/>
    <w:basedOn w:val="1"/>
    <w:qFormat/>
    <w:uiPriority w:val="0"/>
    <w:pPr>
      <w:framePr w:w="9138" w:h="1244" w:hRule="exact" w:wrap="auto" w:vAnchor="page" w:hAnchor="margin" w:y="2908"/>
      <w:kinsoku w:val="0"/>
      <w:overflowPunct w:val="0"/>
      <w:autoSpaceDE w:val="0"/>
      <w:autoSpaceDN w:val="0"/>
      <w:spacing w:before="57" w:line="280" w:lineRule="exact"/>
      <w:jc w:val="right"/>
      <w:textAlignment w:val="center"/>
    </w:pPr>
    <w:rPr>
      <w:rFonts w:ascii="宋体" w:hAnsi="Times New Roman"/>
      <w:kern w:val="0"/>
      <w:szCs w:val="20"/>
    </w:rPr>
  </w:style>
  <w:style w:type="paragraph" w:customStyle="1" w:styleId="122">
    <w:name w:val="封面标准名称"/>
    <w:qFormat/>
    <w:uiPriority w:val="0"/>
    <w:pPr>
      <w:framePr w:w="9638" w:h="6917" w:hRule="exact" w:wrap="around" w:vAnchor="margin" w:hAnchor="margin" w:xAlign="center" w:y="5955" w:anchorLock="1"/>
      <w:widowControl w:val="0"/>
      <w:spacing w:line="680" w:lineRule="exact"/>
      <w:jc w:val="center"/>
      <w:textAlignment w:val="center"/>
    </w:pPr>
    <w:rPr>
      <w:rFonts w:ascii="黑体" w:hAnsi="Times New Roman" w:eastAsia="黑体" w:cs="Times New Roman"/>
      <w:sz w:val="52"/>
      <w:lang w:val="en-US" w:eastAsia="zh-CN" w:bidi="ar-SA"/>
    </w:rPr>
  </w:style>
  <w:style w:type="paragraph" w:customStyle="1" w:styleId="123">
    <w:name w:val="封面标准文稿编辑信息"/>
    <w:qFormat/>
    <w:uiPriority w:val="0"/>
    <w:pPr>
      <w:spacing w:before="180" w:line="180" w:lineRule="exact"/>
      <w:jc w:val="center"/>
    </w:pPr>
    <w:rPr>
      <w:rFonts w:ascii="宋体" w:hAnsi="Times New Roman" w:eastAsia="宋体" w:cs="Times New Roman"/>
      <w:sz w:val="21"/>
      <w:lang w:val="en-US" w:eastAsia="zh-CN" w:bidi="ar-SA"/>
    </w:rPr>
  </w:style>
  <w:style w:type="paragraph" w:customStyle="1" w:styleId="124">
    <w:name w:val="封面标准文稿类别"/>
    <w:qFormat/>
    <w:uiPriority w:val="0"/>
    <w:pPr>
      <w:spacing w:before="440" w:line="400" w:lineRule="exact"/>
      <w:jc w:val="center"/>
    </w:pPr>
    <w:rPr>
      <w:rFonts w:ascii="宋体" w:hAnsi="Times New Roman" w:eastAsia="宋体" w:cs="Times New Roman"/>
      <w:sz w:val="24"/>
      <w:lang w:val="en-US" w:eastAsia="zh-CN" w:bidi="ar-SA"/>
    </w:rPr>
  </w:style>
  <w:style w:type="paragraph" w:customStyle="1" w:styleId="125">
    <w:name w:val="封面标准英文名称"/>
    <w:qFormat/>
    <w:uiPriority w:val="0"/>
    <w:pPr>
      <w:widowControl w:val="0"/>
      <w:spacing w:line="360" w:lineRule="exact"/>
      <w:jc w:val="center"/>
    </w:pPr>
    <w:rPr>
      <w:rFonts w:ascii="Times New Roman" w:hAnsi="Times New Roman" w:eastAsia="宋体" w:cs="Times New Roman"/>
      <w:sz w:val="28"/>
      <w:lang w:val="en-US" w:eastAsia="zh-CN" w:bidi="ar-SA"/>
    </w:rPr>
  </w:style>
  <w:style w:type="paragraph" w:customStyle="1" w:styleId="126">
    <w:name w:val="封面一致性程度标识"/>
    <w:qFormat/>
    <w:uiPriority w:val="0"/>
    <w:pPr>
      <w:spacing w:before="440" w:line="440" w:lineRule="exact"/>
      <w:jc w:val="center"/>
    </w:pPr>
    <w:rPr>
      <w:rFonts w:ascii="Times New Roman" w:hAnsi="Times New Roman" w:eastAsia="宋体" w:cs="Times New Roman"/>
      <w:sz w:val="28"/>
      <w:lang w:val="en-US" w:eastAsia="zh-CN" w:bidi="ar-SA"/>
    </w:rPr>
  </w:style>
  <w:style w:type="paragraph" w:customStyle="1" w:styleId="127">
    <w:name w:val="封面正文"/>
    <w:qFormat/>
    <w:uiPriority w:val="0"/>
    <w:pPr>
      <w:jc w:val="both"/>
    </w:pPr>
    <w:rPr>
      <w:rFonts w:ascii="Times New Roman" w:hAnsi="Times New Roman" w:eastAsia="宋体" w:cs="Times New Roman"/>
      <w:lang w:val="en-US" w:eastAsia="zh-CN" w:bidi="ar-SA"/>
    </w:rPr>
  </w:style>
  <w:style w:type="paragraph" w:customStyle="1" w:styleId="128">
    <w:name w:val="附录二级无标题条"/>
    <w:basedOn w:val="1"/>
    <w:next w:val="56"/>
    <w:qFormat/>
    <w:uiPriority w:val="0"/>
    <w:pPr>
      <w:widowControl/>
      <w:wordWrap w:val="0"/>
      <w:overflowPunct w:val="0"/>
      <w:autoSpaceDE w:val="0"/>
      <w:autoSpaceDN w:val="0"/>
      <w:adjustRightInd/>
      <w:spacing w:line="240" w:lineRule="auto"/>
      <w:textAlignment w:val="baseline"/>
      <w:outlineLvl w:val="3"/>
    </w:pPr>
    <w:rPr>
      <w:rFonts w:ascii="宋体" w:hAnsi="宋体"/>
      <w:kern w:val="21"/>
    </w:rPr>
  </w:style>
  <w:style w:type="paragraph" w:customStyle="1" w:styleId="129">
    <w:name w:val="附录三级无标题条"/>
    <w:basedOn w:val="128"/>
    <w:next w:val="56"/>
    <w:qFormat/>
    <w:uiPriority w:val="0"/>
    <w:pPr>
      <w:outlineLvl w:val="4"/>
    </w:pPr>
  </w:style>
  <w:style w:type="paragraph" w:customStyle="1" w:styleId="130">
    <w:name w:val="附录四级无标题条"/>
    <w:basedOn w:val="129"/>
    <w:next w:val="56"/>
    <w:qFormat/>
    <w:uiPriority w:val="0"/>
    <w:pPr>
      <w:outlineLvl w:val="5"/>
    </w:pPr>
  </w:style>
  <w:style w:type="paragraph" w:customStyle="1" w:styleId="131">
    <w:name w:val="附录图"/>
    <w:next w:val="56"/>
    <w:qFormat/>
    <w:uiPriority w:val="0"/>
    <w:pPr>
      <w:wordWrap w:val="0"/>
      <w:overflowPunct w:val="0"/>
      <w:autoSpaceDE w:val="0"/>
      <w:spacing w:before="50" w:beforeLines="50" w:after="50" w:afterLines="50"/>
      <w:jc w:val="center"/>
      <w:textAlignment w:val="baseline"/>
      <w:outlineLvl w:val="1"/>
    </w:pPr>
    <w:rPr>
      <w:rFonts w:ascii="黑体" w:hAnsi="Times New Roman" w:eastAsia="黑体" w:cs="Times New Roman"/>
      <w:kern w:val="21"/>
      <w:sz w:val="21"/>
      <w:lang w:val="en-US" w:eastAsia="zh-CN" w:bidi="ar-SA"/>
    </w:rPr>
  </w:style>
  <w:style w:type="paragraph" w:customStyle="1" w:styleId="132">
    <w:name w:val="标准文件_一级项"/>
    <w:qFormat/>
    <w:uiPriority w:val="0"/>
    <w:pPr>
      <w:numPr>
        <w:ilvl w:val="0"/>
        <w:numId w:val="21"/>
      </w:numPr>
    </w:pPr>
    <w:rPr>
      <w:rFonts w:ascii="宋体" w:hAnsi="Times New Roman" w:eastAsia="宋体" w:cs="Times New Roman"/>
      <w:sz w:val="21"/>
      <w:lang w:val="en-US" w:eastAsia="zh-CN" w:bidi="ar-SA"/>
    </w:rPr>
  </w:style>
  <w:style w:type="paragraph" w:customStyle="1" w:styleId="133">
    <w:name w:val="附录五级无标题条"/>
    <w:basedOn w:val="130"/>
    <w:next w:val="56"/>
    <w:qFormat/>
    <w:uiPriority w:val="0"/>
    <w:pPr>
      <w:outlineLvl w:val="6"/>
    </w:pPr>
  </w:style>
  <w:style w:type="paragraph" w:customStyle="1" w:styleId="134">
    <w:name w:val="附录性质"/>
    <w:basedOn w:val="1"/>
    <w:qFormat/>
    <w:uiPriority w:val="0"/>
    <w:pPr>
      <w:widowControl/>
      <w:adjustRightInd/>
      <w:jc w:val="center"/>
    </w:pPr>
    <w:rPr>
      <w:rFonts w:ascii="黑体" w:eastAsia="黑体"/>
    </w:rPr>
  </w:style>
  <w:style w:type="paragraph" w:customStyle="1" w:styleId="135">
    <w:name w:val="附录一级无标题条"/>
    <w:basedOn w:val="87"/>
    <w:next w:val="56"/>
    <w:qFormat/>
    <w:uiPriority w:val="0"/>
    <w:pPr>
      <w:autoSpaceDN w:val="0"/>
      <w:outlineLvl w:val="2"/>
    </w:pPr>
    <w:rPr>
      <w:rFonts w:ascii="宋体" w:hAnsi="宋体" w:eastAsia="宋体"/>
    </w:rPr>
  </w:style>
  <w:style w:type="character" w:customStyle="1" w:styleId="136">
    <w:name w:val="个人答复风格"/>
    <w:qFormat/>
    <w:uiPriority w:val="0"/>
    <w:rPr>
      <w:rFonts w:ascii="Arial" w:hAnsi="Arial" w:eastAsia="宋体" w:cs="Arial"/>
      <w:color w:val="auto"/>
      <w:spacing w:val="0"/>
      <w:sz w:val="20"/>
    </w:rPr>
  </w:style>
  <w:style w:type="character" w:customStyle="1" w:styleId="137">
    <w:name w:val="个人撰写风格"/>
    <w:qFormat/>
    <w:uiPriority w:val="0"/>
    <w:rPr>
      <w:rFonts w:ascii="Arial" w:hAnsi="Arial" w:eastAsia="宋体" w:cs="Arial"/>
      <w:color w:val="auto"/>
      <w:spacing w:val="0"/>
      <w:sz w:val="20"/>
    </w:rPr>
  </w:style>
  <w:style w:type="paragraph" w:customStyle="1" w:styleId="138">
    <w:name w:val="脚注后续"/>
    <w:qFormat/>
    <w:uiPriority w:val="0"/>
    <w:pPr>
      <w:ind w:left="350" w:leftChars="350"/>
      <w:jc w:val="both"/>
    </w:pPr>
    <w:rPr>
      <w:rFonts w:ascii="宋体" w:hAnsi="Times New Roman" w:eastAsia="宋体" w:cs="Times New Roman"/>
      <w:sz w:val="18"/>
      <w:lang w:val="en-US" w:eastAsia="zh-CN" w:bidi="ar-SA"/>
    </w:rPr>
  </w:style>
  <w:style w:type="paragraph" w:customStyle="1" w:styleId="139">
    <w:name w:val="列项——"/>
    <w:qFormat/>
    <w:uiPriority w:val="0"/>
    <w:pPr>
      <w:widowControl w:val="0"/>
      <w:numPr>
        <w:ilvl w:val="0"/>
        <w:numId w:val="22"/>
      </w:numPr>
      <w:jc w:val="both"/>
    </w:pPr>
    <w:rPr>
      <w:rFonts w:ascii="宋体" w:hAnsi="宋体" w:eastAsia="宋体" w:cs="Times New Roman"/>
      <w:sz w:val="21"/>
      <w:lang w:val="en-US" w:eastAsia="zh-CN" w:bidi="ar-SA"/>
    </w:rPr>
  </w:style>
  <w:style w:type="paragraph" w:customStyle="1" w:styleId="140">
    <w:name w:val="列项·"/>
    <w:basedOn w:val="56"/>
    <w:qFormat/>
    <w:uiPriority w:val="0"/>
    <w:pPr>
      <w:tabs>
        <w:tab w:val="left" w:pos="840"/>
      </w:tabs>
    </w:pPr>
  </w:style>
  <w:style w:type="paragraph" w:customStyle="1" w:styleId="141">
    <w:name w:val="目次、索引正文"/>
    <w:qFormat/>
    <w:uiPriority w:val="0"/>
    <w:pPr>
      <w:spacing w:line="320" w:lineRule="exact"/>
      <w:jc w:val="both"/>
    </w:pPr>
    <w:rPr>
      <w:rFonts w:ascii="宋体" w:hAnsi="Times New Roman" w:eastAsia="宋体" w:cs="Times New Roman"/>
      <w:sz w:val="21"/>
      <w:lang w:val="en-US" w:eastAsia="zh-CN" w:bidi="ar-SA"/>
    </w:rPr>
  </w:style>
  <w:style w:type="paragraph" w:customStyle="1" w:styleId="142">
    <w:name w:val="目录 21"/>
    <w:basedOn w:val="1"/>
    <w:next w:val="1"/>
    <w:semiHidden/>
    <w:qFormat/>
    <w:uiPriority w:val="0"/>
    <w:pPr>
      <w:adjustRightInd/>
      <w:spacing w:line="240" w:lineRule="auto"/>
      <w:jc w:val="left"/>
    </w:pPr>
    <w:rPr>
      <w:bCs/>
      <w:iCs/>
    </w:rPr>
  </w:style>
  <w:style w:type="paragraph" w:customStyle="1" w:styleId="143">
    <w:name w:val="目录 31"/>
    <w:basedOn w:val="1"/>
    <w:next w:val="1"/>
    <w:semiHidden/>
    <w:qFormat/>
    <w:uiPriority w:val="0"/>
    <w:pPr>
      <w:spacing w:line="240" w:lineRule="auto"/>
    </w:pPr>
    <w:rPr>
      <w:rFonts w:ascii="宋体" w:hAnsi="宋体"/>
      <w:iCs/>
    </w:rPr>
  </w:style>
  <w:style w:type="paragraph" w:customStyle="1" w:styleId="144">
    <w:name w:val="目录 41"/>
    <w:basedOn w:val="1"/>
    <w:next w:val="1"/>
    <w:semiHidden/>
    <w:qFormat/>
    <w:uiPriority w:val="0"/>
    <w:pPr>
      <w:adjustRightInd/>
      <w:spacing w:line="240" w:lineRule="auto"/>
      <w:jc w:val="left"/>
    </w:pPr>
  </w:style>
  <w:style w:type="paragraph" w:customStyle="1" w:styleId="145">
    <w:name w:val="目录 51"/>
    <w:basedOn w:val="1"/>
    <w:next w:val="1"/>
    <w:semiHidden/>
    <w:qFormat/>
    <w:uiPriority w:val="0"/>
    <w:pPr>
      <w:spacing w:line="240" w:lineRule="auto"/>
    </w:pPr>
    <w:rPr>
      <w:rFonts w:ascii="宋体" w:hAnsi="宋体"/>
    </w:rPr>
  </w:style>
  <w:style w:type="paragraph" w:customStyle="1" w:styleId="146">
    <w:name w:val="目录 61"/>
    <w:basedOn w:val="1"/>
    <w:next w:val="1"/>
    <w:semiHidden/>
    <w:qFormat/>
    <w:uiPriority w:val="0"/>
    <w:pPr>
      <w:adjustRightInd/>
      <w:spacing w:line="240" w:lineRule="auto"/>
      <w:jc w:val="left"/>
    </w:pPr>
  </w:style>
  <w:style w:type="paragraph" w:customStyle="1" w:styleId="147">
    <w:name w:val="目录 71"/>
    <w:basedOn w:val="146"/>
    <w:semiHidden/>
    <w:qFormat/>
    <w:uiPriority w:val="0"/>
    <w:pPr>
      <w:ind w:left="1260"/>
    </w:pPr>
  </w:style>
  <w:style w:type="paragraph" w:customStyle="1" w:styleId="148">
    <w:name w:val="目录 81"/>
    <w:basedOn w:val="147"/>
    <w:semiHidden/>
    <w:qFormat/>
    <w:uiPriority w:val="0"/>
    <w:pPr>
      <w:ind w:left="1470"/>
    </w:pPr>
  </w:style>
  <w:style w:type="paragraph" w:customStyle="1" w:styleId="149">
    <w:name w:val="目录 91"/>
    <w:basedOn w:val="148"/>
    <w:semiHidden/>
    <w:qFormat/>
    <w:uiPriority w:val="0"/>
    <w:pPr>
      <w:ind w:left="1680"/>
    </w:pPr>
  </w:style>
  <w:style w:type="paragraph" w:customStyle="1" w:styleId="150">
    <w:name w:val="其他标准称谓"/>
    <w:qFormat/>
    <w:uiPriority w:val="0"/>
    <w:pPr>
      <w:spacing w:line="0" w:lineRule="atLeast"/>
      <w:jc w:val="distribute"/>
    </w:pPr>
    <w:rPr>
      <w:rFonts w:ascii="黑体" w:hAnsi="宋体" w:eastAsia="黑体" w:cs="Times New Roman"/>
      <w:sz w:val="52"/>
      <w:lang w:val="en-US" w:eastAsia="zh-CN" w:bidi="ar-SA"/>
    </w:rPr>
  </w:style>
  <w:style w:type="paragraph" w:customStyle="1" w:styleId="151">
    <w:name w:val="其他发布部门"/>
    <w:basedOn w:val="119"/>
    <w:qFormat/>
    <w:uiPriority w:val="0"/>
    <w:pPr>
      <w:framePr w:wrap="around"/>
      <w:spacing w:line="0" w:lineRule="atLeast"/>
    </w:pPr>
    <w:rPr>
      <w:rFonts w:ascii="黑体" w:eastAsia="黑体"/>
      <w:b w:val="0"/>
    </w:rPr>
  </w:style>
  <w:style w:type="paragraph" w:customStyle="1" w:styleId="152">
    <w:name w:val="前言标题"/>
    <w:next w:val="1"/>
    <w:qFormat/>
    <w:uiPriority w:val="0"/>
    <w:pPr>
      <w:numPr>
        <w:ilvl w:val="0"/>
        <w:numId w:val="2"/>
      </w:numPr>
      <w:shd w:val="clear" w:color="FFFFFF" w:fill="FFFFFF"/>
      <w:spacing w:before="540" w:after="600"/>
      <w:jc w:val="center"/>
      <w:outlineLvl w:val="0"/>
    </w:pPr>
    <w:rPr>
      <w:rFonts w:ascii="黑体" w:hAnsi="Times New Roman" w:eastAsia="黑体" w:cs="Times New Roman"/>
      <w:sz w:val="32"/>
      <w:lang w:val="en-US" w:eastAsia="zh-CN" w:bidi="ar-SA"/>
    </w:rPr>
  </w:style>
  <w:style w:type="paragraph" w:customStyle="1" w:styleId="153">
    <w:name w:val="三级无标题条"/>
    <w:basedOn w:val="1"/>
    <w:qFormat/>
    <w:uiPriority w:val="0"/>
    <w:pPr>
      <w:numPr>
        <w:ilvl w:val="4"/>
        <w:numId w:val="20"/>
      </w:numPr>
      <w:adjustRightInd/>
      <w:spacing w:line="240" w:lineRule="auto"/>
    </w:pPr>
    <w:rPr>
      <w:rFonts w:ascii="宋体" w:hAnsi="宋体"/>
      <w:szCs w:val="24"/>
    </w:rPr>
  </w:style>
  <w:style w:type="paragraph" w:customStyle="1" w:styleId="154">
    <w:name w:val="实施日期"/>
    <w:basedOn w:val="120"/>
    <w:qFormat/>
    <w:uiPriority w:val="0"/>
    <w:pPr>
      <w:framePr w:hSpace="0" w:wrap="around" w:xAlign="right"/>
      <w:jc w:val="right"/>
    </w:pPr>
  </w:style>
  <w:style w:type="paragraph" w:customStyle="1" w:styleId="155">
    <w:name w:val="四级无标题条"/>
    <w:basedOn w:val="1"/>
    <w:qFormat/>
    <w:uiPriority w:val="0"/>
    <w:pPr>
      <w:numPr>
        <w:ilvl w:val="5"/>
        <w:numId w:val="20"/>
      </w:numPr>
      <w:adjustRightInd/>
      <w:spacing w:line="240" w:lineRule="auto"/>
    </w:pPr>
    <w:rPr>
      <w:rFonts w:ascii="宋体" w:hAnsi="宋体"/>
      <w:szCs w:val="24"/>
    </w:rPr>
  </w:style>
  <w:style w:type="paragraph" w:customStyle="1" w:styleId="156">
    <w:name w:val="文献分类号"/>
    <w:qFormat/>
    <w:uiPriority w:val="0"/>
    <w:pPr>
      <w:framePr w:hSpace="180" w:vSpace="180" w:wrap="around" w:vAnchor="margin" w:hAnchor="margin" w:y="1" w:anchorLock="1"/>
      <w:widowControl w:val="0"/>
      <w:textAlignment w:val="center"/>
    </w:pPr>
    <w:rPr>
      <w:rFonts w:ascii="Times New Roman" w:hAnsi="Times New Roman" w:eastAsia="黑体" w:cs="Times New Roman"/>
      <w:sz w:val="21"/>
      <w:lang w:val="en-US" w:eastAsia="zh-CN" w:bidi="ar-SA"/>
    </w:rPr>
  </w:style>
  <w:style w:type="paragraph" w:customStyle="1" w:styleId="157">
    <w:name w:val="无标题条"/>
    <w:next w:val="56"/>
    <w:qFormat/>
    <w:uiPriority w:val="0"/>
    <w:pPr>
      <w:jc w:val="both"/>
    </w:pPr>
    <w:rPr>
      <w:rFonts w:ascii="宋体" w:hAnsi="宋体" w:eastAsia="宋体" w:cs="Times New Roman"/>
      <w:sz w:val="21"/>
      <w:lang w:val="en-US" w:eastAsia="zh-CN" w:bidi="ar-SA"/>
    </w:rPr>
  </w:style>
  <w:style w:type="paragraph" w:customStyle="1" w:styleId="158">
    <w:name w:val="五级无标题条"/>
    <w:basedOn w:val="1"/>
    <w:qFormat/>
    <w:uiPriority w:val="0"/>
    <w:pPr>
      <w:numPr>
        <w:ilvl w:val="6"/>
        <w:numId w:val="20"/>
      </w:numPr>
      <w:adjustRightInd/>
    </w:pPr>
    <w:rPr>
      <w:szCs w:val="24"/>
    </w:rPr>
  </w:style>
  <w:style w:type="paragraph" w:customStyle="1" w:styleId="159">
    <w:name w:val="一级无标题条"/>
    <w:basedOn w:val="1"/>
    <w:qFormat/>
    <w:uiPriority w:val="0"/>
    <w:pPr>
      <w:numPr>
        <w:ilvl w:val="2"/>
        <w:numId w:val="20"/>
      </w:numPr>
      <w:adjustRightInd/>
      <w:spacing w:before="10" w:after="10" w:line="240" w:lineRule="auto"/>
    </w:pPr>
    <w:rPr>
      <w:rFonts w:ascii="宋体" w:hAnsi="宋体"/>
      <w:szCs w:val="24"/>
    </w:rPr>
  </w:style>
  <w:style w:type="paragraph" w:customStyle="1" w:styleId="160">
    <w:name w:val="注:后续"/>
    <w:qFormat/>
    <w:uiPriority w:val="0"/>
    <w:pPr>
      <w:spacing w:line="300" w:lineRule="exact"/>
      <w:ind w:left="600" w:leftChars="400" w:hanging="200" w:hangingChars="200"/>
      <w:jc w:val="both"/>
    </w:pPr>
    <w:rPr>
      <w:rFonts w:ascii="宋体" w:hAnsi="Times New Roman" w:eastAsia="宋体" w:cs="Times New Roman"/>
      <w:sz w:val="18"/>
      <w:lang w:val="en-US" w:eastAsia="zh-CN" w:bidi="ar-SA"/>
    </w:rPr>
  </w:style>
  <w:style w:type="paragraph" w:customStyle="1" w:styleId="161">
    <w:name w:val="注×:后续"/>
    <w:basedOn w:val="160"/>
    <w:qFormat/>
    <w:uiPriority w:val="0"/>
    <w:pPr>
      <w:ind w:left="1406" w:leftChars="0" w:hanging="499" w:firstLineChars="0"/>
    </w:pPr>
  </w:style>
  <w:style w:type="paragraph" w:customStyle="1" w:styleId="162">
    <w:name w:val="标准文件_一级无标题"/>
    <w:basedOn w:val="105"/>
    <w:qFormat/>
    <w:uiPriority w:val="0"/>
    <w:pPr>
      <w:spacing w:before="0" w:beforeLines="0" w:after="0" w:afterLines="0"/>
      <w:outlineLvl w:val="9"/>
    </w:pPr>
    <w:rPr>
      <w:rFonts w:ascii="宋体" w:eastAsia="宋体"/>
    </w:rPr>
  </w:style>
  <w:style w:type="paragraph" w:customStyle="1" w:styleId="163">
    <w:name w:val="标准文件_五级无标题"/>
    <w:basedOn w:val="103"/>
    <w:qFormat/>
    <w:uiPriority w:val="0"/>
    <w:pPr>
      <w:spacing w:before="0" w:beforeLines="0" w:after="0" w:afterLines="0"/>
      <w:outlineLvl w:val="9"/>
    </w:pPr>
    <w:rPr>
      <w:rFonts w:ascii="宋体" w:eastAsia="宋体"/>
    </w:rPr>
  </w:style>
  <w:style w:type="paragraph" w:customStyle="1" w:styleId="164">
    <w:name w:val="标准文件_三级无标题"/>
    <w:basedOn w:val="94"/>
    <w:qFormat/>
    <w:uiPriority w:val="0"/>
    <w:pPr>
      <w:spacing w:before="0" w:beforeLines="0" w:after="0" w:afterLines="0"/>
      <w:outlineLvl w:val="9"/>
    </w:pPr>
    <w:rPr>
      <w:rFonts w:ascii="宋体" w:eastAsia="宋体"/>
    </w:rPr>
  </w:style>
  <w:style w:type="paragraph" w:customStyle="1" w:styleId="165">
    <w:name w:val="标准文件_二级无标题"/>
    <w:basedOn w:val="65"/>
    <w:qFormat/>
    <w:uiPriority w:val="0"/>
    <w:pPr>
      <w:spacing w:before="0" w:beforeLines="0" w:after="0" w:afterLines="0"/>
      <w:outlineLvl w:val="9"/>
    </w:pPr>
    <w:rPr>
      <w:rFonts w:ascii="宋体" w:eastAsia="宋体"/>
    </w:rPr>
  </w:style>
  <w:style w:type="paragraph" w:customStyle="1" w:styleId="166">
    <w:name w:val="标准_四级无标题"/>
    <w:basedOn w:val="98"/>
    <w:next w:val="56"/>
    <w:qFormat/>
    <w:uiPriority w:val="0"/>
    <w:rPr>
      <w:rFonts w:eastAsia="宋体"/>
    </w:rPr>
  </w:style>
  <w:style w:type="paragraph" w:customStyle="1" w:styleId="167">
    <w:name w:val="标准文件_四级无标题"/>
    <w:basedOn w:val="98"/>
    <w:qFormat/>
    <w:uiPriority w:val="0"/>
    <w:pPr>
      <w:spacing w:before="0" w:beforeLines="0" w:after="0" w:afterLines="0"/>
      <w:outlineLvl w:val="9"/>
    </w:pPr>
    <w:rPr>
      <w:rFonts w:ascii="宋体" w:hAnsi="黑体" w:eastAsia="宋体"/>
      <w:szCs w:val="52"/>
    </w:rPr>
  </w:style>
  <w:style w:type="paragraph" w:customStyle="1" w:styleId="168">
    <w:name w:val="标准文件_大写罗马数字编号列项"/>
    <w:basedOn w:val="56"/>
    <w:qFormat/>
    <w:uiPriority w:val="0"/>
    <w:pPr>
      <w:numPr>
        <w:ilvl w:val="0"/>
        <w:numId w:val="23"/>
      </w:numPr>
      <w:ind w:firstLine="0" w:firstLineChars="0"/>
    </w:pPr>
    <w:rPr>
      <w:rFonts w:ascii="Times New Roman" w:cs="Arial"/>
      <w:szCs w:val="28"/>
    </w:rPr>
  </w:style>
  <w:style w:type="paragraph" w:customStyle="1" w:styleId="169">
    <w:name w:val="标准文件_小写罗马数字编号列项"/>
    <w:basedOn w:val="56"/>
    <w:qFormat/>
    <w:uiPriority w:val="0"/>
    <w:pPr>
      <w:numPr>
        <w:ilvl w:val="0"/>
        <w:numId w:val="24"/>
      </w:numPr>
      <w:ind w:firstLine="0" w:firstLineChars="0"/>
    </w:pPr>
    <w:rPr>
      <w:rFonts w:cs="Arial"/>
      <w:szCs w:val="28"/>
    </w:rPr>
  </w:style>
  <w:style w:type="paragraph" w:customStyle="1" w:styleId="170">
    <w:name w:val="标准文件_附录标题"/>
    <w:basedOn w:val="76"/>
    <w:qFormat/>
    <w:uiPriority w:val="0"/>
    <w:pPr>
      <w:numPr>
        <w:numId w:val="0"/>
      </w:numPr>
      <w:spacing w:after="280"/>
      <w:outlineLvl w:val="9"/>
    </w:pPr>
  </w:style>
  <w:style w:type="paragraph" w:customStyle="1" w:styleId="171">
    <w:name w:val="标准文件_二级项"/>
    <w:qFormat/>
    <w:uiPriority w:val="0"/>
    <w:rPr>
      <w:rFonts w:ascii="宋体" w:hAnsi="Times New Roman" w:eastAsia="宋体" w:cs="Times New Roman"/>
      <w:sz w:val="21"/>
      <w:lang w:val="en-US" w:eastAsia="zh-CN" w:bidi="ar-SA"/>
    </w:rPr>
  </w:style>
  <w:style w:type="paragraph" w:customStyle="1" w:styleId="172">
    <w:name w:val="标准文件_三级项"/>
    <w:basedOn w:val="1"/>
    <w:qFormat/>
    <w:uiPriority w:val="0"/>
    <w:pPr>
      <w:numPr>
        <w:ilvl w:val="2"/>
        <w:numId w:val="21"/>
      </w:numPr>
      <w:spacing w:line="536870612" w:lineRule="auto"/>
    </w:pPr>
    <w:rPr>
      <w:rFonts w:ascii="Times New Roman" w:hAnsi="Times New Roman"/>
    </w:rPr>
  </w:style>
  <w:style w:type="paragraph" w:customStyle="1" w:styleId="173">
    <w:name w:val="图表脚注说明"/>
    <w:basedOn w:val="1"/>
    <w:next w:val="56"/>
    <w:qFormat/>
    <w:uiPriority w:val="0"/>
    <w:pPr>
      <w:numPr>
        <w:ilvl w:val="0"/>
        <w:numId w:val="25"/>
      </w:numPr>
      <w:adjustRightInd/>
      <w:spacing w:line="240" w:lineRule="auto"/>
    </w:pPr>
    <w:rPr>
      <w:rFonts w:ascii="宋体" w:hAnsi="Times New Roman"/>
      <w:sz w:val="18"/>
      <w:szCs w:val="18"/>
    </w:rPr>
  </w:style>
  <w:style w:type="paragraph" w:customStyle="1" w:styleId="174">
    <w:name w:val="标准文件_字母编号列项（一级）"/>
    <w:qFormat/>
    <w:uiPriority w:val="0"/>
    <w:pPr>
      <w:numPr>
        <w:ilvl w:val="0"/>
        <w:numId w:val="13"/>
      </w:numPr>
      <w:jc w:val="both"/>
    </w:pPr>
    <w:rPr>
      <w:rFonts w:ascii="宋体" w:hAnsi="Times New Roman" w:eastAsia="宋体" w:cs="Times New Roman"/>
      <w:sz w:val="21"/>
      <w:lang w:val="en-US" w:eastAsia="zh-CN" w:bidi="ar-SA"/>
    </w:rPr>
  </w:style>
  <w:style w:type="paragraph" w:customStyle="1" w:styleId="175">
    <w:name w:val="标准文件_索引字母"/>
    <w:next w:val="56"/>
    <w:qFormat/>
    <w:uiPriority w:val="0"/>
    <w:pPr>
      <w:jc w:val="center"/>
    </w:pPr>
    <w:rPr>
      <w:rFonts w:ascii="宋体" w:hAnsi="宋体" w:eastAsia="Times New Roman" w:cs="Times New Roman"/>
      <w:b/>
      <w:kern w:val="2"/>
      <w:sz w:val="21"/>
      <w:lang w:val="en-US" w:eastAsia="zh-CN" w:bidi="ar-SA"/>
    </w:rPr>
  </w:style>
  <w:style w:type="paragraph" w:customStyle="1" w:styleId="176">
    <w:name w:val="标准文件_附录前"/>
    <w:next w:val="56"/>
    <w:qFormat/>
    <w:uiPriority w:val="0"/>
    <w:pPr>
      <w:spacing w:line="20" w:lineRule="atLeast"/>
      <w:ind w:firstLine="200"/>
    </w:pPr>
    <w:rPr>
      <w:rFonts w:ascii="宋体" w:hAnsi="宋体" w:eastAsia="宋体" w:cs="Times New Roman"/>
      <w:kern w:val="2"/>
      <w:sz w:val="10"/>
      <w:lang w:val="en-US" w:eastAsia="zh-CN" w:bidi="ar-SA"/>
    </w:rPr>
  </w:style>
  <w:style w:type="paragraph" w:customStyle="1" w:styleId="177">
    <w:name w:val="标准文件_正文标准名称"/>
    <w:qFormat/>
    <w:uiPriority w:val="0"/>
    <w:pPr>
      <w:spacing w:before="560" w:after="640" w:line="400" w:lineRule="exact"/>
      <w:jc w:val="center"/>
    </w:pPr>
    <w:rPr>
      <w:rFonts w:ascii="黑体" w:hAnsi="黑体" w:eastAsia="黑体" w:cs="Times New Roman"/>
      <w:kern w:val="2"/>
      <w:sz w:val="32"/>
      <w:szCs w:val="32"/>
      <w:lang w:val="en-US" w:eastAsia="zh-CN" w:bidi="ar-SA"/>
    </w:rPr>
  </w:style>
  <w:style w:type="paragraph" w:customStyle="1" w:styleId="178">
    <w:name w:val="标准文件_表格"/>
    <w:basedOn w:val="56"/>
    <w:qFormat/>
    <w:uiPriority w:val="0"/>
    <w:pPr>
      <w:ind w:firstLine="0" w:firstLineChars="0"/>
      <w:jc w:val="center"/>
    </w:pPr>
    <w:rPr>
      <w:sz w:val="18"/>
    </w:rPr>
  </w:style>
  <w:style w:type="paragraph" w:customStyle="1" w:styleId="179">
    <w:name w:val="标准文件_注："/>
    <w:next w:val="56"/>
    <w:qFormat/>
    <w:uiPriority w:val="0"/>
    <w:pPr>
      <w:widowControl w:val="0"/>
      <w:numPr>
        <w:ilvl w:val="0"/>
        <w:numId w:val="26"/>
      </w:numPr>
      <w:autoSpaceDE w:val="0"/>
      <w:autoSpaceDN w:val="0"/>
      <w:jc w:val="both"/>
    </w:pPr>
    <w:rPr>
      <w:rFonts w:ascii="宋体" w:hAnsi="Times New Roman" w:eastAsia="宋体" w:cs="Times New Roman"/>
      <w:sz w:val="18"/>
      <w:szCs w:val="18"/>
      <w:lang w:val="en-US" w:eastAsia="zh-CN" w:bidi="ar-SA"/>
    </w:rPr>
  </w:style>
  <w:style w:type="paragraph" w:customStyle="1" w:styleId="180">
    <w:name w:val="标准文件_注×："/>
    <w:qFormat/>
    <w:uiPriority w:val="0"/>
    <w:pPr>
      <w:widowControl w:val="0"/>
      <w:numPr>
        <w:ilvl w:val="0"/>
        <w:numId w:val="27"/>
      </w:numPr>
      <w:autoSpaceDE w:val="0"/>
      <w:autoSpaceDN w:val="0"/>
      <w:jc w:val="both"/>
    </w:pPr>
    <w:rPr>
      <w:rFonts w:ascii="宋体" w:hAnsi="Times New Roman" w:eastAsia="宋体" w:cs="Times New Roman"/>
      <w:sz w:val="18"/>
      <w:szCs w:val="18"/>
      <w:lang w:val="en-US" w:eastAsia="zh-CN" w:bidi="ar-SA"/>
    </w:rPr>
  </w:style>
  <w:style w:type="paragraph" w:customStyle="1" w:styleId="181">
    <w:name w:val="标准文件_示例："/>
    <w:next w:val="182"/>
    <w:qFormat/>
    <w:uiPriority w:val="0"/>
    <w:pPr>
      <w:widowControl w:val="0"/>
      <w:numPr>
        <w:ilvl w:val="0"/>
        <w:numId w:val="28"/>
      </w:numPr>
      <w:jc w:val="both"/>
    </w:pPr>
    <w:rPr>
      <w:rFonts w:ascii="宋体" w:hAnsi="Times New Roman" w:eastAsia="宋体" w:cs="Times New Roman"/>
      <w:sz w:val="18"/>
      <w:szCs w:val="18"/>
      <w:lang w:val="en-US" w:eastAsia="zh-CN" w:bidi="ar-SA"/>
    </w:rPr>
  </w:style>
  <w:style w:type="paragraph" w:customStyle="1" w:styleId="182">
    <w:name w:val="标准文件_示例内容"/>
    <w:basedOn w:val="56"/>
    <w:qFormat/>
    <w:uiPriority w:val="0"/>
    <w:pPr>
      <w:ind w:firstLine="420"/>
    </w:pPr>
    <w:rPr>
      <w:sz w:val="18"/>
    </w:rPr>
  </w:style>
  <w:style w:type="paragraph" w:customStyle="1" w:styleId="183">
    <w:name w:val="标准文件_示例×："/>
    <w:basedOn w:val="1"/>
    <w:next w:val="182"/>
    <w:qFormat/>
    <w:uiPriority w:val="0"/>
    <w:pPr>
      <w:widowControl/>
      <w:numPr>
        <w:ilvl w:val="0"/>
        <w:numId w:val="29"/>
      </w:numPr>
      <w:adjustRightInd/>
      <w:spacing w:line="240" w:lineRule="auto"/>
    </w:pPr>
    <w:rPr>
      <w:rFonts w:ascii="宋体" w:hAnsi="Times New Roman"/>
      <w:kern w:val="0"/>
      <w:sz w:val="18"/>
      <w:szCs w:val="18"/>
    </w:rPr>
  </w:style>
  <w:style w:type="character" w:customStyle="1" w:styleId="184">
    <w:name w:val="标准文件_段 Char"/>
    <w:link w:val="56"/>
    <w:qFormat/>
    <w:uiPriority w:val="0"/>
    <w:rPr>
      <w:rFonts w:ascii="宋体" w:hAnsi="Times New Roman"/>
      <w:sz w:val="21"/>
    </w:rPr>
  </w:style>
  <w:style w:type="paragraph" w:customStyle="1" w:styleId="185">
    <w:name w:val="标准文件_表格续"/>
    <w:basedOn w:val="56"/>
    <w:next w:val="56"/>
    <w:qFormat/>
    <w:uiPriority w:val="0"/>
    <w:pPr>
      <w:jc w:val="center"/>
    </w:pPr>
    <w:rPr>
      <w:rFonts w:ascii="黑体" w:hAnsi="黑体" w:eastAsia="黑体"/>
    </w:rPr>
  </w:style>
  <w:style w:type="character" w:styleId="186">
    <w:name w:val="Placeholder Text"/>
    <w:basedOn w:val="28"/>
    <w:semiHidden/>
    <w:qFormat/>
    <w:uiPriority w:val="99"/>
    <w:rPr>
      <w:color w:val="808080"/>
    </w:rPr>
  </w:style>
  <w:style w:type="paragraph" w:customStyle="1" w:styleId="187">
    <w:name w:val="标准文件_二级项2"/>
    <w:basedOn w:val="56"/>
    <w:qFormat/>
    <w:uiPriority w:val="0"/>
    <w:pPr>
      <w:numPr>
        <w:ilvl w:val="1"/>
        <w:numId w:val="21"/>
      </w:numPr>
      <w:ind w:firstLine="0" w:firstLineChars="0"/>
    </w:pPr>
  </w:style>
  <w:style w:type="paragraph" w:customStyle="1" w:styleId="188">
    <w:name w:val="标准文件_三级项2"/>
    <w:basedOn w:val="56"/>
    <w:qFormat/>
    <w:uiPriority w:val="0"/>
    <w:pPr>
      <w:numPr>
        <w:ilvl w:val="0"/>
        <w:numId w:val="30"/>
      </w:numPr>
      <w:spacing w:line="300" w:lineRule="exact"/>
      <w:ind w:firstLineChars="0"/>
    </w:pPr>
    <w:rPr>
      <w:rFonts w:ascii="Times New Roman"/>
    </w:rPr>
  </w:style>
  <w:style w:type="paragraph" w:customStyle="1" w:styleId="189">
    <w:name w:val="标准文件_一级项2"/>
    <w:basedOn w:val="56"/>
    <w:qFormat/>
    <w:uiPriority w:val="0"/>
    <w:pPr>
      <w:numPr>
        <w:ilvl w:val="0"/>
        <w:numId w:val="31"/>
      </w:numPr>
      <w:spacing w:line="300" w:lineRule="exact"/>
      <w:ind w:firstLineChars="0"/>
    </w:pPr>
    <w:rPr>
      <w:rFonts w:ascii="Times New Roman"/>
    </w:rPr>
  </w:style>
  <w:style w:type="paragraph" w:customStyle="1" w:styleId="190">
    <w:name w:val="标准文件_提示"/>
    <w:basedOn w:val="56"/>
    <w:next w:val="56"/>
    <w:qFormat/>
    <w:uiPriority w:val="0"/>
    <w:pPr>
      <w:ind w:firstLine="420"/>
    </w:pPr>
    <w:rPr>
      <w:rFonts w:ascii="黑体" w:eastAsia="黑体"/>
    </w:rPr>
  </w:style>
  <w:style w:type="character" w:customStyle="1" w:styleId="191">
    <w:name w:val="标准文件_来源"/>
    <w:basedOn w:val="28"/>
    <w:qFormat/>
    <w:uiPriority w:val="1"/>
    <w:rPr>
      <w:rFonts w:eastAsia="宋体"/>
      <w:sz w:val="21"/>
    </w:rPr>
  </w:style>
  <w:style w:type="paragraph" w:customStyle="1" w:styleId="192">
    <w:name w:val="标准文件_图表说明"/>
    <w:qFormat/>
    <w:uiPriority w:val="0"/>
    <w:pPr>
      <w:spacing w:line="276" w:lineRule="auto"/>
      <w:ind w:firstLine="420"/>
    </w:pPr>
    <w:rPr>
      <w:rFonts w:ascii="宋体" w:hAnsi="宋体" w:eastAsia="宋体" w:cs="Times New Roman"/>
      <w:kern w:val="2"/>
      <w:sz w:val="18"/>
      <w:lang w:val="en-US" w:eastAsia="zh-CN" w:bidi="ar-SA"/>
    </w:rPr>
  </w:style>
  <w:style w:type="paragraph" w:customStyle="1" w:styleId="193">
    <w:name w:val="其他发布日期"/>
    <w:basedOn w:val="120"/>
    <w:qFormat/>
    <w:uiPriority w:val="0"/>
    <w:pPr>
      <w:framePr w:w="3997" w:h="471" w:hRule="exact" w:hSpace="0" w:vSpace="181" w:wrap="around" w:vAnchor="page" w:hAnchor="page" w:x="1419" w:y="14097"/>
    </w:pPr>
  </w:style>
  <w:style w:type="paragraph" w:customStyle="1" w:styleId="194">
    <w:name w:val="其他实施日期"/>
    <w:basedOn w:val="154"/>
    <w:qFormat/>
    <w:uiPriority w:val="0"/>
    <w:pPr>
      <w:framePr w:w="3997" w:h="471" w:hRule="exact" w:vSpace="181" w:wrap="around" w:vAnchor="page" w:hAnchor="page" w:x="7089" w:y="14097"/>
    </w:pPr>
  </w:style>
  <w:style w:type="paragraph" w:customStyle="1" w:styleId="195">
    <w:name w:val="标准文件_文件编号"/>
    <w:basedOn w:val="56"/>
    <w:qFormat/>
    <w:uiPriority w:val="0"/>
    <w:pPr>
      <w:framePr w:w="9356" w:h="624" w:hRule="exact" w:hSpace="181" w:vSpace="181" w:wrap="auto" w:vAnchor="page" w:hAnchor="page" w:x="1419" w:y="3284"/>
      <w:wordWrap w:val="0"/>
      <w:spacing w:line="280" w:lineRule="exact"/>
      <w:ind w:firstLine="0" w:firstLineChars="0"/>
      <w:jc w:val="right"/>
    </w:pPr>
    <w:rPr>
      <w:rFonts w:ascii="黑体" w:eastAsia="黑体"/>
      <w:bCs/>
      <w:sz w:val="28"/>
      <w:szCs w:val="28"/>
    </w:rPr>
  </w:style>
  <w:style w:type="paragraph" w:customStyle="1" w:styleId="196">
    <w:name w:val="标准文件_替换文件编号"/>
    <w:basedOn w:val="195"/>
    <w:qFormat/>
    <w:uiPriority w:val="0"/>
    <w:pPr>
      <w:spacing w:before="57"/>
    </w:pPr>
    <w:rPr>
      <w:sz w:val="21"/>
    </w:rPr>
  </w:style>
  <w:style w:type="paragraph" w:customStyle="1" w:styleId="197">
    <w:name w:val="标准文件_文件名称"/>
    <w:basedOn w:val="56"/>
    <w:next w:val="56"/>
    <w:qFormat/>
    <w:uiPriority w:val="0"/>
    <w:pPr>
      <w:framePr w:w="9639" w:h="6976" w:hRule="exact" w:wrap="auto" w:vAnchor="page" w:hAnchor="page" w:y="6408"/>
      <w:autoSpaceDE/>
      <w:autoSpaceDN/>
      <w:spacing w:line="700" w:lineRule="exact"/>
      <w:ind w:firstLine="0" w:firstLineChars="0"/>
      <w:jc w:val="center"/>
    </w:pPr>
    <w:rPr>
      <w:rFonts w:ascii="黑体" w:hAnsi="黑体" w:eastAsia="黑体"/>
      <w:bCs/>
      <w:sz w:val="52"/>
    </w:rPr>
  </w:style>
  <w:style w:type="paragraph" w:customStyle="1" w:styleId="198">
    <w:name w:val="标准文件_附录图标号"/>
    <w:basedOn w:val="56"/>
    <w:next w:val="56"/>
    <w:qFormat/>
    <w:uiPriority w:val="0"/>
    <w:pPr>
      <w:numPr>
        <w:ilvl w:val="0"/>
        <w:numId w:val="6"/>
      </w:numPr>
      <w:spacing w:line="14" w:lineRule="exact"/>
      <w:ind w:firstLine="0" w:firstLineChars="0"/>
      <w:jc w:val="center"/>
    </w:pPr>
    <w:rPr>
      <w:rFonts w:ascii="黑体" w:hAnsi="黑体" w:eastAsia="黑体"/>
      <w:vanish/>
      <w:sz w:val="2"/>
      <w:szCs w:val="21"/>
    </w:rPr>
  </w:style>
  <w:style w:type="paragraph" w:customStyle="1" w:styleId="199">
    <w:name w:val="标准文件_附录表标号"/>
    <w:basedOn w:val="56"/>
    <w:next w:val="56"/>
    <w:qFormat/>
    <w:uiPriority w:val="0"/>
    <w:pPr>
      <w:numPr>
        <w:ilvl w:val="0"/>
        <w:numId w:val="5"/>
      </w:numPr>
      <w:spacing w:line="14" w:lineRule="exact"/>
      <w:ind w:firstLine="0" w:firstLineChars="0"/>
      <w:jc w:val="center"/>
    </w:pPr>
    <w:rPr>
      <w:rFonts w:eastAsia="黑体"/>
      <w:vanish/>
      <w:sz w:val="2"/>
    </w:rPr>
  </w:style>
  <w:style w:type="paragraph" w:customStyle="1" w:styleId="200">
    <w:name w:val="标准文件_引言一级条标题"/>
    <w:basedOn w:val="56"/>
    <w:next w:val="56"/>
    <w:qFormat/>
    <w:uiPriority w:val="0"/>
    <w:pPr>
      <w:numPr>
        <w:ilvl w:val="1"/>
        <w:numId w:val="8"/>
      </w:numPr>
      <w:spacing w:before="50" w:beforeLines="50" w:after="50" w:afterLines="50"/>
      <w:ind w:firstLineChars="0"/>
    </w:pPr>
    <w:rPr>
      <w:rFonts w:ascii="黑体" w:eastAsia="黑体"/>
    </w:rPr>
  </w:style>
  <w:style w:type="paragraph" w:customStyle="1" w:styleId="201">
    <w:name w:val="标准文件_引言二级条标题"/>
    <w:basedOn w:val="56"/>
    <w:next w:val="56"/>
    <w:qFormat/>
    <w:uiPriority w:val="0"/>
    <w:pPr>
      <w:numPr>
        <w:ilvl w:val="2"/>
        <w:numId w:val="8"/>
      </w:numPr>
      <w:spacing w:before="50" w:beforeLines="50" w:after="50" w:afterLines="50"/>
      <w:ind w:firstLineChars="0"/>
    </w:pPr>
    <w:rPr>
      <w:rFonts w:ascii="黑体" w:eastAsia="黑体"/>
    </w:rPr>
  </w:style>
  <w:style w:type="paragraph" w:customStyle="1" w:styleId="202">
    <w:name w:val="标准文件_引言三级条标题"/>
    <w:basedOn w:val="56"/>
    <w:next w:val="56"/>
    <w:qFormat/>
    <w:uiPriority w:val="0"/>
    <w:pPr>
      <w:numPr>
        <w:ilvl w:val="3"/>
        <w:numId w:val="8"/>
      </w:numPr>
      <w:spacing w:before="50" w:beforeLines="50" w:after="50" w:afterLines="50"/>
      <w:ind w:firstLineChars="0"/>
    </w:pPr>
    <w:rPr>
      <w:rFonts w:ascii="黑体" w:eastAsia="黑体"/>
    </w:rPr>
  </w:style>
  <w:style w:type="paragraph" w:customStyle="1" w:styleId="203">
    <w:name w:val="标准文件_引言四级条标题"/>
    <w:basedOn w:val="56"/>
    <w:next w:val="56"/>
    <w:qFormat/>
    <w:uiPriority w:val="0"/>
    <w:pPr>
      <w:numPr>
        <w:ilvl w:val="4"/>
        <w:numId w:val="8"/>
      </w:numPr>
      <w:spacing w:before="50" w:beforeLines="50" w:after="50" w:afterLines="50"/>
      <w:ind w:firstLineChars="0"/>
    </w:pPr>
    <w:rPr>
      <w:rFonts w:ascii="黑体" w:eastAsia="黑体"/>
    </w:rPr>
  </w:style>
  <w:style w:type="paragraph" w:customStyle="1" w:styleId="204">
    <w:name w:val="标准文件_引言五级条标题"/>
    <w:basedOn w:val="56"/>
    <w:next w:val="56"/>
    <w:qFormat/>
    <w:uiPriority w:val="0"/>
    <w:pPr>
      <w:numPr>
        <w:ilvl w:val="5"/>
        <w:numId w:val="8"/>
      </w:numPr>
      <w:spacing w:before="50" w:beforeLines="50" w:after="50" w:afterLines="50"/>
      <w:ind w:firstLineChars="0"/>
    </w:pPr>
    <w:rPr>
      <w:rFonts w:ascii="黑体" w:eastAsia="黑体"/>
    </w:rPr>
  </w:style>
  <w:style w:type="paragraph" w:customStyle="1" w:styleId="205">
    <w:name w:val="标准文件_注后"/>
    <w:basedOn w:val="56"/>
    <w:qFormat/>
    <w:uiPriority w:val="0"/>
    <w:pPr>
      <w:ind w:left="811" w:firstLine="0" w:firstLineChars="0"/>
    </w:pPr>
    <w:rPr>
      <w:sz w:val="18"/>
    </w:rPr>
  </w:style>
  <w:style w:type="paragraph" w:customStyle="1" w:styleId="206">
    <w:name w:val="标准文件_注X后"/>
    <w:basedOn w:val="56"/>
    <w:qFormat/>
    <w:uiPriority w:val="0"/>
    <w:pPr>
      <w:ind w:left="811" w:firstLine="0" w:firstLineChars="0"/>
    </w:pPr>
    <w:rPr>
      <w:sz w:val="18"/>
    </w:rPr>
  </w:style>
  <w:style w:type="paragraph" w:customStyle="1" w:styleId="207">
    <w:name w:val="标准文件_示例后"/>
    <w:basedOn w:val="56"/>
    <w:qFormat/>
    <w:uiPriority w:val="0"/>
    <w:pPr>
      <w:ind w:left="964" w:firstLine="0" w:firstLineChars="0"/>
    </w:pPr>
    <w:rPr>
      <w:sz w:val="18"/>
    </w:rPr>
  </w:style>
  <w:style w:type="paragraph" w:customStyle="1" w:styleId="208">
    <w:name w:val="标准文件_示例X后"/>
    <w:basedOn w:val="56"/>
    <w:link w:val="209"/>
    <w:qFormat/>
    <w:uiPriority w:val="0"/>
    <w:pPr>
      <w:ind w:left="1049" w:firstLine="0" w:firstLineChars="0"/>
    </w:pPr>
    <w:rPr>
      <w:sz w:val="18"/>
    </w:rPr>
  </w:style>
  <w:style w:type="character" w:customStyle="1" w:styleId="209">
    <w:name w:val="标准文件_示例X后 字符"/>
    <w:basedOn w:val="184"/>
    <w:link w:val="208"/>
    <w:qFormat/>
    <w:uiPriority w:val="0"/>
    <w:rPr>
      <w:rFonts w:ascii="宋体" w:hAnsi="Times New Roman"/>
      <w:sz w:val="18"/>
    </w:rPr>
  </w:style>
  <w:style w:type="paragraph" w:customStyle="1" w:styleId="210">
    <w:name w:val="标准文件_索引项"/>
    <w:basedOn w:val="56"/>
    <w:next w:val="56"/>
    <w:qFormat/>
    <w:uiPriority w:val="0"/>
    <w:pPr>
      <w:tabs>
        <w:tab w:val="right" w:leader="dot" w:pos="9356"/>
      </w:tabs>
      <w:ind w:left="210" w:hanging="210" w:firstLineChars="0"/>
      <w:jc w:val="left"/>
    </w:pPr>
  </w:style>
  <w:style w:type="paragraph" w:customStyle="1" w:styleId="211">
    <w:name w:val="标准文件_附录一级无标题"/>
    <w:basedOn w:val="78"/>
    <w:qFormat/>
    <w:uiPriority w:val="0"/>
    <w:pPr>
      <w:spacing w:before="0" w:beforeLines="0" w:after="0" w:afterLines="0" w:line="276" w:lineRule="auto"/>
      <w:outlineLvl w:val="9"/>
    </w:pPr>
    <w:rPr>
      <w:rFonts w:ascii="宋体" w:eastAsia="宋体"/>
    </w:rPr>
  </w:style>
  <w:style w:type="paragraph" w:customStyle="1" w:styleId="212">
    <w:name w:val="标准文件_附录二级无标题"/>
    <w:basedOn w:val="79"/>
    <w:qFormat/>
    <w:uiPriority w:val="0"/>
    <w:pPr>
      <w:spacing w:before="0" w:beforeLines="0" w:after="0" w:afterLines="0" w:line="276" w:lineRule="auto"/>
      <w:outlineLvl w:val="9"/>
    </w:pPr>
    <w:rPr>
      <w:rFonts w:ascii="宋体" w:eastAsia="宋体"/>
    </w:rPr>
  </w:style>
  <w:style w:type="paragraph" w:customStyle="1" w:styleId="213">
    <w:name w:val="标准文件_附录三级无标题"/>
    <w:basedOn w:val="81"/>
    <w:qFormat/>
    <w:uiPriority w:val="0"/>
    <w:pPr>
      <w:spacing w:before="0" w:beforeLines="0" w:after="0" w:afterLines="0" w:line="276" w:lineRule="auto"/>
      <w:outlineLvl w:val="9"/>
    </w:pPr>
    <w:rPr>
      <w:rFonts w:ascii="宋体" w:eastAsia="宋体"/>
    </w:rPr>
  </w:style>
  <w:style w:type="paragraph" w:customStyle="1" w:styleId="214">
    <w:name w:val="标准文件_附录四级无标题"/>
    <w:basedOn w:val="82"/>
    <w:qFormat/>
    <w:uiPriority w:val="0"/>
    <w:pPr>
      <w:spacing w:before="0" w:beforeLines="0" w:after="0" w:afterLines="0" w:line="276" w:lineRule="auto"/>
      <w:outlineLvl w:val="9"/>
    </w:pPr>
    <w:rPr>
      <w:rFonts w:ascii="宋体" w:eastAsia="宋体"/>
    </w:rPr>
  </w:style>
  <w:style w:type="paragraph" w:customStyle="1" w:styleId="215">
    <w:name w:val="标准文件_附录五级无标题"/>
    <w:basedOn w:val="84"/>
    <w:qFormat/>
    <w:uiPriority w:val="0"/>
    <w:pPr>
      <w:spacing w:before="0" w:beforeLines="0" w:after="0" w:afterLines="0" w:line="276" w:lineRule="auto"/>
      <w:outlineLvl w:val="9"/>
    </w:pPr>
    <w:rPr>
      <w:rFonts w:ascii="宋体" w:eastAsia="宋体"/>
    </w:rPr>
  </w:style>
  <w:style w:type="paragraph" w:customStyle="1" w:styleId="216">
    <w:name w:val="标准文件_引言一级无标题"/>
    <w:basedOn w:val="200"/>
    <w:next w:val="56"/>
    <w:qFormat/>
    <w:uiPriority w:val="0"/>
    <w:pPr>
      <w:spacing w:before="0" w:beforeLines="0" w:after="0" w:afterLines="0" w:line="276" w:lineRule="auto"/>
    </w:pPr>
    <w:rPr>
      <w:rFonts w:ascii="宋体" w:eastAsia="宋体"/>
    </w:rPr>
  </w:style>
  <w:style w:type="paragraph" w:customStyle="1" w:styleId="217">
    <w:name w:val="标准文件_引言二级无标题"/>
    <w:basedOn w:val="201"/>
    <w:next w:val="56"/>
    <w:qFormat/>
    <w:uiPriority w:val="0"/>
    <w:pPr>
      <w:spacing w:before="0" w:beforeLines="0" w:after="0" w:afterLines="0" w:line="276" w:lineRule="auto"/>
    </w:pPr>
    <w:rPr>
      <w:rFonts w:ascii="宋体" w:eastAsia="宋体"/>
    </w:rPr>
  </w:style>
  <w:style w:type="paragraph" w:customStyle="1" w:styleId="218">
    <w:name w:val="标准文件_引言三级无标题"/>
    <w:basedOn w:val="202"/>
    <w:qFormat/>
    <w:uiPriority w:val="0"/>
    <w:pPr>
      <w:spacing w:before="0" w:beforeLines="0" w:after="0" w:afterLines="0" w:line="276" w:lineRule="auto"/>
    </w:pPr>
    <w:rPr>
      <w:rFonts w:ascii="宋体" w:eastAsia="宋体"/>
    </w:rPr>
  </w:style>
  <w:style w:type="paragraph" w:customStyle="1" w:styleId="219">
    <w:name w:val="标准文件_引言四级无标题"/>
    <w:basedOn w:val="203"/>
    <w:next w:val="56"/>
    <w:qFormat/>
    <w:uiPriority w:val="0"/>
    <w:pPr>
      <w:spacing w:before="0" w:beforeLines="0" w:after="0" w:afterLines="0" w:line="276" w:lineRule="auto"/>
    </w:pPr>
    <w:rPr>
      <w:rFonts w:ascii="宋体" w:eastAsia="宋体"/>
    </w:rPr>
  </w:style>
  <w:style w:type="paragraph" w:customStyle="1" w:styleId="220">
    <w:name w:val="标准文件_引言五级无标题"/>
    <w:basedOn w:val="204"/>
    <w:next w:val="56"/>
    <w:qFormat/>
    <w:uiPriority w:val="0"/>
    <w:pPr>
      <w:spacing w:before="0" w:beforeLines="0" w:after="0" w:afterLines="0" w:line="276" w:lineRule="auto"/>
    </w:pPr>
    <w:rPr>
      <w:rFonts w:ascii="宋体" w:eastAsia="宋体"/>
    </w:rPr>
  </w:style>
  <w:style w:type="paragraph" w:customStyle="1" w:styleId="221">
    <w:name w:val="标准文件_索引标题"/>
    <w:basedOn w:val="63"/>
    <w:next w:val="56"/>
    <w:qFormat/>
    <w:uiPriority w:val="0"/>
    <w:rPr>
      <w:rFonts w:hAnsi="黑体"/>
    </w:rPr>
  </w:style>
  <w:style w:type="paragraph" w:customStyle="1" w:styleId="222">
    <w:name w:val="标准文件_脚注内容"/>
    <w:basedOn w:val="56"/>
    <w:qFormat/>
    <w:uiPriority w:val="0"/>
    <w:pPr>
      <w:ind w:left="400" w:leftChars="200" w:hanging="200" w:hangingChars="200"/>
    </w:pPr>
    <w:rPr>
      <w:sz w:val="15"/>
    </w:rPr>
  </w:style>
  <w:style w:type="paragraph" w:customStyle="1" w:styleId="223">
    <w:name w:val="标准文件_术语条一"/>
    <w:basedOn w:val="162"/>
    <w:next w:val="56"/>
    <w:qFormat/>
    <w:uiPriority w:val="0"/>
  </w:style>
  <w:style w:type="paragraph" w:customStyle="1" w:styleId="224">
    <w:name w:val="标准文件_术语条二"/>
    <w:basedOn w:val="165"/>
    <w:next w:val="56"/>
    <w:qFormat/>
    <w:uiPriority w:val="0"/>
  </w:style>
  <w:style w:type="paragraph" w:customStyle="1" w:styleId="225">
    <w:name w:val="标准文件_术语条三"/>
    <w:basedOn w:val="164"/>
    <w:next w:val="56"/>
    <w:qFormat/>
    <w:uiPriority w:val="0"/>
  </w:style>
  <w:style w:type="paragraph" w:customStyle="1" w:styleId="226">
    <w:name w:val="标准文件_术语条四"/>
    <w:basedOn w:val="167"/>
    <w:next w:val="56"/>
    <w:qFormat/>
    <w:uiPriority w:val="0"/>
  </w:style>
  <w:style w:type="paragraph" w:customStyle="1" w:styleId="227">
    <w:name w:val="标准文件_术语条五"/>
    <w:basedOn w:val="163"/>
    <w:next w:val="56"/>
    <w:qFormat/>
    <w:uiPriority w:val="0"/>
  </w:style>
  <w:style w:type="paragraph" w:customStyle="1" w:styleId="228">
    <w:name w:val="Default"/>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character" w:customStyle="1" w:styleId="229">
    <w:name w:val="发布"/>
    <w:basedOn w:val="28"/>
    <w:qFormat/>
    <w:uiPriority w:val="0"/>
    <w:rPr>
      <w:rFonts w:ascii="黑体" w:eastAsia="黑体"/>
      <w:spacing w:val="85"/>
      <w:w w:val="100"/>
      <w:position w:val="3"/>
      <w:sz w:val="28"/>
      <w:szCs w:val="28"/>
    </w:rPr>
  </w:style>
  <w:style w:type="paragraph" w:customStyle="1" w:styleId="230">
    <w:name w:val="WPSOffice手动目录 1"/>
    <w:qFormat/>
    <w:uiPriority w:val="0"/>
    <w:pPr>
      <w:ind w:leftChars="0"/>
    </w:pPr>
    <w:rPr>
      <w:rFonts w:ascii="Calibri" w:hAnsi="Calibri" w:eastAsia="宋体" w:cs="Times New Roman"/>
      <w:sz w:val="20"/>
      <w:szCs w:val="20"/>
    </w:rPr>
  </w:style>
  <w:style w:type="paragraph" w:customStyle="1" w:styleId="231">
    <w:name w:val="WPSOffice手动目录 2"/>
    <w:qFormat/>
    <w:uiPriority w:val="0"/>
    <w:pPr>
      <w:ind w:leftChars="200"/>
    </w:pPr>
    <w:rPr>
      <w:rFonts w:ascii="Calibri" w:hAnsi="Calibri" w:eastAsia="宋体" w:cs="Times New Roman"/>
      <w:sz w:val="20"/>
      <w:szCs w:val="20"/>
    </w:rPr>
  </w:style>
  <w:style w:type="paragraph" w:customStyle="1" w:styleId="232">
    <w:name w:val="WPSOffice手动目录 3"/>
    <w:qFormat/>
    <w:uiPriority w:val="0"/>
    <w:pPr>
      <w:ind w:leftChars="400"/>
    </w:pPr>
    <w:rPr>
      <w:rFonts w:ascii="Calibri" w:hAnsi="Calibri" w:eastAsia="宋体" w:cs="Times New Roman"/>
      <w:sz w:val="20"/>
      <w:szCs w:val="20"/>
    </w:rPr>
  </w:style>
  <w:style w:type="paragraph" w:customStyle="1" w:styleId="233">
    <w:name w:val="标准文件_段落"/>
    <w:autoRedefine/>
    <w:qFormat/>
    <w:uiPriority w:val="0"/>
    <w:pPr>
      <w:ind w:firstLine="420" w:firstLineChars="200"/>
    </w:pPr>
    <w:rPr>
      <w:rFonts w:ascii="宋体" w:hAnsi="宋体" w:eastAsia="宋体" w:cstheme="minorBidi"/>
      <w:kern w:val="2"/>
      <w:sz w:val="21"/>
      <w:szCs w:val="21"/>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customXml" Target="../customXml/item2.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image" Target="media/image2.png"/><Relationship Id="rId14" Type="http://schemas.openxmlformats.org/officeDocument/2006/relationships/image" Target="media/image1.png"/><Relationship Id="rId13" Type="http://schemas.openxmlformats.org/officeDocument/2006/relationships/theme" Target="theme/theme1.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footer" Target="footer3.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StandardEditor\template\&#22242;&#20307;&#26631;&#20934;.dot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bwMode="auto">
        <a:noFill/>
        <a:ln w="9525">
          <a:solidFill>
            <a:srgbClr val="000000"/>
          </a:solidFill>
          <a:round/>
        </a:ln>
      </a:spPr>
      <a:bodyPr/>
      <a:lst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3E0F809-F1B0-47A2-BF3F-77BC97C7211C}">
  <ds:schemaRefs/>
</ds:datastoreItem>
</file>

<file path=docProps/app.xml><?xml version="1.0" encoding="utf-8"?>
<Properties xmlns="http://schemas.openxmlformats.org/officeDocument/2006/extended-properties" xmlns:vt="http://schemas.openxmlformats.org/officeDocument/2006/docPropsVTypes">
  <Template>团体标准.dotx</Template>
  <Company>PCMI</Company>
  <Pages>18</Pages>
  <Words>15587</Words>
  <Characters>17257</Characters>
  <Lines>503</Lines>
  <Paragraphs>567</Paragraphs>
  <TotalTime>43</TotalTime>
  <ScaleCrop>false</ScaleCrop>
  <LinksUpToDate>false</LinksUpToDate>
  <CharactersWithSpaces>17470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2025-09-11T01:41:00Z</dcterms:created>
  <dc:creator>Administrator</dc:creator>
  <dc:description>&lt;config cover="true" show_menu="true" version="1.0.0" doctype="SDKXY"&gt;_x000d_
&lt;/config&gt;</dc:description>
  <cp:lastModifiedBy>Y 。</cp:lastModifiedBy>
  <cp:lastPrinted>2021-02-02T08:22:00Z</cp:lastPrinted>
  <dcterms:modified xsi:type="dcterms:W3CDTF">2026-10-13T06:35:05Z</dcterms:modified>
  <dc:title>团体标准</dc:title>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ype">
    <vt:lpwstr>SDKXY</vt:lpwstr>
  </property>
  <property fmtid="{D5CDD505-2E9C-101B-9397-08002B2CF9AE}" pid="3" name="cover">
    <vt:lpwstr>true</vt:lpwstr>
  </property>
  <property fmtid="{D5CDD505-2E9C-101B-9397-08002B2CF9AE}" pid="4" name="show_menu">
    <vt:lpwstr>true</vt:lpwstr>
  </property>
  <property fmtid="{D5CDD505-2E9C-101B-9397-08002B2CF9AE}" pid="5" name="version">
    <vt:lpwstr>1.0.0</vt:lpwstr>
  </property>
  <property fmtid="{D5CDD505-2E9C-101B-9397-08002B2CF9AE}" pid="6" name="xmlname">
    <vt:lpwstr>团体标准</vt:lpwstr>
  </property>
  <property fmtid="{D5CDD505-2E9C-101B-9397-08002B2CF9AE}" pid="7" name="NSTD_CODE">
    <vt:lpwstr>GB/T-</vt:lpwstr>
  </property>
  <property fmtid="{D5CDD505-2E9C-101B-9397-08002B2CF9AE}" pid="8" name="OSTD_CODE">
    <vt:lpwstr>代替 GB/T-</vt:lpwstr>
  </property>
  <property fmtid="{D5CDD505-2E9C-101B-9397-08002B2CF9AE}" pid="9" name="flag_zhengwen">
    <vt:lpwstr>0</vt:lpwstr>
  </property>
  <property fmtid="{D5CDD505-2E9C-101B-9397-08002B2CF9AE}" pid="10" name="flag_fulu">
    <vt:lpwstr>0</vt:lpwstr>
  </property>
  <property fmtid="{D5CDD505-2E9C-101B-9397-08002B2CF9AE}" pid="11" name="flag_pic">
    <vt:lpwstr>False</vt:lpwstr>
  </property>
  <property fmtid="{D5CDD505-2E9C-101B-9397-08002B2CF9AE}" pid="12" name="flag_tab">
    <vt:lpwstr>false</vt:lpwstr>
  </property>
  <property fmtid="{D5CDD505-2E9C-101B-9397-08002B2CF9AE}" pid="13" name="NumList">
    <vt:lpwstr>false</vt:lpwstr>
  </property>
  <property fmtid="{D5CDD505-2E9C-101B-9397-08002B2CF9AE}" pid="14" name="KSOProductBuildVer">
    <vt:lpwstr>2052-12.1.0.29161</vt:lpwstr>
  </property>
  <property fmtid="{D5CDD505-2E9C-101B-9397-08002B2CF9AE}" pid="15" name="ICV">
    <vt:lpwstr>3356F835AE764D18844961A762D94BF0_13</vt:lpwstr>
  </property>
  <property fmtid="{D5CDD505-2E9C-101B-9397-08002B2CF9AE}" pid="16" name="KSOTemplateDocerSaveRecord">
    <vt:lpwstr>eyJoZGlkIjoiM2Y3NDdhNGZhYzZhZGEyOGY5MTBjMTJiOTcwMzdiZjgiLCJ1c2VySWQiOiIyMDE1NjUxMzUifQ==</vt:lpwstr>
  </property>
</Properties>
</file>