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9"/>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14:paraId="63265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44ED4B0D">
            <w:pPr>
              <w:pStyle w:val="19"/>
              <w:framePr w:wrap="notBeside" w:vAnchor="page" w:hAnchor="page" w:x="1372" w:y="568"/>
              <w:tabs>
                <w:tab w:val="clear" w:pos="4153"/>
                <w:tab w:val="clear" w:pos="8306"/>
              </w:tabs>
              <w:spacing w:line="240" w:lineRule="auto"/>
              <w:jc w:val="left"/>
              <w:rPr>
                <w:rFonts w:hint="eastAsia"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5E64FC0D">
            <w:pPr>
              <w:pStyle w:val="19"/>
              <w:framePr w:wrap="notBeside" w:vAnchor="page" w:hAnchor="page" w:x="1372" w:y="568"/>
              <w:tabs>
                <w:tab w:val="clear" w:pos="4153"/>
                <w:tab w:val="clear" w:pos="8306"/>
              </w:tabs>
              <w:spacing w:line="240" w:lineRule="auto"/>
              <w:jc w:val="both"/>
              <w:rPr>
                <w:rFonts w:hint="eastAsia"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35.240.99</w:t>
            </w:r>
            <w:r>
              <w:rPr>
                <w:rFonts w:ascii="黑体" w:hAnsi="黑体" w:eastAsia="黑体"/>
                <w:sz w:val="21"/>
                <w:szCs w:val="21"/>
              </w:rPr>
              <w:fldChar w:fldCharType="end"/>
            </w:r>
            <w:bookmarkEnd w:id="0"/>
          </w:p>
        </w:tc>
      </w:tr>
      <w:tr w14:paraId="391EC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52345191">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tbl>
            <w:tblPr>
              <w:tblStyle w:val="29"/>
              <w:tblpPr w:vertAnchor="page" w:horzAnchor="margin" w:tblpX="1" w:tblpY="341"/>
              <w:tblOverlap w:val="never"/>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0" w:type="dxa"/>
                <w:bottom w:w="0" w:type="dxa"/>
                <w:right w:w="113" w:type="dxa"/>
              </w:tblCellMar>
            </w:tblPr>
            <w:tblGrid>
              <w:gridCol w:w="9242"/>
            </w:tblGrid>
            <w:tr w14:paraId="366B89E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113" w:type="dxa"/>
                </w:tblCellMar>
              </w:tblPrEx>
              <w:trPr>
                <w:trHeight w:val="1021" w:hRule="exact"/>
              </w:trPr>
              <w:tc>
                <w:tcPr>
                  <w:tcW w:w="9242" w:type="dxa"/>
                  <w:vAlign w:val="center"/>
                </w:tcPr>
                <w:p w14:paraId="3C2A1B71">
                  <w:pPr>
                    <w:pStyle w:val="52"/>
                    <w:framePr w:wrap="notBeside" w:vAnchor="page" w:hAnchor="page" w:x="1372" w:y="568"/>
                    <w:ind w:left="420" w:right="624"/>
                    <w:rPr>
                      <w:rFonts w:hint="eastAsia" w:ascii="宋体" w:hAnsi="宋体"/>
                      <w:sz w:val="28"/>
                      <w:szCs w:val="28"/>
                    </w:rPr>
                  </w:pPr>
                  <w:r>
                    <w:drawing>
                      <wp:inline distT="0" distB="0" distL="0" distR="0">
                        <wp:extent cx="414655" cy="430530"/>
                        <wp:effectExtent l="0" t="0" r="4445" b="7620"/>
                        <wp:docPr id="1" name="图片 1" descr="D:\000000部门项目\09标准化插件开发\程序源代码\StandardEditor_ShanDongKeXieYuan\团标首页面字母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000000部门项目\09标准化插件开发\程序源代码\StandardEditor_ShanDongKeXieYuan\团标首页面字母T.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14720" cy="430560"/>
                                </a:xfrm>
                                <a:prstGeom prst="rect">
                                  <a:avLst/>
                                </a:prstGeom>
                                <a:noFill/>
                                <a:ln>
                                  <a:noFill/>
                                </a:ln>
                              </pic:spPr>
                            </pic:pic>
                          </a:graphicData>
                        </a:graphic>
                      </wp:inline>
                    </w:drawing>
                  </w:r>
                  <w:r>
                    <w:drawing>
                      <wp:inline distT="0" distB="0" distL="0" distR="0">
                        <wp:extent cx="170815" cy="436245"/>
                        <wp:effectExtent l="0" t="0" r="635" b="1905"/>
                        <wp:docPr id="2" name="图片 2" descr="D:\000000部门项目\09标准化插件开发\程序源代码\StandardEditor_ShanDongKeXieYuan\团标首页面字母T后面的反斜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0000部门项目\09标准化插件开发\程序源代码\StandardEditor_ShanDongKeXieYuan\团标首页面字母T后面的反斜杠.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04571" cy="522509"/>
                                </a:xfrm>
                                <a:prstGeom prst="rect">
                                  <a:avLst/>
                                </a:prstGeom>
                                <a:noFill/>
                                <a:ln>
                                  <a:noFill/>
                                </a:ln>
                              </pic:spPr>
                            </pic:pic>
                          </a:graphicData>
                        </a:graphic>
                      </wp:inline>
                    </w:drawing>
                  </w:r>
                  <w:r>
                    <w:rPr>
                      <w:sz w:val="21"/>
                      <w:szCs w:val="21"/>
                    </w:rPr>
                    <w:t xml:space="preserve"> </w:t>
                  </w:r>
                  <w:r>
                    <w:fldChar w:fldCharType="begin">
                      <w:ffData>
                        <w:name w:val="c1"/>
                        <w:enabled/>
                        <w:calcOnExit w:val="0"/>
                        <w:textInput>
                          <w:maxLength w:val="7"/>
                        </w:textInput>
                      </w:ffData>
                    </w:fldChar>
                  </w:r>
                  <w:bookmarkStart w:id="1" w:name="c1"/>
                  <w:r>
                    <w:instrText xml:space="preserve"> FORMTEXT </w:instrText>
                  </w:r>
                  <w:r>
                    <w:fldChar w:fldCharType="separate"/>
                  </w:r>
                  <w:r>
                    <w:rPr>
                      <w:rFonts w:hint="eastAsia"/>
                      <w:lang w:eastAsia="zh-CN"/>
                    </w:rPr>
                    <w:t>C</w:t>
                  </w:r>
                  <w:r>
                    <w:rPr>
                      <w:rFonts w:hint="eastAsia"/>
                      <w:lang w:val="en-US" w:eastAsia="zh-CN"/>
                    </w:rPr>
                    <w:t>RACM</w:t>
                  </w:r>
                  <w:r>
                    <w:fldChar w:fldCharType="end"/>
                  </w:r>
                  <w:bookmarkEnd w:id="1"/>
                </w:p>
              </w:tc>
            </w:tr>
          </w:tbl>
          <w:p w14:paraId="56954FAF">
            <w:pPr>
              <w:pStyle w:val="19"/>
              <w:framePr w:wrap="notBeside" w:vAnchor="page" w:hAnchor="page" w:x="1372" w:y="568"/>
              <w:tabs>
                <w:tab w:val="clear" w:pos="4153"/>
                <w:tab w:val="clear" w:pos="8306"/>
              </w:tabs>
              <w:spacing w:before="40" w:line="240" w:lineRule="auto"/>
              <w:jc w:val="left"/>
              <w:rPr>
                <w:rFonts w:hint="eastAsia"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2"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hint="eastAsia" w:ascii="黑体" w:hAnsi="黑体" w:eastAsia="黑体"/>
                <w:sz w:val="21"/>
                <w:szCs w:val="21"/>
              </w:rPr>
              <w:t>L67</w:t>
            </w:r>
            <w:r>
              <w:rPr>
                <w:rFonts w:ascii="黑体" w:hAnsi="黑体" w:eastAsia="黑体"/>
                <w:sz w:val="21"/>
                <w:szCs w:val="21"/>
              </w:rPr>
              <w:fldChar w:fldCharType="end"/>
            </w:r>
            <w:bookmarkEnd w:id="2"/>
          </w:p>
        </w:tc>
      </w:tr>
    </w:tbl>
    <w:p w14:paraId="6D1EBD22">
      <w:pPr>
        <w:pStyle w:val="53"/>
        <w:framePr w:w="9639" w:h="624" w:hRule="exact" w:hSpace="181" w:vSpace="181" w:wrap="around" w:hAnchor="page" w:x="1305" w:y="2269"/>
        <w:rPr>
          <w:rFonts w:hint="eastAsia" w:ascii="黑体" w:hAnsi="黑体" w:eastAsia="黑体"/>
          <w:b w:val="0"/>
          <w:bCs w:val="0"/>
          <w:w w:val="100"/>
          <w:sz w:val="48"/>
          <w:szCs w:val="48"/>
        </w:rPr>
      </w:pPr>
      <w:bookmarkStart w:id="3" w:name="_Hlk26473981"/>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lang w:eastAsia="zh-CN"/>
        </w:rPr>
        <w:t>中国中医药研究促进会</w:t>
      </w:r>
      <w:r>
        <w:rPr>
          <w:rFonts w:ascii="黑体" w:eastAsia="黑体"/>
          <w:b w:val="0"/>
          <w:w w:val="100"/>
          <w:sz w:val="48"/>
        </w:rPr>
        <w:fldChar w:fldCharType="end"/>
      </w:r>
      <w:bookmarkEnd w:id="4"/>
      <w:r>
        <w:rPr>
          <w:rFonts w:hint="eastAsia" w:ascii="黑体" w:eastAsia="黑体"/>
          <w:b w:val="0"/>
          <w:w w:val="100"/>
          <w:sz w:val="48"/>
        </w:rPr>
        <w:t>团体</w:t>
      </w:r>
      <w:r>
        <w:rPr>
          <w:rFonts w:hint="eastAsia" w:ascii="黑体" w:hAnsi="黑体" w:eastAsia="黑体"/>
          <w:b w:val="0"/>
          <w:bCs w:val="0"/>
          <w:w w:val="100"/>
          <w:sz w:val="48"/>
          <w:szCs w:val="48"/>
        </w:rPr>
        <w:t>标准</w:t>
      </w:r>
    </w:p>
    <w:bookmarkEnd w:id="3"/>
    <w:p w14:paraId="4F4AB9D6">
      <w:pPr>
        <w:pStyle w:val="198"/>
        <w:framePr/>
      </w:pPr>
      <w:r>
        <w:t>T/</w:t>
      </w:r>
      <w:r>
        <w:fldChar w:fldCharType="begin">
          <w:ffData>
            <w:name w:val="文字1"/>
            <w:enabled/>
            <w:calcOnExit w:val="0"/>
            <w:textInput>
              <w:default w:val="XXX"/>
            </w:textInput>
          </w:ffData>
        </w:fldChar>
      </w:r>
      <w:bookmarkStart w:id="5" w:name="文字1"/>
      <w:r>
        <w:instrText xml:space="preserve"> FORMTEXT </w:instrText>
      </w:r>
      <w:r>
        <w:fldChar w:fldCharType="separate"/>
      </w:r>
      <w:r>
        <w:t>XXX</w:t>
      </w:r>
      <w:r>
        <w:rPr>
          <w:rFonts w:hint="eastAsia"/>
        </w:rPr>
        <w:t>X</w:t>
      </w:r>
      <w:r>
        <w:fldChar w:fldCharType="end"/>
      </w:r>
      <w:bookmarkEnd w:id="5"/>
      <w:r>
        <w:t xml:space="preserve"> </w:t>
      </w:r>
      <w:r>
        <w:fldChar w:fldCharType="begin">
          <w:ffData>
            <w:name w:val="NSTD_CODE_F"/>
            <w:enabled/>
            <w:calcOnExit w:val="0"/>
            <w:textInput>
              <w:default w:val="XXXX"/>
            </w:textInput>
          </w:ffData>
        </w:fldChar>
      </w:r>
      <w:bookmarkStart w:id="6" w:name="NSTD_CODE_F"/>
      <w:r>
        <w:instrText xml:space="preserve"> FORMTEXT </w:instrText>
      </w:r>
      <w:r>
        <w:fldChar w:fldCharType="separate"/>
      </w:r>
      <w:r>
        <w:t>XXXX</w:t>
      </w:r>
      <w:r>
        <w:fldChar w:fldCharType="end"/>
      </w:r>
      <w:bookmarkEnd w:id="6"/>
      <w:r>
        <w:rPr>
          <w:rFonts w:hAnsi="黑体"/>
        </w:rPr>
        <w:t>—</w:t>
      </w:r>
      <w:r>
        <w:fldChar w:fldCharType="begin">
          <w:ffData>
            <w:name w:val="NSTD_CODE_B"/>
            <w:enabled/>
            <w:calcOnExit w:val="0"/>
            <w:textInput>
              <w:default w:val="XXXX"/>
            </w:textInput>
          </w:ffData>
        </w:fldChar>
      </w:r>
      <w:bookmarkStart w:id="7" w:name="NSTD_CODE_B"/>
      <w:r>
        <w:instrText xml:space="preserve"> FORMTEXT </w:instrText>
      </w:r>
      <w:r>
        <w:fldChar w:fldCharType="separate"/>
      </w:r>
      <w:r>
        <w:rPr>
          <w:rFonts w:hint="eastAsia"/>
        </w:rPr>
        <w:t>2026</w:t>
      </w:r>
      <w:r>
        <w:fldChar w:fldCharType="end"/>
      </w:r>
      <w:bookmarkEnd w:id="7"/>
    </w:p>
    <w:p w14:paraId="00C82395">
      <w:pPr>
        <w:pStyle w:val="199"/>
        <w:framePr/>
        <w:rPr>
          <w:rFonts w:hint="eastAsia"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1909C0A1">
      <w:pPr>
        <w:spacing w:line="240" w:lineRule="auto"/>
        <w:rPr>
          <w:rFonts w:hint="eastAsia"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262FAE7E">
      <w:pPr>
        <w:pStyle w:val="53"/>
        <w:framePr w:w="9639" w:h="6976" w:hRule="exact" w:hSpace="0" w:vSpace="0" w:wrap="around" w:hAnchor="page" w:y="6408"/>
        <w:jc w:val="center"/>
        <w:rPr>
          <w:rFonts w:hint="eastAsia" w:ascii="黑体" w:hAnsi="黑体" w:eastAsia="黑体"/>
          <w:b w:val="0"/>
          <w:bCs w:val="0"/>
          <w:w w:val="100"/>
        </w:rPr>
      </w:pPr>
    </w:p>
    <w:p w14:paraId="0E45DA20">
      <w:pPr>
        <w:pStyle w:val="200"/>
        <w:framePr w:h="6974" w:hRule="exact" w:wrap="around" w:x="1419" w:anchorLock="1"/>
        <w:rPr>
          <w:rFonts w:hint="eastAsia"/>
        </w:rPr>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bookmarkStart w:id="75" w:name="_GoBack"/>
      <w:bookmarkEnd w:id="75"/>
      <w:r>
        <w:rPr>
          <w:rFonts w:hint="eastAsia"/>
        </w:rPr>
        <w:t>中医药大学生人工智能素养</w:t>
      </w:r>
      <w:r>
        <w:fldChar w:fldCharType="end"/>
      </w:r>
      <w:bookmarkEnd w:id="9"/>
    </w:p>
    <w:p w14:paraId="28CDBE41">
      <w:pPr>
        <w:framePr w:w="9639" w:h="6974" w:hRule="exact" w:wrap="around" w:vAnchor="page" w:hAnchor="page" w:x="1419" w:y="6408" w:anchorLock="1"/>
        <w:ind w:left="-1418"/>
      </w:pPr>
    </w:p>
    <w:p w14:paraId="78087D6B">
      <w:pPr>
        <w:pStyle w:val="128"/>
        <w:framePr w:w="9639" w:h="6974" w:hRule="exact" w:wrap="around" w:vAnchor="page" w:hAnchor="page" w:x="1419" w:y="6408" w:anchorLock="1"/>
        <w:textAlignment w:val="bottom"/>
        <w:rPr>
          <w:rFonts w:eastAsia="黑体"/>
          <w:szCs w:val="28"/>
        </w:rPr>
      </w:pPr>
      <w:r>
        <w:rPr>
          <w:rFonts w:eastAsia="黑体"/>
          <w:szCs w:val="28"/>
        </w:rPr>
        <w:fldChar w:fldCharType="begin">
          <w:ffData>
            <w:name w:val="ESTD_NAME"/>
            <w:enabled/>
            <w:calcOnExit w:val="0"/>
            <w:textInput>
              <w:default w:val="点击此处添加标准名称的英文译名"/>
            </w:textInput>
          </w:ffData>
        </w:fldChar>
      </w:r>
      <w:bookmarkStart w:id="10" w:name="ESTD_NAME"/>
      <w:r>
        <w:rPr>
          <w:rFonts w:eastAsia="黑体"/>
          <w:szCs w:val="28"/>
        </w:rPr>
        <w:instrText xml:space="preserve"> FORMTEXT </w:instrText>
      </w:r>
      <w:r>
        <w:rPr>
          <w:rFonts w:eastAsia="黑体"/>
          <w:szCs w:val="28"/>
        </w:rPr>
        <w:fldChar w:fldCharType="separate"/>
      </w:r>
      <w:r>
        <w:rPr>
          <w:rFonts w:hint="eastAsia" w:eastAsia="黑体"/>
          <w:szCs w:val="28"/>
        </w:rPr>
        <w:t>Artificial intelligence literacy for traditional Chinese medicine students</w:t>
      </w:r>
      <w:r>
        <w:rPr>
          <w:rFonts w:eastAsia="黑体"/>
          <w:szCs w:val="28"/>
        </w:rPr>
        <w:fldChar w:fldCharType="end"/>
      </w:r>
      <w:bookmarkEnd w:id="10"/>
    </w:p>
    <w:p w14:paraId="78C06419">
      <w:pPr>
        <w:framePr w:w="9639" w:h="6974" w:hRule="exact" w:wrap="around" w:vAnchor="page" w:hAnchor="page" w:x="1419" w:y="6408" w:anchorLock="1"/>
        <w:spacing w:line="760" w:lineRule="exact"/>
        <w:ind w:left="-1418"/>
      </w:pPr>
    </w:p>
    <w:p w14:paraId="07CCFCCF">
      <w:pPr>
        <w:pStyle w:val="128"/>
        <w:framePr w:w="9639" w:h="6974" w:hRule="exact" w:wrap="around" w:vAnchor="page" w:hAnchor="page" w:x="1419" w:y="6408" w:anchorLock="1"/>
        <w:textAlignment w:val="bottom"/>
        <w:rPr>
          <w:rFonts w:eastAsia="黑体"/>
          <w:szCs w:val="28"/>
        </w:rPr>
      </w:pPr>
    </w:p>
    <w:p w14:paraId="5E0B5010">
      <w:pPr>
        <w:pStyle w:val="128"/>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730B5EDC">
      <w:pPr>
        <w:pStyle w:val="128"/>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16431117">
      <w:pPr>
        <w:pStyle w:val="128"/>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25F359E0">
      <w:pPr>
        <w:pStyle w:val="196"/>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03CBBAE6">
      <w:pPr>
        <w:pStyle w:val="197"/>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39CDB8D6">
      <w:pPr>
        <w:pStyle w:val="154"/>
        <w:framePr w:h="584" w:hRule="exact" w:hSpace="181" w:vSpace="181" w:wrap="around" w:y="14800"/>
        <w:rPr>
          <w:rFonts w:hint="eastAsia"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中国中医药研究促进会</w:t>
      </w:r>
      <w:r>
        <w:rPr>
          <w:rFonts w:hAnsi="黑体"/>
          <w:w w:val="100"/>
          <w:sz w:val="28"/>
        </w:rPr>
        <w:fldChar w:fldCharType="end"/>
      </w:r>
      <w:bookmarkEnd w:id="20"/>
      <w:r>
        <w:rPr>
          <w:rFonts w:ascii="Times New Roman"/>
          <w:w w:val="100"/>
          <w:sz w:val="28"/>
        </w:rPr>
        <w:t>  </w:t>
      </w:r>
      <w:r>
        <w:rPr>
          <w:rStyle w:val="232"/>
          <w:rFonts w:hint="eastAsia" w:hAnsi="黑体"/>
          <w:position w:val="0"/>
        </w:rPr>
        <w:t>发</w:t>
      </w:r>
      <w:r>
        <w:rPr>
          <w:rStyle w:val="232"/>
          <w:rFonts w:hint="eastAsia" w:hAnsi="黑体"/>
          <w:spacing w:val="0"/>
          <w:position w:val="0"/>
        </w:rPr>
        <w:t>布</w:t>
      </w:r>
    </w:p>
    <w:p w14:paraId="2438B4D3">
      <w:pPr>
        <w:rPr>
          <w:rFonts w:hint="eastAsia"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567" w:right="1134" w:bottom="1134" w:left="1134" w:header="1418" w:footer="1134"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2E7DB648">
      <w:pPr>
        <w:pStyle w:val="94"/>
        <w:spacing w:after="360"/>
      </w:pPr>
      <w:bookmarkStart w:id="21" w:name="BookMark1"/>
      <w:bookmarkStart w:id="22" w:name="_Toc191654583"/>
      <w:bookmarkStart w:id="23" w:name="_Toc191654620"/>
      <w:r>
        <w:rPr>
          <w:rFonts w:hint="eastAsia"/>
          <w:spacing w:val="320"/>
        </w:rPr>
        <w:t>目</w:t>
      </w:r>
      <w:r>
        <w:rPr>
          <w:rFonts w:hint="eastAsia"/>
        </w:rPr>
        <w:t>次</w:t>
      </w:r>
    </w:p>
    <w:p w14:paraId="27C6A167">
      <w:pPr>
        <w:pStyle w:val="20"/>
        <w:rPr>
          <w:rStyle w:val="34"/>
        </w:rPr>
      </w:pPr>
      <w:r>
        <w:rPr>
          <w:rStyle w:val="34"/>
        </w:rPr>
        <w:fldChar w:fldCharType="begin"/>
      </w:r>
      <w:r>
        <w:rPr>
          <w:rStyle w:val="34"/>
        </w:rPr>
        <w:instrText xml:space="preserve"> TOC \o "1-2" \h \f</w:instrText>
      </w:r>
      <w:r>
        <w:rPr>
          <w:rStyle w:val="34"/>
        </w:rPr>
        <w:fldChar w:fldCharType="separate"/>
      </w:r>
      <w:r>
        <w:fldChar w:fldCharType="begin"/>
      </w:r>
      <w:r>
        <w:instrText xml:space="preserve"> HYPERLINK \l "_Toc236682849" </w:instrText>
      </w:r>
      <w:r>
        <w:fldChar w:fldCharType="separate"/>
      </w:r>
      <w:r>
        <w:rPr>
          <w:rStyle w:val="34"/>
        </w:rPr>
        <w:t>前言</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_Toc236682849 \h</w:instrText>
      </w:r>
      <w:r>
        <w:rPr>
          <w:rStyle w:val="34"/>
          <w:rFonts w:hint="eastAsia"/>
        </w:rPr>
        <w:instrText xml:space="preserve"> </w:instrText>
      </w:r>
      <w:r>
        <w:rPr>
          <w:rStyle w:val="34"/>
          <w:rFonts w:hint="eastAsia"/>
        </w:rPr>
        <w:fldChar w:fldCharType="separate"/>
      </w:r>
      <w:r>
        <w:rPr>
          <w:rStyle w:val="34"/>
        </w:rPr>
        <w:t>II</w:t>
      </w:r>
      <w:r>
        <w:rPr>
          <w:rStyle w:val="34"/>
          <w:rFonts w:hint="eastAsia"/>
        </w:rPr>
        <w:fldChar w:fldCharType="end"/>
      </w:r>
      <w:r>
        <w:rPr>
          <w:rStyle w:val="34"/>
          <w:rFonts w:hint="eastAsia"/>
        </w:rPr>
        <w:fldChar w:fldCharType="end"/>
      </w:r>
    </w:p>
    <w:p w14:paraId="0A2ABD92">
      <w:pPr>
        <w:pStyle w:val="20"/>
        <w:rPr>
          <w:rStyle w:val="34"/>
        </w:rPr>
      </w:pPr>
      <w:r>
        <w:fldChar w:fldCharType="begin"/>
      </w:r>
      <w:r>
        <w:instrText xml:space="preserve"> HYPERLINK \l "_Toc236682850" </w:instrText>
      </w:r>
      <w:r>
        <w:fldChar w:fldCharType="separate"/>
      </w:r>
      <w:r>
        <w:rPr>
          <w:rStyle w:val="34"/>
        </w:rPr>
        <w:t>1 范围</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_Toc236682850 \h</w:instrText>
      </w:r>
      <w:r>
        <w:rPr>
          <w:rStyle w:val="34"/>
          <w:rFonts w:hint="eastAsia"/>
        </w:rPr>
        <w:instrText xml:space="preserve"> </w:instrText>
      </w:r>
      <w:r>
        <w:rPr>
          <w:rStyle w:val="34"/>
          <w:rFonts w:hint="eastAsia"/>
        </w:rPr>
        <w:fldChar w:fldCharType="separate"/>
      </w:r>
      <w:r>
        <w:rPr>
          <w:rStyle w:val="34"/>
        </w:rPr>
        <w:t>1</w:t>
      </w:r>
      <w:r>
        <w:rPr>
          <w:rStyle w:val="34"/>
          <w:rFonts w:hint="eastAsia"/>
        </w:rPr>
        <w:fldChar w:fldCharType="end"/>
      </w:r>
      <w:r>
        <w:rPr>
          <w:rStyle w:val="34"/>
          <w:rFonts w:hint="eastAsia"/>
        </w:rPr>
        <w:fldChar w:fldCharType="end"/>
      </w:r>
    </w:p>
    <w:p w14:paraId="24B732A7">
      <w:pPr>
        <w:pStyle w:val="20"/>
        <w:rPr>
          <w:rStyle w:val="34"/>
        </w:rPr>
      </w:pPr>
      <w:r>
        <w:fldChar w:fldCharType="begin"/>
      </w:r>
      <w:r>
        <w:instrText xml:space="preserve"> HYPERLINK \l "_Toc236682851" </w:instrText>
      </w:r>
      <w:r>
        <w:fldChar w:fldCharType="separate"/>
      </w:r>
      <w:r>
        <w:rPr>
          <w:rStyle w:val="34"/>
        </w:rPr>
        <w:t>2 规范性引用文件</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_Toc236682851 \h</w:instrText>
      </w:r>
      <w:r>
        <w:rPr>
          <w:rStyle w:val="34"/>
          <w:rFonts w:hint="eastAsia"/>
        </w:rPr>
        <w:instrText xml:space="preserve"> </w:instrText>
      </w:r>
      <w:r>
        <w:rPr>
          <w:rStyle w:val="34"/>
          <w:rFonts w:hint="eastAsia"/>
        </w:rPr>
        <w:fldChar w:fldCharType="separate"/>
      </w:r>
      <w:r>
        <w:rPr>
          <w:rStyle w:val="34"/>
        </w:rPr>
        <w:t>1</w:t>
      </w:r>
      <w:r>
        <w:rPr>
          <w:rStyle w:val="34"/>
          <w:rFonts w:hint="eastAsia"/>
        </w:rPr>
        <w:fldChar w:fldCharType="end"/>
      </w:r>
      <w:r>
        <w:rPr>
          <w:rStyle w:val="34"/>
          <w:rFonts w:hint="eastAsia"/>
        </w:rPr>
        <w:fldChar w:fldCharType="end"/>
      </w:r>
    </w:p>
    <w:p w14:paraId="231EF561">
      <w:pPr>
        <w:pStyle w:val="20"/>
        <w:rPr>
          <w:rStyle w:val="34"/>
        </w:rPr>
      </w:pPr>
      <w:r>
        <w:fldChar w:fldCharType="begin"/>
      </w:r>
      <w:r>
        <w:instrText xml:space="preserve"> HYPERLINK \l "_Toc236682852" </w:instrText>
      </w:r>
      <w:r>
        <w:fldChar w:fldCharType="separate"/>
      </w:r>
      <w:r>
        <w:rPr>
          <w:rStyle w:val="34"/>
        </w:rPr>
        <w:t>3 术语和定义</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_Toc236682852 \h</w:instrText>
      </w:r>
      <w:r>
        <w:rPr>
          <w:rStyle w:val="34"/>
          <w:rFonts w:hint="eastAsia"/>
        </w:rPr>
        <w:instrText xml:space="preserve"> </w:instrText>
      </w:r>
      <w:r>
        <w:rPr>
          <w:rStyle w:val="34"/>
          <w:rFonts w:hint="eastAsia"/>
        </w:rPr>
        <w:fldChar w:fldCharType="separate"/>
      </w:r>
      <w:r>
        <w:rPr>
          <w:rStyle w:val="34"/>
        </w:rPr>
        <w:t>1</w:t>
      </w:r>
      <w:r>
        <w:rPr>
          <w:rStyle w:val="34"/>
          <w:rFonts w:hint="eastAsia"/>
        </w:rPr>
        <w:fldChar w:fldCharType="end"/>
      </w:r>
      <w:r>
        <w:rPr>
          <w:rStyle w:val="34"/>
          <w:rFonts w:hint="eastAsia"/>
        </w:rPr>
        <w:fldChar w:fldCharType="end"/>
      </w:r>
    </w:p>
    <w:p w14:paraId="75B8535E">
      <w:pPr>
        <w:pStyle w:val="20"/>
        <w:rPr>
          <w:rStyle w:val="34"/>
        </w:rPr>
      </w:pPr>
      <w:r>
        <w:fldChar w:fldCharType="begin"/>
      </w:r>
      <w:r>
        <w:instrText xml:space="preserve"> HYPERLINK \l "_Toc236682853" </w:instrText>
      </w:r>
      <w:r>
        <w:fldChar w:fldCharType="separate"/>
      </w:r>
      <w:r>
        <w:rPr>
          <w:rStyle w:val="34"/>
        </w:rPr>
        <w:t>4 中医药大学生人工智能素养框架</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_Toc236682853 \h</w:instrText>
      </w:r>
      <w:r>
        <w:rPr>
          <w:rStyle w:val="34"/>
          <w:rFonts w:hint="eastAsia"/>
        </w:rPr>
        <w:instrText xml:space="preserve"> </w:instrText>
      </w:r>
      <w:r>
        <w:rPr>
          <w:rStyle w:val="34"/>
          <w:rFonts w:hint="eastAsia"/>
        </w:rPr>
        <w:fldChar w:fldCharType="separate"/>
      </w:r>
      <w:r>
        <w:rPr>
          <w:rStyle w:val="34"/>
        </w:rPr>
        <w:t>2</w:t>
      </w:r>
      <w:r>
        <w:rPr>
          <w:rStyle w:val="34"/>
          <w:rFonts w:hint="eastAsia"/>
        </w:rPr>
        <w:fldChar w:fldCharType="end"/>
      </w:r>
      <w:r>
        <w:rPr>
          <w:rStyle w:val="34"/>
          <w:rFonts w:hint="eastAsia"/>
        </w:rPr>
        <w:fldChar w:fldCharType="end"/>
      </w:r>
    </w:p>
    <w:p w14:paraId="3B6321C7">
      <w:pPr>
        <w:pStyle w:val="20"/>
        <w:rPr>
          <w:rStyle w:val="34"/>
        </w:rPr>
      </w:pPr>
      <w:r>
        <w:fldChar w:fldCharType="begin"/>
      </w:r>
      <w:r>
        <w:instrText xml:space="preserve"> HYPERLINK \l "_Toc236682854" </w:instrText>
      </w:r>
      <w:r>
        <w:fldChar w:fldCharType="separate"/>
      </w:r>
      <w:r>
        <w:rPr>
          <w:rStyle w:val="34"/>
        </w:rPr>
        <w:t xml:space="preserve">5 </w:t>
      </w:r>
      <w:r>
        <w:rPr>
          <w:rStyle w:val="34"/>
          <w:rFonts w:hint="eastAsia"/>
        </w:rPr>
        <w:t>人工智能</w:t>
      </w:r>
      <w:r>
        <w:rPr>
          <w:rStyle w:val="34"/>
        </w:rPr>
        <w:t>意识</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_Toc236682854 \h</w:instrText>
      </w:r>
      <w:r>
        <w:rPr>
          <w:rStyle w:val="34"/>
          <w:rFonts w:hint="eastAsia"/>
        </w:rPr>
        <w:instrText xml:space="preserve"> </w:instrText>
      </w:r>
      <w:r>
        <w:rPr>
          <w:rStyle w:val="34"/>
          <w:rFonts w:hint="eastAsia"/>
        </w:rPr>
        <w:fldChar w:fldCharType="separate"/>
      </w:r>
      <w:r>
        <w:rPr>
          <w:rStyle w:val="34"/>
        </w:rPr>
        <w:t>2</w:t>
      </w:r>
      <w:r>
        <w:rPr>
          <w:rStyle w:val="34"/>
          <w:rFonts w:hint="eastAsia"/>
        </w:rPr>
        <w:fldChar w:fldCharType="end"/>
      </w:r>
      <w:r>
        <w:rPr>
          <w:rStyle w:val="34"/>
          <w:rFonts w:hint="eastAsia"/>
        </w:rPr>
        <w:fldChar w:fldCharType="end"/>
      </w:r>
      <w:r>
        <w:rPr>
          <w:rStyle w:val="34"/>
          <w:rFonts w:hint="eastAsia"/>
        </w:rPr>
        <w:t xml:space="preserve"> </w:t>
      </w:r>
    </w:p>
    <w:p w14:paraId="6513A708">
      <w:pPr>
        <w:pStyle w:val="20"/>
        <w:ind w:firstLine="210" w:firstLineChars="100"/>
        <w:rPr>
          <w:rStyle w:val="34"/>
        </w:rPr>
      </w:pPr>
      <w:r>
        <w:rPr>
          <w:rStyle w:val="34"/>
        </w:rPr>
        <w:t>5.1 概述</w:t>
      </w:r>
      <w:r>
        <w:rPr>
          <w:rStyle w:val="34"/>
        </w:rPr>
        <w:tab/>
      </w:r>
      <w:r>
        <w:rPr>
          <w:rStyle w:val="34"/>
        </w:rPr>
        <w:t>2</w:t>
      </w:r>
    </w:p>
    <w:p w14:paraId="3DFBD2A5">
      <w:pPr>
        <w:pStyle w:val="20"/>
        <w:ind w:firstLine="210" w:firstLineChars="100"/>
        <w:rPr>
          <w:rStyle w:val="34"/>
        </w:rPr>
      </w:pPr>
      <w:r>
        <w:rPr>
          <w:rStyle w:val="34"/>
        </w:rPr>
        <w:t>5.2 人工智能认识</w:t>
      </w:r>
      <w:r>
        <w:rPr>
          <w:rStyle w:val="34"/>
        </w:rPr>
        <w:tab/>
      </w:r>
      <w:r>
        <w:rPr>
          <w:rStyle w:val="34"/>
        </w:rPr>
        <w:t>3</w:t>
      </w:r>
    </w:p>
    <w:p w14:paraId="00CCDDA2">
      <w:pPr>
        <w:pStyle w:val="20"/>
        <w:ind w:firstLine="210" w:firstLineChars="100"/>
        <w:rPr>
          <w:rStyle w:val="34"/>
        </w:rPr>
      </w:pPr>
      <w:r>
        <w:rPr>
          <w:rStyle w:val="34"/>
        </w:rPr>
        <w:t>5.3 人工智能意愿</w:t>
      </w:r>
      <w:r>
        <w:rPr>
          <w:rStyle w:val="34"/>
        </w:rPr>
        <w:tab/>
      </w:r>
      <w:r>
        <w:rPr>
          <w:rStyle w:val="34"/>
        </w:rPr>
        <w:t>3</w:t>
      </w:r>
    </w:p>
    <w:p w14:paraId="4E5F5396">
      <w:pPr>
        <w:pStyle w:val="20"/>
        <w:ind w:firstLine="210" w:firstLineChars="100"/>
        <w:rPr>
          <w:rStyle w:val="34"/>
        </w:rPr>
      </w:pPr>
      <w:r>
        <w:rPr>
          <w:rStyle w:val="34"/>
        </w:rPr>
        <w:t>5.4 人工智能意志</w:t>
      </w:r>
      <w:r>
        <w:rPr>
          <w:rStyle w:val="34"/>
        </w:rPr>
        <w:tab/>
      </w:r>
      <w:r>
        <w:rPr>
          <w:rStyle w:val="34"/>
        </w:rPr>
        <w:t>3</w:t>
      </w:r>
    </w:p>
    <w:p w14:paraId="3A168320">
      <w:pPr>
        <w:pStyle w:val="20"/>
        <w:rPr>
          <w:rStyle w:val="34"/>
        </w:rPr>
      </w:pPr>
      <w:r>
        <w:fldChar w:fldCharType="begin"/>
      </w:r>
      <w:r>
        <w:instrText xml:space="preserve"> HYPERLINK \l "_Toc236682855" </w:instrText>
      </w:r>
      <w:r>
        <w:fldChar w:fldCharType="separate"/>
      </w:r>
      <w:r>
        <w:rPr>
          <w:rStyle w:val="34"/>
        </w:rPr>
        <w:t>6 人工智能知识与技能</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_Toc236682855 \h</w:instrText>
      </w:r>
      <w:r>
        <w:rPr>
          <w:rStyle w:val="34"/>
          <w:rFonts w:hint="eastAsia"/>
        </w:rPr>
        <w:instrText xml:space="preserve"> </w:instrText>
      </w:r>
      <w:r>
        <w:rPr>
          <w:rStyle w:val="34"/>
          <w:rFonts w:hint="eastAsia"/>
        </w:rPr>
        <w:fldChar w:fldCharType="separate"/>
      </w:r>
      <w:r>
        <w:rPr>
          <w:rStyle w:val="34"/>
        </w:rPr>
        <w:t>3</w:t>
      </w:r>
      <w:r>
        <w:rPr>
          <w:rStyle w:val="34"/>
          <w:rFonts w:hint="eastAsia"/>
        </w:rPr>
        <w:fldChar w:fldCharType="end"/>
      </w:r>
      <w:r>
        <w:rPr>
          <w:rStyle w:val="34"/>
          <w:rFonts w:hint="eastAsia"/>
        </w:rPr>
        <w:fldChar w:fldCharType="end"/>
      </w:r>
    </w:p>
    <w:p w14:paraId="0CB13B91">
      <w:pPr>
        <w:pStyle w:val="20"/>
        <w:ind w:firstLine="210" w:firstLineChars="100"/>
        <w:rPr>
          <w:rStyle w:val="34"/>
        </w:rPr>
      </w:pPr>
      <w:r>
        <w:rPr>
          <w:rStyle w:val="34"/>
        </w:rPr>
        <w:t>6.1 概述</w:t>
      </w:r>
      <w:r>
        <w:rPr>
          <w:rStyle w:val="34"/>
        </w:rPr>
        <w:tab/>
      </w:r>
      <w:r>
        <w:rPr>
          <w:rStyle w:val="34"/>
        </w:rPr>
        <w:t>3</w:t>
      </w:r>
    </w:p>
    <w:p w14:paraId="0646F475">
      <w:pPr>
        <w:pStyle w:val="20"/>
        <w:ind w:firstLine="210" w:firstLineChars="100"/>
        <w:rPr>
          <w:rStyle w:val="34"/>
        </w:rPr>
      </w:pPr>
      <w:r>
        <w:rPr>
          <w:rStyle w:val="34"/>
        </w:rPr>
        <w:t>6.2 人工智能知识</w:t>
      </w:r>
      <w:r>
        <w:rPr>
          <w:rStyle w:val="34"/>
        </w:rPr>
        <w:tab/>
      </w:r>
      <w:r>
        <w:rPr>
          <w:rStyle w:val="34"/>
        </w:rPr>
        <w:t>4</w:t>
      </w:r>
    </w:p>
    <w:p w14:paraId="6B1CEA9E">
      <w:pPr>
        <w:pStyle w:val="20"/>
        <w:ind w:firstLine="210" w:firstLineChars="100"/>
        <w:rPr>
          <w:rStyle w:val="34"/>
        </w:rPr>
      </w:pPr>
      <w:r>
        <w:rPr>
          <w:rStyle w:val="34"/>
        </w:rPr>
        <w:t>6.3 人工智能技能</w:t>
      </w:r>
      <w:r>
        <w:rPr>
          <w:rStyle w:val="34"/>
        </w:rPr>
        <w:tab/>
      </w:r>
      <w:r>
        <w:rPr>
          <w:rStyle w:val="34"/>
        </w:rPr>
        <w:t>4</w:t>
      </w:r>
    </w:p>
    <w:p w14:paraId="4F619F7E">
      <w:pPr>
        <w:pStyle w:val="20"/>
        <w:rPr>
          <w:rStyle w:val="34"/>
        </w:rPr>
      </w:pPr>
      <w:r>
        <w:fldChar w:fldCharType="begin"/>
      </w:r>
      <w:r>
        <w:instrText xml:space="preserve"> HYPERLINK \l "_Toc236682856" </w:instrText>
      </w:r>
      <w:r>
        <w:fldChar w:fldCharType="separate"/>
      </w:r>
      <w:r>
        <w:rPr>
          <w:rStyle w:val="34"/>
        </w:rPr>
        <w:t>7 人工智能思维</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_Toc236682856 \h</w:instrText>
      </w:r>
      <w:r>
        <w:rPr>
          <w:rStyle w:val="34"/>
          <w:rFonts w:hint="eastAsia"/>
        </w:rPr>
        <w:instrText xml:space="preserve"> </w:instrText>
      </w:r>
      <w:r>
        <w:rPr>
          <w:rStyle w:val="34"/>
          <w:rFonts w:hint="eastAsia"/>
        </w:rPr>
        <w:fldChar w:fldCharType="separate"/>
      </w:r>
      <w:r>
        <w:rPr>
          <w:rStyle w:val="34"/>
        </w:rPr>
        <w:t>4</w:t>
      </w:r>
      <w:r>
        <w:rPr>
          <w:rStyle w:val="34"/>
          <w:rFonts w:hint="eastAsia"/>
        </w:rPr>
        <w:fldChar w:fldCharType="end"/>
      </w:r>
      <w:r>
        <w:rPr>
          <w:rStyle w:val="34"/>
          <w:rFonts w:hint="eastAsia"/>
        </w:rPr>
        <w:fldChar w:fldCharType="end"/>
      </w:r>
    </w:p>
    <w:p w14:paraId="6F30746B">
      <w:pPr>
        <w:pStyle w:val="20"/>
        <w:ind w:firstLine="210" w:firstLineChars="100"/>
        <w:rPr>
          <w:rStyle w:val="34"/>
        </w:rPr>
      </w:pPr>
      <w:r>
        <w:rPr>
          <w:rStyle w:val="34"/>
        </w:rPr>
        <w:t>7.1 概述</w:t>
      </w:r>
      <w:r>
        <w:rPr>
          <w:rStyle w:val="34"/>
        </w:rPr>
        <w:tab/>
      </w:r>
      <w:r>
        <w:rPr>
          <w:rStyle w:val="34"/>
        </w:rPr>
        <w:t>4</w:t>
      </w:r>
    </w:p>
    <w:p w14:paraId="30EF304C">
      <w:pPr>
        <w:pStyle w:val="20"/>
        <w:ind w:firstLine="210" w:firstLineChars="100"/>
        <w:rPr>
          <w:rStyle w:val="34"/>
        </w:rPr>
      </w:pPr>
      <w:r>
        <w:rPr>
          <w:rStyle w:val="34"/>
        </w:rPr>
        <w:t xml:space="preserve">7.2 </w:t>
      </w:r>
      <w:r>
        <w:rPr>
          <w:rStyle w:val="34"/>
          <w:rFonts w:hint="eastAsia"/>
        </w:rPr>
        <w:t>数据建模</w:t>
      </w:r>
      <w:r>
        <w:rPr>
          <w:rStyle w:val="34"/>
        </w:rPr>
        <w:t>思维</w:t>
      </w:r>
      <w:r>
        <w:rPr>
          <w:rStyle w:val="34"/>
        </w:rPr>
        <w:tab/>
      </w:r>
      <w:r>
        <w:rPr>
          <w:rStyle w:val="34"/>
        </w:rPr>
        <w:t>5</w:t>
      </w:r>
    </w:p>
    <w:p w14:paraId="631C9E29">
      <w:pPr>
        <w:pStyle w:val="20"/>
        <w:ind w:firstLine="210" w:firstLineChars="100"/>
        <w:rPr>
          <w:rStyle w:val="34"/>
        </w:rPr>
      </w:pPr>
      <w:r>
        <w:rPr>
          <w:rStyle w:val="34"/>
        </w:rPr>
        <w:t>7.3 人机协同思维</w:t>
      </w:r>
      <w:r>
        <w:rPr>
          <w:rStyle w:val="34"/>
        </w:rPr>
        <w:tab/>
      </w:r>
      <w:r>
        <w:rPr>
          <w:rStyle w:val="34"/>
        </w:rPr>
        <w:t>5</w:t>
      </w:r>
    </w:p>
    <w:p w14:paraId="5BEC80D5">
      <w:pPr>
        <w:pStyle w:val="20"/>
        <w:ind w:firstLine="210" w:firstLineChars="100"/>
        <w:rPr>
          <w:rStyle w:val="34"/>
        </w:rPr>
      </w:pPr>
      <w:r>
        <w:rPr>
          <w:rStyle w:val="34"/>
        </w:rPr>
        <w:t>7.4 批判与创新思维</w:t>
      </w:r>
      <w:r>
        <w:rPr>
          <w:rStyle w:val="34"/>
        </w:rPr>
        <w:tab/>
      </w:r>
      <w:r>
        <w:rPr>
          <w:rStyle w:val="34"/>
        </w:rPr>
        <w:t>5</w:t>
      </w:r>
    </w:p>
    <w:p w14:paraId="1B174179">
      <w:pPr>
        <w:pStyle w:val="20"/>
        <w:rPr>
          <w:rStyle w:val="34"/>
        </w:rPr>
      </w:pPr>
      <w:r>
        <w:fldChar w:fldCharType="begin"/>
      </w:r>
      <w:r>
        <w:instrText xml:space="preserve"> HYPERLINK \l "_Toc236682857" </w:instrText>
      </w:r>
      <w:r>
        <w:fldChar w:fldCharType="separate"/>
      </w:r>
      <w:r>
        <w:rPr>
          <w:rStyle w:val="34"/>
        </w:rPr>
        <w:t>8 人工智能应用</w:t>
      </w:r>
      <w:r>
        <w:rPr>
          <w:rStyle w:val="34"/>
          <w:rFonts w:hint="eastAsia"/>
        </w:rPr>
        <w:tab/>
      </w:r>
      <w:r>
        <w:rPr>
          <w:rStyle w:val="34"/>
          <w:rFonts w:hint="eastAsia"/>
        </w:rPr>
        <w:fldChar w:fldCharType="begin"/>
      </w:r>
      <w:r>
        <w:rPr>
          <w:rStyle w:val="34"/>
          <w:rFonts w:hint="eastAsia"/>
        </w:rPr>
        <w:instrText xml:space="preserve"> </w:instrText>
      </w:r>
      <w:r>
        <w:rPr>
          <w:rStyle w:val="34"/>
        </w:rPr>
        <w:instrText xml:space="preserve">PAGEREF _Toc236682857 \h</w:instrText>
      </w:r>
      <w:r>
        <w:rPr>
          <w:rStyle w:val="34"/>
          <w:rFonts w:hint="eastAsia"/>
        </w:rPr>
        <w:instrText xml:space="preserve"> </w:instrText>
      </w:r>
      <w:r>
        <w:rPr>
          <w:rStyle w:val="34"/>
          <w:rFonts w:hint="eastAsia"/>
        </w:rPr>
        <w:fldChar w:fldCharType="separate"/>
      </w:r>
      <w:r>
        <w:rPr>
          <w:rStyle w:val="34"/>
        </w:rPr>
        <w:t>5</w:t>
      </w:r>
      <w:r>
        <w:rPr>
          <w:rStyle w:val="34"/>
          <w:rFonts w:hint="eastAsia"/>
        </w:rPr>
        <w:fldChar w:fldCharType="end"/>
      </w:r>
      <w:r>
        <w:rPr>
          <w:rStyle w:val="34"/>
          <w:rFonts w:hint="eastAsia"/>
        </w:rPr>
        <w:fldChar w:fldCharType="end"/>
      </w:r>
    </w:p>
    <w:p w14:paraId="66378D7B">
      <w:pPr>
        <w:pStyle w:val="20"/>
        <w:ind w:firstLine="210" w:firstLineChars="100"/>
        <w:rPr>
          <w:rStyle w:val="34"/>
        </w:rPr>
      </w:pPr>
      <w:r>
        <w:rPr>
          <w:rStyle w:val="34"/>
        </w:rPr>
        <w:t>8.1 概述</w:t>
      </w:r>
      <w:r>
        <w:rPr>
          <w:rStyle w:val="34"/>
        </w:rPr>
        <w:tab/>
      </w:r>
      <w:r>
        <w:rPr>
          <w:rStyle w:val="34"/>
        </w:rPr>
        <w:t>5</w:t>
      </w:r>
    </w:p>
    <w:p w14:paraId="7C3B8F4E">
      <w:pPr>
        <w:pStyle w:val="20"/>
        <w:ind w:firstLine="210" w:firstLineChars="100"/>
        <w:rPr>
          <w:rStyle w:val="34"/>
        </w:rPr>
      </w:pPr>
      <w:r>
        <w:rPr>
          <w:rStyle w:val="34"/>
        </w:rPr>
        <w:t>8.2 人工智能学习应用</w:t>
      </w:r>
      <w:r>
        <w:rPr>
          <w:rStyle w:val="34"/>
        </w:rPr>
        <w:tab/>
      </w:r>
      <w:r>
        <w:rPr>
          <w:rStyle w:val="34"/>
        </w:rPr>
        <w:t>6</w:t>
      </w:r>
    </w:p>
    <w:p w14:paraId="13F5AB8F">
      <w:pPr>
        <w:pStyle w:val="20"/>
        <w:ind w:firstLine="210" w:firstLineChars="100"/>
        <w:rPr>
          <w:rStyle w:val="34"/>
        </w:rPr>
      </w:pPr>
      <w:r>
        <w:rPr>
          <w:rStyle w:val="34"/>
        </w:rPr>
        <w:t>8.3 人工智能科研应用</w:t>
      </w:r>
      <w:r>
        <w:rPr>
          <w:rStyle w:val="34"/>
        </w:rPr>
        <w:tab/>
      </w:r>
      <w:r>
        <w:rPr>
          <w:rStyle w:val="34"/>
        </w:rPr>
        <w:t>6</w:t>
      </w:r>
    </w:p>
    <w:p w14:paraId="52C3491E">
      <w:pPr>
        <w:pStyle w:val="20"/>
        <w:ind w:firstLine="210" w:firstLineChars="100"/>
        <w:rPr>
          <w:rStyle w:val="34"/>
        </w:rPr>
      </w:pPr>
      <w:r>
        <w:rPr>
          <w:rStyle w:val="34"/>
        </w:rPr>
        <w:t>8.4 人工智能生活应用</w:t>
      </w:r>
      <w:r>
        <w:rPr>
          <w:rStyle w:val="34"/>
        </w:rPr>
        <w:tab/>
      </w:r>
      <w:r>
        <w:rPr>
          <w:rStyle w:val="34"/>
          <w:rFonts w:hint="eastAsia"/>
        </w:rPr>
        <w:t>6</w:t>
      </w:r>
    </w:p>
    <w:p w14:paraId="28D8D845">
      <w:pPr>
        <w:pStyle w:val="20"/>
        <w:rPr>
          <w:rStyle w:val="34"/>
        </w:rPr>
      </w:pPr>
      <w:r>
        <w:fldChar w:fldCharType="begin"/>
      </w:r>
      <w:r>
        <w:instrText xml:space="preserve"> HYPERLINK \l "_Toc236682858" </w:instrText>
      </w:r>
      <w:r>
        <w:fldChar w:fldCharType="separate"/>
      </w:r>
      <w:r>
        <w:rPr>
          <w:rStyle w:val="34"/>
        </w:rPr>
        <w:t>9 人工智能社会责任</w:t>
      </w:r>
      <w:r>
        <w:rPr>
          <w:rStyle w:val="34"/>
          <w:rFonts w:hint="eastAsia"/>
        </w:rPr>
        <w:tab/>
      </w:r>
      <w:r>
        <w:rPr>
          <w:rStyle w:val="34"/>
          <w:rFonts w:hint="eastAsia"/>
        </w:rPr>
        <w:t>7</w:t>
      </w:r>
      <w:r>
        <w:rPr>
          <w:rStyle w:val="34"/>
          <w:rFonts w:hint="eastAsia"/>
        </w:rPr>
        <w:fldChar w:fldCharType="end"/>
      </w:r>
    </w:p>
    <w:p w14:paraId="21ED96C6">
      <w:pPr>
        <w:pStyle w:val="20"/>
        <w:ind w:firstLine="210" w:firstLineChars="100"/>
        <w:rPr>
          <w:rStyle w:val="34"/>
        </w:rPr>
      </w:pPr>
      <w:r>
        <w:rPr>
          <w:rStyle w:val="34"/>
        </w:rPr>
        <w:t>9.1 概述</w:t>
      </w:r>
      <w:r>
        <w:rPr>
          <w:rStyle w:val="34"/>
        </w:rPr>
        <w:tab/>
      </w:r>
      <w:r>
        <w:rPr>
          <w:rStyle w:val="34"/>
          <w:rFonts w:hint="eastAsia"/>
        </w:rPr>
        <w:t>7</w:t>
      </w:r>
    </w:p>
    <w:p w14:paraId="32BDFD40">
      <w:pPr>
        <w:pStyle w:val="20"/>
        <w:ind w:firstLine="210" w:firstLineChars="100"/>
        <w:rPr>
          <w:rStyle w:val="34"/>
        </w:rPr>
      </w:pPr>
      <w:r>
        <w:rPr>
          <w:rStyle w:val="34"/>
        </w:rPr>
        <w:t xml:space="preserve">9.2 </w:t>
      </w:r>
      <w:r>
        <w:rPr>
          <w:rStyle w:val="34"/>
          <w:rFonts w:hint="eastAsia"/>
        </w:rPr>
        <w:t>规范与风险责任</w:t>
      </w:r>
      <w:r>
        <w:rPr>
          <w:rStyle w:val="34"/>
        </w:rPr>
        <w:tab/>
      </w:r>
      <w:r>
        <w:rPr>
          <w:rStyle w:val="34"/>
        </w:rPr>
        <w:t>7</w:t>
      </w:r>
    </w:p>
    <w:p w14:paraId="3DA9597D">
      <w:pPr>
        <w:pStyle w:val="20"/>
        <w:ind w:firstLine="210" w:firstLineChars="100"/>
        <w:rPr>
          <w:rStyle w:val="34"/>
        </w:rPr>
      </w:pPr>
      <w:r>
        <w:rPr>
          <w:rStyle w:val="34"/>
        </w:rPr>
        <w:t xml:space="preserve">9.3 </w:t>
      </w:r>
      <w:r>
        <w:rPr>
          <w:rStyle w:val="34"/>
          <w:rFonts w:hint="eastAsia"/>
        </w:rPr>
        <w:t>人本与社会责任</w:t>
      </w:r>
      <w:r>
        <w:rPr>
          <w:rStyle w:val="34"/>
        </w:rPr>
        <w:tab/>
      </w:r>
      <w:r>
        <w:rPr>
          <w:rStyle w:val="34"/>
        </w:rPr>
        <w:t>7</w:t>
      </w:r>
    </w:p>
    <w:p w14:paraId="7F44F4CE">
      <w:pPr>
        <w:pStyle w:val="20"/>
        <w:rPr>
          <w:rStyle w:val="34"/>
        </w:rPr>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linePitch="312" w:charSpace="0"/>
        </w:sectPr>
      </w:pPr>
      <w:r>
        <w:rPr>
          <w:rStyle w:val="34"/>
        </w:rPr>
        <w:fldChar w:fldCharType="end"/>
      </w:r>
    </w:p>
    <w:bookmarkEnd w:id="21"/>
    <w:p w14:paraId="1370746E">
      <w:pPr>
        <w:pStyle w:val="236"/>
      </w:pPr>
      <w:bookmarkStart w:id="24" w:name="_Toc236682849"/>
      <w:bookmarkStart w:id="25" w:name="BookMark2"/>
      <w:r>
        <w:rPr>
          <w:rFonts w:hint="eastAsia"/>
        </w:rPr>
        <w:t>前    言</w:t>
      </w:r>
      <w:bookmarkEnd w:id="24"/>
    </w:p>
    <w:bookmarkEnd w:id="22"/>
    <w:bookmarkEnd w:id="23"/>
    <w:p w14:paraId="5C2F6186">
      <w:pPr>
        <w:pStyle w:val="59"/>
        <w:ind w:firstLine="420"/>
      </w:pPr>
      <w:r>
        <w:rPr>
          <w:rFonts w:hint="eastAsia"/>
        </w:rPr>
        <w:t>本文件按照GB/T 1.1—2020《标准化工作导则  第1部分：标准化文件的结构和起草规则》的规定起草。</w:t>
      </w:r>
    </w:p>
    <w:p w14:paraId="20BD290C">
      <w:pPr>
        <w:pStyle w:val="59"/>
        <w:ind w:firstLine="420"/>
      </w:pPr>
      <w:r>
        <w:rPr>
          <w:rFonts w:hint="eastAsia"/>
        </w:rPr>
        <w:t>请注意本文件的某些内容可能涉及专利。本文件的发布机构不承担识别专利的责任。</w:t>
      </w:r>
    </w:p>
    <w:p w14:paraId="13DC8342">
      <w:pPr>
        <w:pStyle w:val="59"/>
        <w:ind w:firstLine="420"/>
      </w:pPr>
      <w:r>
        <w:rPr>
          <w:rFonts w:hint="eastAsia"/>
        </w:rPr>
        <w:t>本文件由浙江中医药大学提出。</w:t>
      </w:r>
    </w:p>
    <w:p w14:paraId="0DA442E9">
      <w:pPr>
        <w:pStyle w:val="59"/>
        <w:ind w:firstLine="420"/>
      </w:pPr>
      <w:r>
        <w:rPr>
          <w:rFonts w:hint="eastAsia"/>
        </w:rPr>
        <w:t>本文件由中国中医药研究促进会归口。</w:t>
      </w:r>
    </w:p>
    <w:p w14:paraId="34F4FD4C">
      <w:pPr>
        <w:pStyle w:val="59"/>
        <w:ind w:firstLine="420"/>
      </w:pPr>
      <w:r>
        <w:rPr>
          <w:rFonts w:hint="eastAsia"/>
        </w:rPr>
        <w:t>本文件起草单位：</w:t>
      </w:r>
      <w:bookmarkEnd w:id="25"/>
      <w:bookmarkStart w:id="26" w:name="BookMark4"/>
      <w:r>
        <w:rPr>
          <w:rFonts w:hint="eastAsia"/>
        </w:rPr>
        <w:t>浙江中医药大学、中国中医药研究促进会、</w:t>
      </w:r>
      <w:r>
        <w:t>赛尔网络有限公司浙江分公司</w:t>
      </w:r>
    </w:p>
    <w:p w14:paraId="50DF1F34">
      <w:pPr>
        <w:pStyle w:val="59"/>
        <w:ind w:firstLine="420"/>
        <w:rPr>
          <w:rFonts w:hint="eastAsia"/>
        </w:rPr>
      </w:pPr>
      <w:r>
        <w:rPr>
          <w:rFonts w:hint="eastAsia"/>
        </w:rPr>
        <w:t>本文件主要起草人：黄文秀，李懿、金聪伟、李志敏、高武、王光然、王延隆、石森林、荣超、王健庆、季旭明、刘淑婧、胡彧、冯亚宁、郭莉琳、金伟、赵鸣、罗杰、钟铁城、谢军、杨伟吉、傅斌、</w:t>
      </w:r>
      <w:r>
        <w:t>瞿溢谦</w:t>
      </w:r>
      <w:r>
        <w:rPr>
          <w:rFonts w:hint="eastAsia"/>
        </w:rPr>
        <w:t>、林树元、陈昱宁、王瀛、李增图、朱芳、诸青苗、王晨烨</w:t>
      </w:r>
    </w:p>
    <w:p w14:paraId="4C1A52E1">
      <w:pPr>
        <w:sectPr>
          <w:pgSz w:w="11906" w:h="16838"/>
          <w:pgMar w:top="1928" w:right="1134" w:bottom="1134" w:left="1134" w:header="1418" w:footer="1134" w:gutter="284"/>
          <w:pgNumType w:fmt="upperRoman"/>
          <w:cols w:space="425" w:num="1"/>
          <w:formProt w:val="0"/>
          <w:docGrid w:linePitch="312" w:charSpace="0"/>
        </w:sectPr>
      </w:pPr>
    </w:p>
    <w:bookmarkEnd w:id="26"/>
    <w:sdt>
      <w:sdtPr>
        <w:rPr>
          <w:rFonts w:ascii="宋体" w:hAnsi="Times New Roman" w:eastAsia="宋体"/>
          <w:kern w:val="0"/>
          <w:sz w:val="21"/>
          <w:szCs w:val="20"/>
        </w:rPr>
        <w:tag w:val="NEW_STAND_NAME"/>
        <w:id w:val="595910757"/>
        <w:lock w:val="sdtLocked"/>
        <w:placeholder>
          <w:docPart w:val="96F06A3F579142B284F155CC161193BE"/>
        </w:placeholder>
      </w:sdtPr>
      <w:sdtEndPr>
        <w:rPr>
          <w:rFonts w:ascii="宋体" w:hAnsi="Times New Roman" w:eastAsia="宋体"/>
          <w:kern w:val="0"/>
          <w:sz w:val="21"/>
          <w:szCs w:val="20"/>
        </w:rPr>
      </w:sdtEndPr>
      <w:sdtContent>
        <w:sdt>
          <w:sdtPr>
            <w:tag w:val="NEW_STAND_NAME"/>
            <w:id w:val="147478350"/>
            <w:lock w:val="sdtLocked"/>
            <w:placeholder>
              <w:docPart w:val="{f13d85b2-02ed-471c-82ae-c7d278e4031b}"/>
            </w:placeholder>
          </w:sdtPr>
          <w:sdtContent>
            <w:p w14:paraId="28EA53A3">
              <w:pPr>
                <w:pStyle w:val="180"/>
                <w:pageBreakBefore/>
                <w:spacing w:before="2" w:beforeLines="1" w:after="528" w:afterLines="220"/>
                <w:rPr>
                  <w:rFonts w:hint="eastAsia"/>
                </w:rPr>
              </w:pPr>
              <w:bookmarkStart w:id="27" w:name="NEW_STAND_NAME"/>
              <w:r>
                <w:rPr>
                  <w:rFonts w:hint="eastAsia"/>
                </w:rPr>
                <w:t>中医药大学生人工智能素养</w:t>
              </w:r>
            </w:p>
          </w:sdtContent>
        </w:sdt>
        <w:bookmarkEnd w:id="27"/>
        <w:p w14:paraId="40975C25">
          <w:pPr>
            <w:pStyle w:val="107"/>
            <w:spacing w:before="240" w:after="240"/>
          </w:pPr>
          <w:bookmarkStart w:id="28" w:name="_Toc24884211"/>
          <w:bookmarkStart w:id="29" w:name="_Toc24884218"/>
          <w:bookmarkStart w:id="30" w:name="_Toc26986530"/>
          <w:bookmarkStart w:id="31" w:name="_Toc26718930"/>
          <w:bookmarkStart w:id="32" w:name="_Toc17233325"/>
          <w:bookmarkStart w:id="33" w:name="_Toc97192964"/>
          <w:bookmarkStart w:id="34" w:name="_Toc191654584"/>
          <w:bookmarkStart w:id="35" w:name="_Toc236682850"/>
          <w:bookmarkStart w:id="36" w:name="_Toc26648465"/>
          <w:bookmarkStart w:id="37" w:name="_Toc26986771"/>
          <w:bookmarkStart w:id="38" w:name="_Toc191654621"/>
          <w:bookmarkStart w:id="39" w:name="_Toc17233333"/>
          <w:r>
            <w:rPr>
              <w:rFonts w:hint="eastAsia"/>
            </w:rPr>
            <w:t>范围</w:t>
          </w:r>
          <w:bookmarkEnd w:id="28"/>
          <w:bookmarkEnd w:id="29"/>
          <w:bookmarkEnd w:id="30"/>
          <w:bookmarkEnd w:id="31"/>
          <w:bookmarkEnd w:id="32"/>
          <w:bookmarkEnd w:id="33"/>
          <w:bookmarkEnd w:id="34"/>
          <w:bookmarkEnd w:id="35"/>
          <w:bookmarkEnd w:id="36"/>
          <w:bookmarkEnd w:id="37"/>
          <w:bookmarkEnd w:id="38"/>
          <w:bookmarkEnd w:id="39"/>
        </w:p>
        <w:p w14:paraId="09B6DFAC">
          <w:pPr>
            <w:pStyle w:val="59"/>
            <w:ind w:firstLine="420"/>
          </w:pPr>
          <w:bookmarkStart w:id="40" w:name="_Toc24884219"/>
          <w:bookmarkStart w:id="41" w:name="_Toc26648466"/>
          <w:bookmarkStart w:id="42" w:name="_Toc24884212"/>
          <w:bookmarkStart w:id="43" w:name="_Toc17233326"/>
          <w:bookmarkStart w:id="44" w:name="_Toc17233334"/>
          <w:r>
            <w:rPr>
              <w:rFonts w:hint="eastAsia"/>
            </w:rPr>
            <w:t>本文件确立了中医药大学生人工智能素养框架，包括人工智能意识、人工智能知识与技能、人工智能思维、人工智能应用、人工智能社会责任。</w:t>
          </w:r>
        </w:p>
        <w:p w14:paraId="27EF12EB">
          <w:pPr>
            <w:pStyle w:val="59"/>
            <w:ind w:firstLine="420"/>
          </w:pPr>
          <w:r>
            <w:t>本文件适用于高等院校中医药类专业大学生人工智能素养的培养与评价，可为相关教育教学活动提供依据。</w:t>
          </w:r>
        </w:p>
        <w:p w14:paraId="31D3B8F0">
          <w:pPr>
            <w:pStyle w:val="107"/>
            <w:spacing w:before="240" w:after="240"/>
          </w:pPr>
          <w:bookmarkStart w:id="45" w:name="_Toc191654622"/>
          <w:bookmarkStart w:id="46" w:name="_Toc97192965"/>
          <w:bookmarkStart w:id="47" w:name="_Toc26718931"/>
          <w:bookmarkStart w:id="48" w:name="_Toc26986772"/>
          <w:bookmarkStart w:id="49" w:name="_Toc26986531"/>
          <w:bookmarkStart w:id="50" w:name="_Toc236682851"/>
          <w:bookmarkStart w:id="51" w:name="_Toc191654585"/>
          <w:r>
            <w:rPr>
              <w:rFonts w:hint="eastAsia"/>
            </w:rPr>
            <w:t>规范性引用文件</w:t>
          </w:r>
          <w:bookmarkEnd w:id="40"/>
          <w:bookmarkEnd w:id="41"/>
          <w:bookmarkEnd w:id="42"/>
          <w:bookmarkEnd w:id="43"/>
          <w:bookmarkEnd w:id="44"/>
          <w:bookmarkEnd w:id="45"/>
          <w:bookmarkEnd w:id="46"/>
          <w:bookmarkEnd w:id="47"/>
          <w:bookmarkEnd w:id="48"/>
          <w:bookmarkEnd w:id="49"/>
          <w:bookmarkEnd w:id="50"/>
          <w:bookmarkEnd w:id="51"/>
        </w:p>
        <w:p w14:paraId="226AA954">
          <w:pPr>
            <w:pStyle w:val="59"/>
            <w:ind w:firstLine="420"/>
            <w:rPr>
              <w:rFonts w:hint="eastAsia" w:hAnsi="宋体" w:cs="宋体"/>
            </w:rPr>
          </w:pPr>
          <w:bookmarkStart w:id="52" w:name="_Toc191654586"/>
          <w:bookmarkStart w:id="53" w:name="_Toc97192966"/>
          <w:bookmarkStart w:id="54" w:name="_Toc191654623"/>
          <w:r>
            <w:rPr>
              <w:rFonts w:hint="eastAsia"/>
            </w:rPr>
            <w:t>本文件没有规范性引用文件。</w:t>
          </w:r>
        </w:p>
        <w:p w14:paraId="70EEC2B2">
          <w:pPr>
            <w:pStyle w:val="107"/>
            <w:spacing w:before="240" w:after="240"/>
          </w:pPr>
          <w:bookmarkStart w:id="55" w:name="_Toc236682852"/>
          <w:r>
            <w:rPr>
              <w:rFonts w:hint="eastAsia"/>
              <w:szCs w:val="21"/>
            </w:rPr>
            <w:t>术语和定义</w:t>
          </w:r>
          <w:bookmarkEnd w:id="52"/>
          <w:bookmarkEnd w:id="53"/>
          <w:bookmarkEnd w:id="54"/>
          <w:bookmarkEnd w:id="55"/>
        </w:p>
        <w:sdt>
          <w:sdtPr>
            <w:id w:val="147459218"/>
            <w:placeholder>
              <w:docPart w:val="{2a1eabfc-58e0-42a2-90d2-d724ea6cdf45}"/>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12B015F0">
              <w:pPr>
                <w:pStyle w:val="59"/>
                <w:ind w:firstLine="420"/>
              </w:pPr>
              <w:bookmarkStart w:id="56" w:name="_Toc26986532"/>
              <w:bookmarkEnd w:id="56"/>
              <w:r>
                <w:t>下列术语和定义适用于本文件。</w:t>
              </w:r>
            </w:p>
          </w:sdtContent>
        </w:sdt>
        <w:p w14:paraId="084641A0">
          <w:pPr>
            <w:pStyle w:val="108"/>
            <w:spacing w:before="120" w:after="120"/>
            <w:outlineLvl w:val="9"/>
            <w:rPr>
              <w:rFonts w:hint="eastAsia" w:hAnsi="黑体"/>
            </w:rPr>
          </w:pPr>
          <w:bookmarkStart w:id="57" w:name="_Toc191654587"/>
          <w:bookmarkEnd w:id="57"/>
        </w:p>
        <w:p w14:paraId="0A505BC3">
          <w:pPr>
            <w:pStyle w:val="59"/>
            <w:ind w:firstLine="420"/>
            <w:rPr>
              <w:rFonts w:hint="eastAsia" w:ascii="黑体" w:hAnsi="黑体" w:eastAsia="黑体"/>
            </w:rPr>
          </w:pPr>
          <w:r>
            <w:rPr>
              <w:vanish/>
            </w:rPr>
            <w:fldChar w:fldCharType="begin"/>
          </w:r>
          <w:r>
            <w:rPr>
              <w:vanish/>
            </w:rPr>
            <w:instrText xml:space="preserve"> TC "3.1 中医药大学生" \l 2 </w:instrText>
          </w:r>
          <w:r>
            <w:rPr>
              <w:vanish/>
            </w:rPr>
            <w:fldChar w:fldCharType="end"/>
          </w:r>
          <w:r>
            <w:rPr>
              <w:rFonts w:hint="eastAsia" w:ascii="黑体" w:hAnsi="黑体" w:eastAsia="黑体"/>
              <w:lang w:eastAsia="zh"/>
            </w:rPr>
            <w:t>中医药大学生</w:t>
          </w:r>
          <w:r>
            <w:rPr>
              <w:rFonts w:hint="eastAsia" w:ascii="黑体" w:hAnsi="黑体" w:eastAsia="黑体"/>
            </w:rPr>
            <w:t xml:space="preserve"> </w:t>
          </w:r>
          <w:r>
            <w:rPr>
              <w:rFonts w:ascii="黑体" w:hAnsi="黑体" w:eastAsia="黑体"/>
              <w:lang w:eastAsia="zh"/>
            </w:rPr>
            <w:t>traditional Chinese medicine</w:t>
          </w:r>
          <w:r>
            <w:rPr>
              <w:rFonts w:hint="eastAsia" w:ascii="黑体" w:hAnsi="黑体" w:eastAsia="黑体"/>
            </w:rPr>
            <w:t xml:space="preserve"> </w:t>
          </w:r>
          <w:r>
            <w:rPr>
              <w:rFonts w:hint="eastAsia" w:ascii="黑体" w:hAnsi="黑体" w:eastAsia="黑体"/>
              <w:lang w:eastAsia="zh"/>
            </w:rPr>
            <w:t>student</w:t>
          </w:r>
        </w:p>
        <w:p w14:paraId="47DD0A00">
          <w:pPr>
            <w:pStyle w:val="59"/>
            <w:ind w:firstLine="420"/>
          </w:pPr>
          <w:r>
            <w:t>在中医药高等院校或开办中医药类专业的其他高等学校中，接受全日制中医学类、中药学类、中西医结合类教育的在校学生</w:t>
          </w:r>
          <w:r>
            <w:rPr>
              <w:rFonts w:hint="eastAsia"/>
            </w:rPr>
            <w:t>。</w:t>
          </w:r>
        </w:p>
        <w:p w14:paraId="05D58AC1">
          <w:pPr>
            <w:pStyle w:val="108"/>
            <w:spacing w:before="120" w:after="120"/>
            <w:outlineLvl w:val="9"/>
            <w:rPr>
              <w:rFonts w:hint="eastAsia" w:hAnsi="黑体"/>
            </w:rPr>
          </w:pPr>
        </w:p>
        <w:p w14:paraId="6C38BF0A">
          <w:pPr>
            <w:pStyle w:val="59"/>
            <w:ind w:firstLine="420"/>
            <w:rPr>
              <w:rFonts w:hint="eastAsia" w:ascii="黑体" w:hAnsi="黑体" w:eastAsia="黑体"/>
            </w:rPr>
          </w:pPr>
          <w:r>
            <w:rPr>
              <w:vanish/>
            </w:rPr>
            <w:fldChar w:fldCharType="begin"/>
          </w:r>
          <w:r>
            <w:rPr>
              <w:vanish/>
            </w:rPr>
            <w:instrText xml:space="preserve"> TC "3.2 中医药大学生人工智能素养" \l 2 </w:instrText>
          </w:r>
          <w:r>
            <w:rPr>
              <w:vanish/>
            </w:rPr>
            <w:fldChar w:fldCharType="end"/>
          </w:r>
          <w:r>
            <w:rPr>
              <w:rFonts w:hint="eastAsia" w:ascii="黑体" w:hAnsi="黑体" w:eastAsia="黑体"/>
            </w:rPr>
            <w:t xml:space="preserve">中医药大学生人工智能素养 artificial intelligence literacy of traditional Chinese medicine student </w:t>
          </w:r>
        </w:p>
        <w:p w14:paraId="5805D3EC">
          <w:pPr>
            <w:pStyle w:val="59"/>
            <w:ind w:firstLine="420"/>
          </w:pPr>
          <w:r>
            <w:t>中医药大学生为适应人工智能技术发展，在学习、科研和生活中恰当理解、选择、使用和评价智能技术资源，分析和解决相关问题，并进行批判思考、创新应用和负责任实践所具备的综合素养</w:t>
          </w:r>
          <w:r>
            <w:rPr>
              <w:rFonts w:hint="eastAsia"/>
            </w:rPr>
            <w:t>。</w:t>
          </w:r>
        </w:p>
        <w:p w14:paraId="729FF726">
          <w:pPr>
            <w:pStyle w:val="108"/>
            <w:spacing w:before="120" w:after="120"/>
            <w:outlineLvl w:val="9"/>
            <w:rPr>
              <w:rFonts w:hint="eastAsia" w:hAnsi="黑体"/>
            </w:rPr>
          </w:pPr>
        </w:p>
        <w:p w14:paraId="7DD954A7">
          <w:pPr>
            <w:pStyle w:val="59"/>
            <w:ind w:firstLine="420"/>
            <w:rPr>
              <w:rFonts w:hint="eastAsia" w:ascii="黑体" w:hAnsi="黑体" w:eastAsia="黑体"/>
            </w:rPr>
          </w:pPr>
          <w:r>
            <w:rPr>
              <w:vanish/>
            </w:rPr>
            <w:fldChar w:fldCharType="begin"/>
          </w:r>
          <w:r>
            <w:rPr>
              <w:vanish/>
            </w:rPr>
            <w:instrText xml:space="preserve"> TC "3.3 智能技术资源" \l 2 </w:instrText>
          </w:r>
          <w:r>
            <w:rPr>
              <w:vanish/>
            </w:rPr>
            <w:fldChar w:fldCharType="end"/>
          </w:r>
          <w:r>
            <w:rPr>
              <w:rFonts w:hint="eastAsia" w:ascii="黑体" w:hAnsi="黑体" w:eastAsia="黑体"/>
            </w:rPr>
            <w:t>智能技术资源</w:t>
          </w:r>
          <w:r>
            <w:rPr>
              <w:rFonts w:ascii="黑体" w:hAnsi="黑体" w:eastAsia="黑体"/>
            </w:rPr>
            <w:t xml:space="preserve"> intelligen</w:t>
          </w:r>
          <w:r>
            <w:rPr>
              <w:rFonts w:hint="eastAsia" w:ascii="黑体" w:hAnsi="黑体" w:eastAsia="黑体"/>
            </w:rPr>
            <w:t>ce</w:t>
          </w:r>
          <w:r>
            <w:rPr>
              <w:rFonts w:ascii="黑体" w:hAnsi="黑体" w:eastAsia="黑体"/>
              <w:lang w:eastAsia="zh"/>
            </w:rPr>
            <w:t xml:space="preserve"> technology resource</w:t>
          </w:r>
        </w:p>
        <w:p w14:paraId="15918195">
          <w:pPr>
            <w:pStyle w:val="59"/>
            <w:ind w:firstLine="420"/>
            <w:rPr>
              <w:lang w:eastAsia="zh"/>
            </w:rPr>
          </w:pPr>
          <w:r>
            <w:rPr>
              <w:lang w:eastAsia="zh"/>
            </w:rPr>
            <w:t>在</w:t>
          </w:r>
          <w:r>
            <w:rPr>
              <w:rFonts w:hint="eastAsia"/>
              <w:lang w:eastAsia="zh"/>
            </w:rPr>
            <w:t>中医药学习、科研和生活</w:t>
          </w:r>
          <w:r>
            <w:rPr>
              <w:lang w:eastAsia="zh"/>
            </w:rPr>
            <w:t xml:space="preserve">中使用的人工智能相关技术、产品与服务的统称。 </w:t>
          </w:r>
        </w:p>
        <w:p w14:paraId="0A24EECC">
          <w:pPr>
            <w:pStyle w:val="59"/>
            <w:ind w:left="420" w:leftChars="200" w:firstLine="0" w:firstLineChars="0"/>
            <w:rPr>
              <w:sz w:val="18"/>
              <w:szCs w:val="18"/>
              <w:lang w:eastAsia="zh"/>
            </w:rPr>
          </w:pPr>
          <w:r>
            <w:rPr>
              <w:rFonts w:hint="eastAsia" w:ascii="黑体" w:hAnsi="黑体" w:eastAsia="黑体" w:cs="黑体"/>
              <w:sz w:val="18"/>
              <w:szCs w:val="18"/>
            </w:rPr>
            <w:t>示例：智能化</w:t>
          </w:r>
          <w:r>
            <w:rPr>
              <w:sz w:val="18"/>
              <w:szCs w:val="18"/>
              <w:lang w:eastAsia="zh"/>
            </w:rPr>
            <w:t>设备、软件、平台、模型、智能体等</w:t>
          </w:r>
          <w:r>
            <w:rPr>
              <w:rFonts w:hint="eastAsia"/>
              <w:sz w:val="18"/>
              <w:szCs w:val="18"/>
              <w:lang w:eastAsia="zh"/>
            </w:rPr>
            <w:t>。</w:t>
          </w:r>
        </w:p>
        <w:p w14:paraId="45E9CE64">
          <w:pPr>
            <w:pStyle w:val="108"/>
            <w:spacing w:before="120" w:after="120"/>
            <w:outlineLvl w:val="9"/>
            <w:rPr>
              <w:rFonts w:hint="eastAsia" w:hAnsi="黑体"/>
            </w:rPr>
          </w:pPr>
        </w:p>
        <w:p w14:paraId="359FBAB4">
          <w:pPr>
            <w:pStyle w:val="59"/>
            <w:ind w:firstLine="420"/>
            <w:rPr>
              <w:rFonts w:hint="eastAsia" w:ascii="黑体" w:hAnsi="黑体" w:eastAsia="黑体"/>
            </w:rPr>
          </w:pPr>
          <w:r>
            <w:rPr>
              <w:vanish/>
            </w:rPr>
            <w:fldChar w:fldCharType="begin"/>
          </w:r>
          <w:r>
            <w:rPr>
              <w:vanish/>
            </w:rPr>
            <w:instrText xml:space="preserve"> TC "3.4 智能体" \l 2 </w:instrText>
          </w:r>
          <w:r>
            <w:rPr>
              <w:vanish/>
            </w:rPr>
            <w:fldChar w:fldCharType="end"/>
          </w:r>
          <w:r>
            <w:rPr>
              <w:rFonts w:hint="eastAsia" w:ascii="黑体" w:hAnsi="黑体" w:eastAsia="黑体"/>
            </w:rPr>
            <w:t>智能体  agent</w:t>
          </w:r>
        </w:p>
        <w:p w14:paraId="4BCA6634">
          <w:pPr>
            <w:pStyle w:val="59"/>
            <w:ind w:left="420" w:leftChars="200" w:firstLine="0" w:firstLineChars="0"/>
            <w:rPr>
              <w:rFonts w:hint="eastAsia" w:hAnsi="宋体" w:cs="宋体"/>
              <w:lang w:eastAsia="zh"/>
            </w:rPr>
          </w:pPr>
          <w:r>
            <w:rPr>
              <w:rFonts w:hint="eastAsia" w:hAnsi="宋体" w:cs="宋体"/>
              <w:lang w:eastAsia="zh"/>
            </w:rPr>
            <w:t>能够感知环境并采取行动以实现特定目标的代理体。</w:t>
          </w:r>
        </w:p>
        <w:p w14:paraId="2EBFB86D">
          <w:pPr>
            <w:pStyle w:val="59"/>
            <w:ind w:left="420" w:leftChars="200" w:firstLine="0" w:firstLineChars="0"/>
            <w:rPr>
              <w:rFonts w:hint="eastAsia" w:hAnsi="宋体" w:cs="宋体"/>
            </w:rPr>
          </w:pPr>
          <w:r>
            <w:rPr>
              <w:rFonts w:hint="eastAsia" w:ascii="黑体" w:hAnsi="黑体" w:eastAsia="黑体" w:cs="黑体"/>
              <w:sz w:val="18"/>
              <w:szCs w:val="18"/>
            </w:rPr>
            <w:t>注：</w:t>
          </w:r>
          <w:r>
            <w:rPr>
              <w:rFonts w:hint="eastAsia"/>
              <w:sz w:val="18"/>
              <w:szCs w:val="18"/>
              <w:lang w:eastAsia="zh"/>
            </w:rPr>
            <w:t>智能体可以是</w:t>
          </w:r>
          <w:r>
            <w:fldChar w:fldCharType="begin"/>
          </w:r>
          <w:r>
            <w:instrText xml:space="preserve"> HYPERLINK "https://baike.baidu.com/item/%E8%BD%AF%E4%BB%B6/12053?fromModule=lemma_inlink" \t "_blank" </w:instrText>
          </w:r>
          <w:r>
            <w:fldChar w:fldCharType="separate"/>
          </w:r>
          <w:r>
            <w:rPr>
              <w:sz w:val="18"/>
              <w:szCs w:val="18"/>
              <w:lang w:eastAsia="zh"/>
            </w:rPr>
            <w:t>软件</w:t>
          </w:r>
          <w:r>
            <w:rPr>
              <w:sz w:val="18"/>
              <w:szCs w:val="18"/>
              <w:lang w:eastAsia="zh"/>
            </w:rPr>
            <w:fldChar w:fldCharType="end"/>
          </w:r>
          <w:r>
            <w:rPr>
              <w:sz w:val="18"/>
              <w:szCs w:val="18"/>
              <w:lang w:eastAsia="zh"/>
            </w:rPr>
            <w:t>、</w:t>
          </w:r>
          <w:r>
            <w:fldChar w:fldCharType="begin"/>
          </w:r>
          <w:r>
            <w:instrText xml:space="preserve"> HYPERLINK "https://baike.baidu.com/item/%E7%A1%AC%E4%BB%B6/479446?fromModule=lemma_inlink" \t "_blank" </w:instrText>
          </w:r>
          <w:r>
            <w:fldChar w:fldCharType="separate"/>
          </w:r>
          <w:r>
            <w:rPr>
              <w:sz w:val="18"/>
              <w:szCs w:val="18"/>
              <w:lang w:eastAsia="zh"/>
            </w:rPr>
            <w:t>硬件</w:t>
          </w:r>
          <w:r>
            <w:rPr>
              <w:sz w:val="18"/>
              <w:szCs w:val="18"/>
              <w:lang w:eastAsia="zh"/>
            </w:rPr>
            <w:fldChar w:fldCharType="end"/>
          </w:r>
          <w:r>
            <w:rPr>
              <w:sz w:val="18"/>
              <w:szCs w:val="18"/>
              <w:lang w:eastAsia="zh"/>
            </w:rPr>
            <w:t>或</w:t>
          </w:r>
          <w:r>
            <w:fldChar w:fldCharType="begin"/>
          </w:r>
          <w:r>
            <w:instrText xml:space="preserve"> HYPERLINK "https://baike.baidu.com/item/%E7%B3%BB%E7%BB%9F/479832?fromModule=lemma_inlink" \t "_blank" </w:instrText>
          </w:r>
          <w:r>
            <w:fldChar w:fldCharType="separate"/>
          </w:r>
          <w:r>
            <w:rPr>
              <w:sz w:val="18"/>
              <w:szCs w:val="18"/>
              <w:lang w:eastAsia="zh"/>
            </w:rPr>
            <w:t>系统</w:t>
          </w:r>
          <w:r>
            <w:rPr>
              <w:sz w:val="18"/>
              <w:szCs w:val="18"/>
              <w:lang w:eastAsia="zh"/>
            </w:rPr>
            <w:fldChar w:fldCharType="end"/>
          </w:r>
          <w:r>
            <w:rPr>
              <w:sz w:val="18"/>
              <w:szCs w:val="18"/>
              <w:lang w:eastAsia="zh"/>
            </w:rPr>
            <w:t>，具备自主性、适应性和交互能力</w:t>
          </w:r>
          <w:r>
            <w:rPr>
              <w:rFonts w:hint="eastAsia"/>
              <w:sz w:val="18"/>
              <w:szCs w:val="18"/>
            </w:rPr>
            <w:t>，能感知环境中的变化。</w:t>
          </w:r>
        </w:p>
        <w:p w14:paraId="0C12F7C8">
          <w:pPr>
            <w:pStyle w:val="108"/>
            <w:spacing w:before="120" w:after="120"/>
            <w:outlineLvl w:val="9"/>
            <w:rPr>
              <w:rFonts w:hint="eastAsia" w:hAnsi="黑体"/>
            </w:rPr>
          </w:pPr>
        </w:p>
        <w:p w14:paraId="4EB86063">
          <w:pPr>
            <w:pStyle w:val="59"/>
            <w:ind w:firstLine="420"/>
            <w:rPr>
              <w:rFonts w:hint="eastAsia" w:ascii="黑体" w:hAnsi="黑体" w:eastAsia="黑体"/>
            </w:rPr>
          </w:pPr>
          <w:r>
            <w:rPr>
              <w:vanish/>
            </w:rPr>
            <w:fldChar w:fldCharType="begin"/>
          </w:r>
          <w:r>
            <w:rPr>
              <w:vanish/>
            </w:rPr>
            <w:instrText xml:space="preserve"> TC "3.5 知识图谱" \l 2 </w:instrText>
          </w:r>
          <w:r>
            <w:rPr>
              <w:vanish/>
            </w:rPr>
            <w:fldChar w:fldCharType="end"/>
          </w:r>
          <w:r>
            <w:rPr>
              <w:rFonts w:hint="eastAsia" w:ascii="黑体" w:hAnsi="黑体" w:eastAsia="黑体"/>
            </w:rPr>
            <w:t xml:space="preserve">知识图谱  </w:t>
          </w:r>
          <w:r>
            <w:rPr>
              <w:rFonts w:ascii="黑体" w:hAnsi="黑体" w:eastAsia="黑体"/>
            </w:rPr>
            <w:t>knowledge graph</w:t>
          </w:r>
        </w:p>
        <w:p w14:paraId="1256A0AA">
          <w:pPr>
            <w:pStyle w:val="59"/>
            <w:ind w:firstLine="420"/>
            <w:rPr>
              <w:rFonts w:hint="eastAsia" w:hAnsi="宋体" w:cs="宋体"/>
            </w:rPr>
          </w:pPr>
          <w:r>
            <w:rPr>
              <w:rFonts w:hint="eastAsia" w:hAnsi="宋体" w:cs="宋体"/>
            </w:rPr>
            <w:t>以结构化形式描述的知识元素及其联系的集合。</w:t>
          </w:r>
        </w:p>
        <w:p w14:paraId="205E6669">
          <w:pPr>
            <w:pStyle w:val="59"/>
            <w:ind w:firstLine="420"/>
            <w:rPr>
              <w:rFonts w:hint="eastAsia" w:hAnsi="宋体" w:cs="宋体"/>
            </w:rPr>
          </w:pPr>
          <w:r>
            <w:rPr>
              <w:rFonts w:hint="eastAsia" w:hAnsi="宋体" w:cs="宋体"/>
              <w:lang w:eastAsia="zh"/>
            </w:rPr>
            <w:t>[来源：</w:t>
          </w:r>
          <w:r>
            <w:rPr>
              <w:rFonts w:hint="eastAsia" w:hAnsi="宋体" w:cs="宋体"/>
            </w:rPr>
            <w:t>GB/T 42131</w:t>
          </w:r>
          <w:r>
            <w:rPr>
              <w:rFonts w:hAnsi="宋体" w:cs="宋体"/>
            </w:rPr>
            <w:t>—</w:t>
          </w:r>
          <w:r>
            <w:rPr>
              <w:rFonts w:hint="eastAsia" w:hAnsi="宋体" w:cs="宋体"/>
            </w:rPr>
            <w:t>2022,3.6]</w:t>
          </w:r>
        </w:p>
        <w:p w14:paraId="608B9D03">
          <w:pPr>
            <w:pStyle w:val="108"/>
            <w:spacing w:before="120" w:after="120"/>
            <w:outlineLvl w:val="9"/>
            <w:rPr>
              <w:rFonts w:hint="eastAsia" w:hAnsi="黑体"/>
            </w:rPr>
          </w:pPr>
        </w:p>
        <w:p w14:paraId="6713783E">
          <w:pPr>
            <w:pStyle w:val="59"/>
            <w:ind w:firstLine="420"/>
            <w:rPr>
              <w:rFonts w:hint="eastAsia" w:ascii="黑体" w:hAnsi="黑体" w:eastAsia="黑体"/>
            </w:rPr>
          </w:pPr>
          <w:r>
            <w:rPr>
              <w:vanish/>
            </w:rPr>
            <w:fldChar w:fldCharType="begin"/>
          </w:r>
          <w:r>
            <w:rPr>
              <w:vanish/>
            </w:rPr>
            <w:instrText xml:space="preserve"> TC "3.6 大模型" \l 2 </w:instrText>
          </w:r>
          <w:r>
            <w:rPr>
              <w:vanish/>
            </w:rPr>
            <w:fldChar w:fldCharType="end"/>
          </w:r>
          <w:r>
            <w:rPr>
              <w:rFonts w:hint="eastAsia" w:ascii="黑体" w:hAnsi="黑体" w:eastAsia="黑体"/>
            </w:rPr>
            <w:t>大模型  large-scale model</w:t>
          </w:r>
        </w:p>
        <w:p w14:paraId="70F8E1E6">
          <w:pPr>
            <w:pStyle w:val="59"/>
            <w:ind w:firstLine="420"/>
            <w:rPr>
              <w:rFonts w:hint="eastAsia" w:hAnsi="宋体" w:cs="宋体"/>
            </w:rPr>
          </w:pPr>
          <w:r>
            <w:rPr>
              <w:rFonts w:hint="eastAsia" w:hAnsi="宋体" w:cs="宋体"/>
            </w:rPr>
            <w:t>大规模深度学习模型 large-scale deep learning model</w:t>
          </w:r>
        </w:p>
        <w:p w14:paraId="16FF2CAB">
          <w:pPr>
            <w:pStyle w:val="59"/>
            <w:ind w:firstLine="420"/>
          </w:pPr>
          <w:r>
            <w:rPr>
              <w:rFonts w:hint="eastAsia"/>
            </w:rPr>
            <w:t>基于海量数据训练得到，具有大规模参数量与复杂计算架构，能处理复杂任务，且具备一定泛化性的深度学习模型。</w:t>
          </w:r>
        </w:p>
        <w:p w14:paraId="56615631">
          <w:pPr>
            <w:pStyle w:val="59"/>
            <w:ind w:firstLine="420"/>
            <w:rPr>
              <w:rFonts w:hint="eastAsia" w:hAnsi="宋体" w:cs="宋体"/>
            </w:rPr>
          </w:pPr>
          <w:r>
            <w:rPr>
              <w:rFonts w:hint="eastAsia" w:hAnsi="宋体" w:cs="宋体"/>
              <w:lang w:eastAsia="zh"/>
            </w:rPr>
            <w:t>[来源：</w:t>
          </w:r>
          <w:r>
            <w:rPr>
              <w:rFonts w:hint="eastAsia" w:hAnsi="宋体" w:cs="宋体"/>
            </w:rPr>
            <w:t>GB/T 45288.1</w:t>
          </w:r>
          <w:r>
            <w:rPr>
              <w:rFonts w:hAnsi="宋体" w:cs="宋体"/>
            </w:rPr>
            <w:t>—</w:t>
          </w:r>
          <w:r>
            <w:rPr>
              <w:rFonts w:hint="eastAsia" w:hAnsi="宋体" w:cs="宋体"/>
            </w:rPr>
            <w:t>2025,3.1,有修改]</w:t>
          </w:r>
        </w:p>
        <w:p w14:paraId="6F3466DF">
          <w:pPr>
            <w:pStyle w:val="108"/>
            <w:spacing w:before="120" w:after="120"/>
            <w:outlineLvl w:val="9"/>
            <w:rPr>
              <w:rFonts w:hint="eastAsia" w:hAnsi="黑体"/>
            </w:rPr>
          </w:pPr>
        </w:p>
        <w:p w14:paraId="485B6762">
          <w:pPr>
            <w:pStyle w:val="59"/>
            <w:ind w:firstLine="420"/>
            <w:rPr>
              <w:rFonts w:hint="eastAsia" w:ascii="黑体" w:hAnsi="黑体" w:eastAsia="黑体"/>
            </w:rPr>
          </w:pPr>
          <w:r>
            <w:rPr>
              <w:vanish/>
            </w:rPr>
            <w:fldChar w:fldCharType="begin"/>
          </w:r>
          <w:r>
            <w:rPr>
              <w:vanish/>
            </w:rPr>
            <w:instrText xml:space="preserve"> TC "3.7 多模态人工智能" \l 2 </w:instrText>
          </w:r>
          <w:r>
            <w:rPr>
              <w:vanish/>
            </w:rPr>
            <w:fldChar w:fldCharType="end"/>
          </w:r>
          <w:r>
            <w:rPr>
              <w:rFonts w:ascii="黑体" w:hAnsi="黑体" w:eastAsia="黑体"/>
            </w:rPr>
            <w:t>多模态人工智能 multimodal artificial intelligence</w:t>
          </w:r>
        </w:p>
        <w:p w14:paraId="7599E381">
          <w:pPr>
            <w:pStyle w:val="59"/>
            <w:ind w:firstLine="420"/>
          </w:pPr>
          <w:r>
            <w:t>能对文本、图像、音频、视频、传感器信号等两种或两种以上数据模态进行联合处理、</w:t>
          </w:r>
          <w:r>
            <w:rPr>
              <w:rFonts w:hint="eastAsia"/>
            </w:rPr>
            <w:t>信息融合</w:t>
          </w:r>
          <w:r>
            <w:t>或内容生成的人工智能技术或系统。</w:t>
          </w:r>
        </w:p>
        <w:p w14:paraId="2BB9C1F4">
          <w:pPr>
            <w:pStyle w:val="108"/>
            <w:spacing w:before="120" w:after="120"/>
            <w:outlineLvl w:val="9"/>
            <w:rPr>
              <w:rFonts w:hint="eastAsia" w:hAnsi="黑体"/>
            </w:rPr>
          </w:pPr>
        </w:p>
        <w:p w14:paraId="10526B4F">
          <w:pPr>
            <w:pStyle w:val="59"/>
            <w:ind w:firstLine="420"/>
            <w:rPr>
              <w:rFonts w:hint="eastAsia" w:ascii="黑体" w:hAnsi="黑体" w:eastAsia="黑体"/>
            </w:rPr>
          </w:pPr>
          <w:r>
            <w:rPr>
              <w:vanish/>
            </w:rPr>
            <w:fldChar w:fldCharType="begin"/>
          </w:r>
          <w:r>
            <w:rPr>
              <w:vanish/>
            </w:rPr>
            <w:instrText xml:space="preserve"> TC "3.8 人机协同" \l 2 </w:instrText>
          </w:r>
          <w:r>
            <w:rPr>
              <w:vanish/>
            </w:rPr>
            <w:fldChar w:fldCharType="end"/>
          </w:r>
          <w:r>
            <w:rPr>
              <w:rFonts w:hint="eastAsia" w:ascii="黑体" w:hAnsi="黑体" w:eastAsia="黑体"/>
            </w:rPr>
            <w:t>人机协同 human-AI collaboration</w:t>
          </w:r>
        </w:p>
        <w:p w14:paraId="44EB7BFB">
          <w:pPr>
            <w:pStyle w:val="59"/>
            <w:ind w:firstLine="420"/>
          </w:pPr>
          <w:r>
            <w:t>人在保持目标设定、专业判断和责任主体地位的前提下，根据任务需要与智能技术进行分工、交互反馈并共同完成任务的协作方式。</w:t>
          </w:r>
        </w:p>
        <w:p w14:paraId="19003490">
          <w:pPr>
            <w:pStyle w:val="107"/>
            <w:spacing w:before="240" w:after="240"/>
          </w:pPr>
          <w:bookmarkStart w:id="58" w:name="_Toc191654589"/>
          <w:bookmarkEnd w:id="58"/>
          <w:bookmarkStart w:id="59" w:name="_Toc236682853"/>
          <w:r>
            <w:rPr>
              <w:rFonts w:hint="eastAsia"/>
            </w:rPr>
            <w:t>中医药大学生人工智能素养框架</w:t>
          </w:r>
          <w:bookmarkEnd w:id="59"/>
        </w:p>
        <w:p w14:paraId="37ED2CC3">
          <w:pPr>
            <w:pStyle w:val="59"/>
            <w:ind w:firstLine="420"/>
          </w:pPr>
          <w:r>
            <w:rPr>
              <w:rFonts w:hint="eastAsia"/>
            </w:rPr>
            <w:t>中医药大学生人工智能素养框架包括5个一级维度、13个二级维度和28个三级维度，见图 1。一级维度包括：人工智能意识、人工智能知识与技能、人工智能思维、人工智能应用、人工智能社会责任。每个一级维度由若干个二级维度组成。</w:t>
          </w:r>
        </w:p>
        <w:p w14:paraId="20DB1460">
          <w:pPr>
            <w:pStyle w:val="59"/>
            <w:ind w:firstLine="420"/>
          </w:pPr>
          <w:r>
            <w:rPr>
              <w:rFonts w:hint="eastAsia"/>
            </w:rPr>
            <w:t>第5至第9章分别规定了各一级维度的具体内容。</w:t>
          </w:r>
        </w:p>
        <w:p w14:paraId="0FA9710F">
          <w:pPr>
            <w:pStyle w:val="59"/>
            <w:ind w:firstLine="420"/>
          </w:pPr>
        </w:p>
        <w:p w14:paraId="7262F92E">
          <w:pPr>
            <w:pStyle w:val="59"/>
            <w:ind w:firstLine="0" w:firstLineChars="0"/>
            <w:jc w:val="center"/>
          </w:pPr>
          <w:r>
            <w:drawing>
              <wp:inline distT="0" distB="0" distL="0" distR="0">
                <wp:extent cx="5400040" cy="3016885"/>
                <wp:effectExtent l="0" t="0" r="0" b="0"/>
                <wp:docPr id="16558885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888583" name="图片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406725" cy="3021066"/>
                        </a:xfrm>
                        <a:prstGeom prst="rect">
                          <a:avLst/>
                        </a:prstGeom>
                        <a:noFill/>
                        <a:ln>
                          <a:noFill/>
                        </a:ln>
                      </pic:spPr>
                    </pic:pic>
                  </a:graphicData>
                </a:graphic>
              </wp:inline>
            </w:drawing>
          </w:r>
        </w:p>
        <w:p w14:paraId="59FE4468">
          <w:pPr>
            <w:pStyle w:val="59"/>
            <w:ind w:firstLine="420"/>
            <w:jc w:val="center"/>
            <w:rPr>
              <w:rFonts w:hint="eastAsia" w:ascii="黑体" w:hAnsi="黑体" w:eastAsia="黑体" w:cs="黑体"/>
              <w:szCs w:val="21"/>
            </w:rPr>
          </w:pPr>
          <w:r>
            <w:rPr>
              <w:rFonts w:hint="eastAsia" w:ascii="黑体" w:hAnsi="黑体" w:eastAsia="黑体" w:cs="黑体"/>
              <w:szCs w:val="21"/>
            </w:rPr>
            <w:t>图1 中医药大学生人工智能素养框架</w:t>
          </w:r>
        </w:p>
        <w:p w14:paraId="0A933CCD">
          <w:pPr>
            <w:pStyle w:val="59"/>
            <w:ind w:firstLine="420"/>
          </w:pPr>
        </w:p>
        <w:p w14:paraId="4D9030FB">
          <w:pPr>
            <w:pStyle w:val="107"/>
            <w:spacing w:before="240" w:after="240"/>
          </w:pPr>
          <w:bookmarkStart w:id="60" w:name="_Toc236682854"/>
          <w:r>
            <w:rPr>
              <w:rFonts w:hint="eastAsia"/>
            </w:rPr>
            <w:t>人工智能意识</w:t>
          </w:r>
          <w:bookmarkEnd w:id="60"/>
        </w:p>
        <w:p w14:paraId="2FB3E2FA">
          <w:pPr>
            <w:pStyle w:val="108"/>
            <w:spacing w:before="120" w:after="120"/>
          </w:pPr>
          <w:r>
            <w:rPr>
              <w:rFonts w:hint="eastAsia"/>
            </w:rPr>
            <w:t>概述</w:t>
          </w:r>
        </w:p>
        <w:p w14:paraId="231769D6">
          <w:pPr>
            <w:pStyle w:val="59"/>
            <w:ind w:firstLine="420"/>
          </w:pPr>
          <w:r>
            <w:t>中医药大学生面对人工智能发展所形成的基本认识、使用态度和持续行动倾向，包括人工智能认识、人工智能意愿和人工智能意志。</w:t>
          </w:r>
        </w:p>
        <w:p w14:paraId="5444087D">
          <w:pPr>
            <w:pStyle w:val="59"/>
            <w:ind w:firstLine="420"/>
          </w:pPr>
          <w:r>
            <w:rPr>
              <w:rFonts w:hint="eastAsia"/>
            </w:rPr>
            <w:t>人工智能意识的二级维度及三级维度见表1。</w:t>
          </w:r>
        </w:p>
        <w:p w14:paraId="510683C4">
          <w:pPr>
            <w:widowControl/>
            <w:adjustRightInd/>
            <w:spacing w:line="240" w:lineRule="auto"/>
            <w:jc w:val="left"/>
            <w:rPr>
              <w:rFonts w:ascii="宋体" w:hAnsi="Times New Roman"/>
              <w:kern w:val="0"/>
              <w:szCs w:val="20"/>
            </w:rPr>
          </w:pPr>
          <w:r>
            <w:br w:type="page"/>
          </w:r>
        </w:p>
        <w:p w14:paraId="01F9E6AD">
          <w:pPr>
            <w:pStyle w:val="59"/>
            <w:ind w:firstLine="420"/>
            <w:jc w:val="center"/>
            <w:rPr>
              <w:rFonts w:hint="eastAsia" w:ascii="黑体" w:hAnsi="黑体" w:eastAsia="黑体" w:cs="黑体"/>
            </w:rPr>
          </w:pPr>
          <w:r>
            <w:rPr>
              <w:rFonts w:hint="eastAsia" w:ascii="黑体" w:hAnsi="黑体" w:eastAsia="黑体" w:cs="黑体"/>
            </w:rPr>
            <w:t>表1 人工智能意识</w:t>
          </w:r>
        </w:p>
        <w:p w14:paraId="6B13209C">
          <w:pPr>
            <w:pStyle w:val="59"/>
            <w:ind w:firstLine="420"/>
            <w:jc w:val="center"/>
            <w:rPr>
              <w:rFonts w:hint="eastAsia" w:ascii="黑体" w:hAnsi="黑体" w:eastAsia="黑体" w:cs="黑体"/>
            </w:rPr>
          </w:pPr>
        </w:p>
        <w:tbl>
          <w:tblPr>
            <w:tblStyle w:val="28"/>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655"/>
            <w:gridCol w:w="2346"/>
            <w:gridCol w:w="5627"/>
          </w:tblGrid>
          <w:tr w14:paraId="56F72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77" w:type="pct"/>
                <w:tcBorders>
                  <w:top w:val="single" w:color="auto" w:sz="8" w:space="0"/>
                  <w:left w:val="single" w:color="auto" w:sz="8" w:space="0"/>
                  <w:bottom w:val="single" w:color="auto" w:sz="8" w:space="0"/>
                </w:tcBorders>
                <w:vAlign w:val="center"/>
              </w:tcPr>
              <w:p w14:paraId="57D6EF7E">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一级维度</w:t>
                </w:r>
              </w:p>
            </w:tc>
            <w:tc>
              <w:tcPr>
                <w:tcW w:w="351" w:type="pct"/>
                <w:tcBorders>
                  <w:top w:val="single" w:color="auto" w:sz="8" w:space="0"/>
                  <w:bottom w:val="single" w:color="auto" w:sz="8" w:space="0"/>
                </w:tcBorders>
                <w:vAlign w:val="center"/>
              </w:tcPr>
              <w:p w14:paraId="6BAE980D">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二级维度</w:t>
                </w:r>
              </w:p>
            </w:tc>
            <w:tc>
              <w:tcPr>
                <w:tcW w:w="1257" w:type="pct"/>
                <w:tcBorders>
                  <w:top w:val="single" w:color="auto" w:sz="8" w:space="0"/>
                  <w:bottom w:val="single" w:color="auto" w:sz="8" w:space="0"/>
                  <w:right w:val="single" w:color="auto" w:sz="4" w:space="0"/>
                </w:tcBorders>
                <w:vAlign w:val="center"/>
              </w:tcPr>
              <w:p w14:paraId="240C1E6A">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三级维度</w:t>
                </w:r>
              </w:p>
            </w:tc>
            <w:tc>
              <w:tcPr>
                <w:tcW w:w="3015" w:type="pct"/>
                <w:tcBorders>
                  <w:top w:val="single" w:color="auto" w:sz="8" w:space="0"/>
                  <w:left w:val="single" w:color="auto" w:sz="4" w:space="0"/>
                  <w:bottom w:val="single" w:color="auto" w:sz="8" w:space="0"/>
                  <w:right w:val="single" w:color="auto" w:sz="8" w:space="0"/>
                </w:tcBorders>
                <w:vAlign w:val="center"/>
              </w:tcPr>
              <w:p w14:paraId="7FF78D5D">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描述</w:t>
                </w:r>
              </w:p>
            </w:tc>
          </w:tr>
          <w:tr w14:paraId="11B6B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77" w:type="pct"/>
                <w:vMerge w:val="restart"/>
                <w:tcBorders>
                  <w:top w:val="single" w:color="auto" w:sz="8" w:space="0"/>
                  <w:left w:val="single" w:color="auto" w:sz="8" w:space="0"/>
                </w:tcBorders>
                <w:vAlign w:val="center"/>
              </w:tcPr>
              <w:p w14:paraId="6281E884">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人工智能意识</w:t>
                </w:r>
              </w:p>
            </w:tc>
            <w:tc>
              <w:tcPr>
                <w:tcW w:w="351" w:type="pct"/>
                <w:vMerge w:val="restart"/>
                <w:tcBorders>
                  <w:top w:val="single" w:color="auto" w:sz="8" w:space="0"/>
                  <w:right w:val="single" w:color="auto" w:sz="4" w:space="0"/>
                </w:tcBorders>
                <w:vAlign w:val="center"/>
              </w:tcPr>
              <w:p w14:paraId="2CC1F64F">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人工智能认识</w:t>
                </w:r>
              </w:p>
            </w:tc>
            <w:tc>
              <w:tcPr>
                <w:tcW w:w="1257" w:type="pct"/>
                <w:tcBorders>
                  <w:top w:val="single" w:color="auto" w:sz="8" w:space="0"/>
                  <w:left w:val="single" w:color="auto" w:sz="4" w:space="0"/>
                  <w:bottom w:val="single" w:color="auto" w:sz="4" w:space="0"/>
                  <w:right w:val="single" w:color="auto" w:sz="4" w:space="0"/>
                </w:tcBorders>
                <w:vAlign w:val="center"/>
              </w:tcPr>
              <w:p w14:paraId="2812ECD3">
                <w:pPr>
                  <w:widowControl/>
                  <w:spacing w:after="62" w:line="240" w:lineRule="auto"/>
                  <w:jc w:val="center"/>
                  <w:textAlignment w:val="center"/>
                  <w:rPr>
                    <w:rFonts w:hint="eastAsia" w:ascii="宋体" w:hAnsi="宋体" w:cs="宋体"/>
                    <w:kern w:val="0"/>
                    <w:sz w:val="18"/>
                    <w:szCs w:val="18"/>
                  </w:rPr>
                </w:pPr>
                <w:r>
                  <w:rPr>
                    <w:sz w:val="18"/>
                    <w:szCs w:val="18"/>
                  </w:rPr>
                  <w:t>理解人工智能技术在中医药发展中的价值</w:t>
                </w:r>
              </w:p>
            </w:tc>
            <w:tc>
              <w:tcPr>
                <w:tcW w:w="3015" w:type="pct"/>
                <w:tcBorders>
                  <w:top w:val="single" w:color="auto" w:sz="8" w:space="0"/>
                  <w:left w:val="single" w:color="auto" w:sz="4" w:space="0"/>
                  <w:bottom w:val="single" w:color="auto" w:sz="4" w:space="0"/>
                  <w:right w:val="single" w:color="auto" w:sz="8" w:space="0"/>
                </w:tcBorders>
                <w:vAlign w:val="center"/>
              </w:tcPr>
              <w:p w14:paraId="79141000">
                <w:pPr>
                  <w:widowControl/>
                  <w:spacing w:after="62" w:line="240" w:lineRule="auto"/>
                  <w:textAlignment w:val="center"/>
                  <w:rPr>
                    <w:rFonts w:hint="eastAsia" w:ascii="宋体" w:hAnsi="宋体" w:cs="宋体"/>
                    <w:color w:val="000000" w:themeColor="text1"/>
                    <w:sz w:val="18"/>
                    <w:szCs w:val="18"/>
                    <w14:textFill>
                      <w14:solidFill>
                        <w14:schemeClr w14:val="tx1"/>
                      </w14:solidFill>
                    </w14:textFill>
                  </w:rPr>
                </w:pPr>
                <w:r>
                  <w:rPr>
                    <w:sz w:val="18"/>
                    <w:szCs w:val="18"/>
                  </w:rPr>
                  <w:t>了解智能技术在推动中医药传承创新与发展中的价值</w:t>
                </w:r>
                <w:r>
                  <w:rPr>
                    <w:rFonts w:hint="eastAsia"/>
                    <w:sz w:val="18"/>
                    <w:szCs w:val="18"/>
                  </w:rPr>
                  <w:t>。</w:t>
                </w:r>
              </w:p>
            </w:tc>
          </w:tr>
          <w:tr w14:paraId="790FD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77" w:type="pct"/>
                <w:vMerge w:val="continue"/>
                <w:tcBorders>
                  <w:left w:val="single" w:color="auto" w:sz="8" w:space="0"/>
                </w:tcBorders>
                <w:vAlign w:val="center"/>
              </w:tcPr>
              <w:p w14:paraId="29815921">
                <w:pPr>
                  <w:widowControl/>
                  <w:spacing w:after="62" w:line="240" w:lineRule="auto"/>
                  <w:jc w:val="center"/>
                  <w:textAlignment w:val="center"/>
                  <w:rPr>
                    <w:rFonts w:hint="eastAsia" w:ascii="宋体" w:hAnsi="宋体" w:cs="宋体"/>
                    <w:kern w:val="0"/>
                    <w:sz w:val="18"/>
                    <w:szCs w:val="18"/>
                  </w:rPr>
                </w:pPr>
              </w:p>
            </w:tc>
            <w:tc>
              <w:tcPr>
                <w:tcW w:w="351" w:type="pct"/>
                <w:vMerge w:val="continue"/>
                <w:tcBorders>
                  <w:bottom w:val="single" w:color="auto" w:sz="4" w:space="0"/>
                  <w:right w:val="single" w:color="auto" w:sz="4" w:space="0"/>
                </w:tcBorders>
                <w:vAlign w:val="center"/>
              </w:tcPr>
              <w:p w14:paraId="6244FF2F">
                <w:pPr>
                  <w:widowControl/>
                  <w:spacing w:after="62" w:line="240" w:lineRule="auto"/>
                  <w:jc w:val="center"/>
                  <w:textAlignment w:val="center"/>
                  <w:rPr>
                    <w:rFonts w:hint="eastAsia" w:ascii="宋体" w:hAnsi="宋体" w:cs="宋体"/>
                    <w:kern w:val="0"/>
                    <w:sz w:val="18"/>
                    <w:szCs w:val="18"/>
                  </w:rPr>
                </w:pPr>
              </w:p>
            </w:tc>
            <w:tc>
              <w:tcPr>
                <w:tcW w:w="1257" w:type="pct"/>
                <w:tcBorders>
                  <w:top w:val="single" w:color="auto" w:sz="4" w:space="0"/>
                  <w:left w:val="single" w:color="auto" w:sz="4" w:space="0"/>
                  <w:bottom w:val="single" w:color="auto" w:sz="4" w:space="0"/>
                  <w:right w:val="single" w:color="auto" w:sz="4" w:space="0"/>
                </w:tcBorders>
                <w:vAlign w:val="center"/>
              </w:tcPr>
              <w:p w14:paraId="0BFE90C2">
                <w:pPr>
                  <w:widowControl/>
                  <w:spacing w:after="62" w:line="240" w:lineRule="auto"/>
                  <w:jc w:val="center"/>
                  <w:textAlignment w:val="center"/>
                  <w:rPr>
                    <w:rFonts w:hint="eastAsia" w:ascii="宋体" w:hAnsi="宋体" w:cs="宋体"/>
                    <w:kern w:val="0"/>
                    <w:sz w:val="18"/>
                    <w:szCs w:val="18"/>
                  </w:rPr>
                </w:pPr>
                <w:r>
                  <w:rPr>
                    <w:sz w:val="18"/>
                    <w:szCs w:val="18"/>
                  </w:rPr>
                  <w:t>认识人工智能技术进步对个人成长带来的机遇与挑战</w:t>
                </w:r>
              </w:p>
            </w:tc>
            <w:tc>
              <w:tcPr>
                <w:tcW w:w="3015" w:type="pct"/>
                <w:tcBorders>
                  <w:top w:val="single" w:color="auto" w:sz="4" w:space="0"/>
                  <w:left w:val="single" w:color="auto" w:sz="4" w:space="0"/>
                  <w:bottom w:val="single" w:color="auto" w:sz="4" w:space="0"/>
                  <w:right w:val="single" w:color="auto" w:sz="8" w:space="0"/>
                </w:tcBorders>
                <w:vAlign w:val="center"/>
              </w:tcPr>
              <w:p w14:paraId="40041E6B">
                <w:pPr>
                  <w:widowControl/>
                  <w:spacing w:after="62" w:line="240" w:lineRule="auto"/>
                  <w:textAlignment w:val="center"/>
                  <w:rPr>
                    <w:rFonts w:hint="eastAsia" w:ascii="宋体" w:hAnsi="宋体" w:cs="宋体"/>
                    <w:color w:val="000000" w:themeColor="text1"/>
                    <w:sz w:val="18"/>
                    <w:szCs w:val="18"/>
                    <w14:textFill>
                      <w14:solidFill>
                        <w14:schemeClr w14:val="tx1"/>
                      </w14:solidFill>
                    </w14:textFill>
                  </w:rPr>
                </w:pPr>
                <w:r>
                  <w:rPr>
                    <w:sz w:val="18"/>
                    <w:szCs w:val="18"/>
                  </w:rPr>
                  <w:t>认识智能技术发展给专业学习、职业发展和个人能力提升带来的影响，理解其对思维方式、专业能力和持续学习提出的新要求</w:t>
                </w:r>
                <w:r>
                  <w:rPr>
                    <w:rFonts w:hint="eastAsia"/>
                    <w:sz w:val="18"/>
                    <w:szCs w:val="18"/>
                  </w:rPr>
                  <w:t>。</w:t>
                </w:r>
              </w:p>
            </w:tc>
          </w:tr>
          <w:tr w14:paraId="5EDB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77" w:type="pct"/>
                <w:vMerge w:val="continue"/>
                <w:tcBorders>
                  <w:left w:val="single" w:color="auto" w:sz="8" w:space="0"/>
                </w:tcBorders>
                <w:vAlign w:val="center"/>
              </w:tcPr>
              <w:p w14:paraId="6F5FAB18">
                <w:pPr>
                  <w:widowControl/>
                  <w:spacing w:after="62" w:line="240" w:lineRule="auto"/>
                  <w:jc w:val="center"/>
                  <w:textAlignment w:val="center"/>
                  <w:rPr>
                    <w:rFonts w:hint="eastAsia" w:ascii="宋体" w:hAnsi="宋体" w:cs="宋体"/>
                    <w:kern w:val="0"/>
                    <w:sz w:val="18"/>
                    <w:szCs w:val="18"/>
                  </w:rPr>
                </w:pPr>
              </w:p>
            </w:tc>
            <w:tc>
              <w:tcPr>
                <w:tcW w:w="351" w:type="pct"/>
                <w:vMerge w:val="restart"/>
                <w:vAlign w:val="center"/>
              </w:tcPr>
              <w:p w14:paraId="4433B06E">
                <w:pPr>
                  <w:widowControl/>
                  <w:spacing w:after="62" w:line="240" w:lineRule="auto"/>
                  <w:jc w:val="center"/>
                  <w:textAlignment w:val="center"/>
                  <w:rPr>
                    <w:rFonts w:hint="eastAsia" w:ascii="宋体" w:hAnsi="宋体" w:cs="宋体"/>
                    <w:kern w:val="0"/>
                    <w:sz w:val="18"/>
                    <w:szCs w:val="18"/>
                  </w:rPr>
                </w:pPr>
                <w:r>
                  <w:rPr>
                    <w:rFonts w:hint="eastAsia" w:ascii="宋体" w:hAnsi="宋体" w:cs="宋体"/>
                    <w:kern w:val="0"/>
                    <w:sz w:val="18"/>
                    <w:szCs w:val="18"/>
                  </w:rPr>
                  <w:t>人工智能意愿</w:t>
                </w:r>
              </w:p>
            </w:tc>
            <w:tc>
              <w:tcPr>
                <w:tcW w:w="1257" w:type="pct"/>
                <w:tcBorders>
                  <w:right w:val="single" w:color="auto" w:sz="4" w:space="0"/>
                </w:tcBorders>
                <w:vAlign w:val="center"/>
              </w:tcPr>
              <w:p w14:paraId="0E04376B">
                <w:pPr>
                  <w:widowControl/>
                  <w:spacing w:after="62" w:line="240" w:lineRule="auto"/>
                  <w:jc w:val="center"/>
                  <w:textAlignment w:val="center"/>
                  <w:rPr>
                    <w:rFonts w:hint="eastAsia" w:ascii="宋体" w:hAnsi="宋体" w:cs="宋体"/>
                    <w:kern w:val="0"/>
                    <w:sz w:val="18"/>
                    <w:szCs w:val="18"/>
                  </w:rPr>
                </w:pPr>
                <w:r>
                  <w:rPr>
                    <w:sz w:val="18"/>
                    <w:szCs w:val="18"/>
                  </w:rPr>
                  <w:t>主动学习和使用智能技术资源的意愿</w:t>
                </w:r>
              </w:p>
            </w:tc>
            <w:tc>
              <w:tcPr>
                <w:tcW w:w="3015" w:type="pct"/>
                <w:tcBorders>
                  <w:left w:val="single" w:color="auto" w:sz="4" w:space="0"/>
                  <w:right w:val="single" w:color="auto" w:sz="8" w:space="0"/>
                </w:tcBorders>
                <w:vAlign w:val="center"/>
              </w:tcPr>
              <w:p w14:paraId="52CEB3F9">
                <w:pPr>
                  <w:widowControl/>
                  <w:spacing w:after="62" w:line="240" w:lineRule="auto"/>
                  <w:textAlignment w:val="center"/>
                  <w:rPr>
                    <w:rFonts w:hint="eastAsia" w:ascii="宋体" w:hAnsi="宋体" w:cs="宋体"/>
                    <w:color w:val="000000" w:themeColor="text1"/>
                    <w:sz w:val="18"/>
                    <w:szCs w:val="18"/>
                    <w14:textFill>
                      <w14:solidFill>
                        <w14:schemeClr w14:val="tx1"/>
                      </w14:solidFill>
                    </w14:textFill>
                  </w:rPr>
                </w:pPr>
                <w:r>
                  <w:rPr>
                    <w:rFonts w:hint="eastAsia"/>
                    <w:sz w:val="18"/>
                    <w:szCs w:val="18"/>
                  </w:rPr>
                  <w:t>愿意</w:t>
                </w:r>
                <w:r>
                  <w:rPr>
                    <w:sz w:val="18"/>
                    <w:szCs w:val="18"/>
                  </w:rPr>
                  <w:t>主动了解智能技术资源的功能与应用，学习和尝试使用适合中医药学习与实践的智能技术资源</w:t>
                </w:r>
                <w:r>
                  <w:rPr>
                    <w:rFonts w:hint="eastAsia"/>
                    <w:sz w:val="18"/>
                    <w:szCs w:val="18"/>
                  </w:rPr>
                  <w:t>。</w:t>
                </w:r>
              </w:p>
            </w:tc>
          </w:tr>
          <w:tr w14:paraId="4192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trPr>
            <w:tc>
              <w:tcPr>
                <w:tcW w:w="377" w:type="pct"/>
                <w:vMerge w:val="continue"/>
                <w:tcBorders>
                  <w:left w:val="single" w:color="auto" w:sz="8" w:space="0"/>
                </w:tcBorders>
                <w:vAlign w:val="center"/>
              </w:tcPr>
              <w:p w14:paraId="1D8599AD">
                <w:pPr>
                  <w:widowControl/>
                  <w:spacing w:after="62" w:line="240" w:lineRule="auto"/>
                  <w:jc w:val="center"/>
                  <w:textAlignment w:val="center"/>
                  <w:rPr>
                    <w:rFonts w:hint="eastAsia" w:ascii="宋体" w:hAnsi="宋体" w:cs="宋体"/>
                    <w:kern w:val="0"/>
                    <w:sz w:val="18"/>
                    <w:szCs w:val="18"/>
                  </w:rPr>
                </w:pPr>
              </w:p>
            </w:tc>
            <w:tc>
              <w:tcPr>
                <w:tcW w:w="351" w:type="pct"/>
                <w:vMerge w:val="continue"/>
                <w:vAlign w:val="center"/>
              </w:tcPr>
              <w:p w14:paraId="29653F37">
                <w:pPr>
                  <w:widowControl/>
                  <w:spacing w:after="62" w:line="240" w:lineRule="auto"/>
                  <w:jc w:val="center"/>
                  <w:textAlignment w:val="center"/>
                  <w:rPr>
                    <w:rFonts w:hint="eastAsia" w:ascii="宋体" w:hAnsi="宋体" w:cs="宋体"/>
                    <w:kern w:val="0"/>
                    <w:sz w:val="18"/>
                    <w:szCs w:val="18"/>
                  </w:rPr>
                </w:pPr>
              </w:p>
            </w:tc>
            <w:tc>
              <w:tcPr>
                <w:tcW w:w="1257" w:type="pct"/>
                <w:tcBorders>
                  <w:right w:val="single" w:color="auto" w:sz="4" w:space="0"/>
                </w:tcBorders>
                <w:vAlign w:val="center"/>
              </w:tcPr>
              <w:p w14:paraId="2C36F1C1">
                <w:pPr>
                  <w:widowControl/>
                  <w:spacing w:after="62" w:line="240" w:lineRule="auto"/>
                  <w:jc w:val="center"/>
                  <w:textAlignment w:val="center"/>
                  <w:rPr>
                    <w:sz w:val="18"/>
                    <w:szCs w:val="18"/>
                  </w:rPr>
                </w:pPr>
                <w:r>
                  <w:rPr>
                    <w:sz w:val="18"/>
                    <w:szCs w:val="18"/>
                  </w:rPr>
                  <w:t>运用智能技术开展中医药学习实践和探索创新的能动性</w:t>
                </w:r>
              </w:p>
            </w:tc>
            <w:tc>
              <w:tcPr>
                <w:tcW w:w="3015" w:type="pct"/>
                <w:tcBorders>
                  <w:left w:val="single" w:color="auto" w:sz="4" w:space="0"/>
                  <w:right w:val="single" w:color="auto" w:sz="8" w:space="0"/>
                </w:tcBorders>
                <w:vAlign w:val="center"/>
              </w:tcPr>
              <w:p w14:paraId="52E54B9C">
                <w:pPr>
                  <w:widowControl/>
                  <w:spacing w:after="62" w:line="240" w:lineRule="auto"/>
                  <w:textAlignment w:val="center"/>
                  <w:rPr>
                    <w:rFonts w:hint="eastAsia"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愿意主动将智能技术融入中医药专业学习、实践、科研和健康生活，参与跨学科学习与实践，探索智能技术资源在中医药场景中的创新应用</w:t>
                </w:r>
                <w:r>
                  <w:rPr>
                    <w:rFonts w:hint="eastAsia" w:ascii="宋体" w:hAnsi="宋体" w:cs="宋体"/>
                    <w:color w:val="000000" w:themeColor="text1"/>
                    <w:sz w:val="18"/>
                    <w:szCs w:val="18"/>
                    <w14:textFill>
                      <w14:solidFill>
                        <w14:schemeClr w14:val="tx1"/>
                      </w14:solidFill>
                    </w14:textFill>
                  </w:rPr>
                  <w:t>。</w:t>
                </w:r>
              </w:p>
            </w:tc>
          </w:tr>
          <w:tr w14:paraId="0270D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77" w:type="pct"/>
                <w:vMerge w:val="continue"/>
                <w:tcBorders>
                  <w:left w:val="single" w:color="auto" w:sz="8" w:space="0"/>
                  <w:bottom w:val="single" w:color="auto" w:sz="8" w:space="0"/>
                </w:tcBorders>
                <w:vAlign w:val="center"/>
              </w:tcPr>
              <w:p w14:paraId="2B38492B">
                <w:pPr>
                  <w:widowControl/>
                  <w:spacing w:after="62" w:line="240" w:lineRule="auto"/>
                  <w:jc w:val="center"/>
                  <w:textAlignment w:val="center"/>
                  <w:rPr>
                    <w:rFonts w:hint="eastAsia" w:ascii="宋体" w:hAnsi="宋体" w:cs="宋体"/>
                    <w:kern w:val="0"/>
                    <w:sz w:val="18"/>
                    <w:szCs w:val="18"/>
                  </w:rPr>
                </w:pPr>
              </w:p>
            </w:tc>
            <w:tc>
              <w:tcPr>
                <w:tcW w:w="351" w:type="pct"/>
                <w:tcBorders>
                  <w:bottom w:val="single" w:color="auto" w:sz="8" w:space="0"/>
                </w:tcBorders>
                <w:vAlign w:val="center"/>
              </w:tcPr>
              <w:p w14:paraId="295BC67F">
                <w:pPr>
                  <w:widowControl/>
                  <w:spacing w:after="62" w:line="240" w:lineRule="auto"/>
                  <w:jc w:val="center"/>
                  <w:textAlignment w:val="center"/>
                  <w:rPr>
                    <w:rFonts w:hint="eastAsia" w:ascii="宋体" w:hAnsi="宋体" w:cs="宋体"/>
                    <w:kern w:val="0"/>
                    <w:sz w:val="18"/>
                    <w:szCs w:val="18"/>
                  </w:rPr>
                </w:pPr>
                <w:r>
                  <w:rPr>
                    <w:rFonts w:hint="eastAsia"/>
                    <w:sz w:val="18"/>
                    <w:szCs w:val="18"/>
                  </w:rPr>
                  <w:t>人工智能意志</w:t>
                </w:r>
              </w:p>
            </w:tc>
            <w:tc>
              <w:tcPr>
                <w:tcW w:w="1257" w:type="pct"/>
                <w:tcBorders>
                  <w:top w:val="single" w:color="auto" w:sz="4" w:space="0"/>
                  <w:bottom w:val="single" w:color="auto" w:sz="8" w:space="0"/>
                  <w:right w:val="single" w:color="auto" w:sz="4" w:space="0"/>
                </w:tcBorders>
                <w:vAlign w:val="center"/>
              </w:tcPr>
              <w:p w14:paraId="40DAC1BD">
                <w:pPr>
                  <w:widowControl/>
                  <w:spacing w:after="62" w:line="240" w:lineRule="auto"/>
                  <w:jc w:val="center"/>
                  <w:textAlignment w:val="center"/>
                  <w:rPr>
                    <w:rFonts w:hint="eastAsia" w:ascii="宋体" w:hAnsi="宋体" w:cs="宋体"/>
                    <w:kern w:val="0"/>
                    <w:sz w:val="18"/>
                    <w:szCs w:val="18"/>
                  </w:rPr>
                </w:pPr>
                <w:r>
                  <w:rPr>
                    <w:rFonts w:ascii="宋体" w:hAnsi="宋体" w:cs="宋体"/>
                    <w:kern w:val="0"/>
                    <w:sz w:val="18"/>
                    <w:szCs w:val="18"/>
                  </w:rPr>
                  <w:t>克服中医药智能化学习</w:t>
                </w:r>
                <w:r>
                  <w:rPr>
                    <w:rFonts w:hint="eastAsia" w:ascii="宋体" w:hAnsi="宋体" w:cs="宋体"/>
                    <w:kern w:val="0"/>
                    <w:sz w:val="18"/>
                    <w:szCs w:val="18"/>
                  </w:rPr>
                  <w:t>与</w:t>
                </w:r>
                <w:r>
                  <w:rPr>
                    <w:rFonts w:ascii="宋体" w:hAnsi="宋体" w:cs="宋体"/>
                    <w:kern w:val="0"/>
                    <w:sz w:val="18"/>
                    <w:szCs w:val="18"/>
                  </w:rPr>
                  <w:t>实践困难的决心</w:t>
                </w:r>
              </w:p>
            </w:tc>
            <w:tc>
              <w:tcPr>
                <w:tcW w:w="3015" w:type="pct"/>
                <w:tcBorders>
                  <w:top w:val="single" w:color="auto" w:sz="4" w:space="0"/>
                  <w:left w:val="single" w:color="auto" w:sz="4" w:space="0"/>
                  <w:bottom w:val="single" w:color="auto" w:sz="8" w:space="0"/>
                  <w:right w:val="single" w:color="auto" w:sz="8" w:space="0"/>
                </w:tcBorders>
                <w:vAlign w:val="center"/>
              </w:tcPr>
              <w:p w14:paraId="23475411">
                <w:pPr>
                  <w:widowControl/>
                  <w:spacing w:after="62" w:line="240" w:lineRule="auto"/>
                  <w:textAlignment w:val="center"/>
                  <w:rPr>
                    <w:rFonts w:hint="eastAsia"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面对中医药智能化学习与实践中的工具使用困难、结果不稳定或任务受阻等情况，能够保持投入，调整方法并持续改进</w:t>
                </w:r>
                <w:r>
                  <w:rPr>
                    <w:rFonts w:hint="eastAsia" w:ascii="宋体" w:hAnsi="宋体" w:cs="宋体"/>
                    <w:color w:val="000000" w:themeColor="text1"/>
                    <w:sz w:val="18"/>
                    <w:szCs w:val="18"/>
                    <w14:textFill>
                      <w14:solidFill>
                        <w14:schemeClr w14:val="tx1"/>
                      </w14:solidFill>
                    </w14:textFill>
                  </w:rPr>
                  <w:t>。</w:t>
                </w:r>
              </w:p>
            </w:tc>
          </w:tr>
        </w:tbl>
        <w:p w14:paraId="3D5914F5">
          <w:pPr>
            <w:pStyle w:val="59"/>
            <w:ind w:firstLine="420"/>
          </w:pPr>
        </w:p>
        <w:p w14:paraId="1D85D7B2">
          <w:pPr>
            <w:pStyle w:val="108"/>
            <w:spacing w:before="120" w:after="120"/>
            <w:rPr>
              <w:rFonts w:hint="eastAsia" w:hAnsi="宋体" w:cs="宋体"/>
            </w:rPr>
          </w:pPr>
          <w:bookmarkStart w:id="61" w:name="_Toc191654598"/>
          <w:r>
            <w:rPr>
              <w:rFonts w:hint="eastAsia"/>
            </w:rPr>
            <w:t>人工智能认识</w:t>
          </w:r>
        </w:p>
        <w:p w14:paraId="32B0863B">
          <w:pPr>
            <w:pStyle w:val="59"/>
            <w:ind w:firstLine="420"/>
            <w:rPr>
              <w:rFonts w:hint="eastAsia" w:hAnsi="宋体" w:cs="宋体"/>
            </w:rPr>
          </w:pPr>
          <w:r>
            <w:rPr>
              <w:lang w:eastAsia="zh"/>
            </w:rPr>
            <w:t>中医药大学生对人工智能发展及其影响的基本认识，包括理解人工智能技术在中医药发展中的价值和认识人工智能技术进步对个人成长带来的机遇与挑战。</w:t>
          </w:r>
        </w:p>
        <w:bookmarkEnd w:id="61"/>
        <w:p w14:paraId="391A529C">
          <w:pPr>
            <w:pStyle w:val="108"/>
            <w:spacing w:before="120" w:after="120"/>
          </w:pPr>
          <w:r>
            <w:rPr>
              <w:rFonts w:hint="eastAsia"/>
            </w:rPr>
            <w:t>人工智能意愿</w:t>
          </w:r>
        </w:p>
        <w:p w14:paraId="41E007F5">
          <w:pPr>
            <w:pStyle w:val="59"/>
            <w:ind w:firstLine="420"/>
            <w:rPr>
              <w:rFonts w:hint="eastAsia" w:hAnsi="宋体" w:cs="宋体"/>
            </w:rPr>
          </w:pPr>
          <w:r>
            <w:t>中医药大学生主动学习、使用</w:t>
          </w:r>
          <w:r>
            <w:rPr>
              <w:rFonts w:hint="eastAsia"/>
            </w:rPr>
            <w:t>智能技术并</w:t>
          </w:r>
          <w:r>
            <w:t>探索</w:t>
          </w:r>
          <w:r>
            <w:rPr>
              <w:rFonts w:hint="eastAsia"/>
            </w:rPr>
            <w:t>其</w:t>
          </w:r>
          <w:r>
            <w:t>应用的态度，包括主动学习和使用智能技术资源的意愿和运用智能技术开展中医药学习实践与探索创新的能动性。</w:t>
          </w:r>
        </w:p>
        <w:p w14:paraId="4A9E2150">
          <w:pPr>
            <w:pStyle w:val="108"/>
            <w:spacing w:before="120" w:after="120"/>
          </w:pPr>
          <w:r>
            <w:rPr>
              <w:rFonts w:hint="eastAsia"/>
            </w:rPr>
            <w:t>人工智能意志</w:t>
          </w:r>
        </w:p>
        <w:p w14:paraId="2F70D5B3">
          <w:pPr>
            <w:pStyle w:val="59"/>
            <w:ind w:firstLine="420"/>
          </w:pPr>
          <w:r>
            <w:t>中医药大学生将学习和应用智能技术的意愿转化为持续行动的</w:t>
          </w:r>
          <w:r>
            <w:rPr>
              <w:rFonts w:hint="eastAsia"/>
            </w:rPr>
            <w:t>心理品质</w:t>
          </w:r>
          <w:r>
            <w:t>，包括克服中医药智能化学习</w:t>
          </w:r>
          <w:r>
            <w:rPr>
              <w:rFonts w:hint="eastAsia"/>
            </w:rPr>
            <w:t>与</w:t>
          </w:r>
          <w:r>
            <w:t>实践困难的决心。</w:t>
          </w:r>
        </w:p>
        <w:p w14:paraId="16C3137D">
          <w:pPr>
            <w:pStyle w:val="107"/>
            <w:spacing w:before="240" w:after="240"/>
          </w:pPr>
          <w:bookmarkStart w:id="62" w:name="_Toc236682855"/>
          <w:r>
            <w:rPr>
              <w:rFonts w:hint="eastAsia"/>
            </w:rPr>
            <w:t>人工智能知识与技能</w:t>
          </w:r>
          <w:bookmarkEnd w:id="62"/>
        </w:p>
        <w:p w14:paraId="54CF659F">
          <w:pPr>
            <w:pStyle w:val="108"/>
            <w:spacing w:before="120" w:after="120"/>
          </w:pPr>
          <w:bookmarkStart w:id="63" w:name="_Toc27859"/>
          <w:bookmarkStart w:id="64" w:name="_Hlk193187425"/>
          <w:r>
            <w:rPr>
              <w:rFonts w:hint="eastAsia"/>
            </w:rPr>
            <w:t>概述</w:t>
          </w:r>
          <w:bookmarkEnd w:id="63"/>
        </w:p>
        <w:p w14:paraId="337A5BFB">
          <w:pPr>
            <w:pStyle w:val="59"/>
            <w:ind w:firstLine="420"/>
          </w:pPr>
          <w:r>
            <w:t>中医药大学生理解和使用人工智能所需的基本知识与技能，包括人工智能知识和人工智能技能。</w:t>
          </w:r>
        </w:p>
        <w:p w14:paraId="78277024">
          <w:pPr>
            <w:pStyle w:val="59"/>
            <w:ind w:firstLine="420"/>
          </w:pPr>
          <w:r>
            <w:rPr>
              <w:rFonts w:hint="eastAsia"/>
            </w:rPr>
            <w:t>人工智能知识与技能的二级维度及三级维度见表2。</w:t>
          </w:r>
        </w:p>
        <w:p w14:paraId="1C060B9E">
          <w:pPr>
            <w:pStyle w:val="59"/>
            <w:ind w:firstLine="420"/>
          </w:pPr>
        </w:p>
        <w:p w14:paraId="2EF86DAA">
          <w:pPr>
            <w:pStyle w:val="59"/>
            <w:ind w:firstLine="420"/>
            <w:jc w:val="center"/>
            <w:rPr>
              <w:rFonts w:hint="eastAsia" w:ascii="黑体" w:hAnsi="黑体" w:eastAsia="黑体" w:cs="黑体"/>
            </w:rPr>
          </w:pPr>
          <w:r>
            <w:rPr>
              <w:rFonts w:hint="eastAsia" w:ascii="黑体" w:hAnsi="黑体" w:eastAsia="黑体" w:cs="黑体"/>
            </w:rPr>
            <w:t>表2 人工智能知识与技能</w:t>
          </w:r>
        </w:p>
        <w:p w14:paraId="0B93CE41">
          <w:pPr>
            <w:pStyle w:val="59"/>
            <w:ind w:firstLine="420"/>
            <w:jc w:val="center"/>
            <w:rPr>
              <w:rFonts w:hint="eastAsia" w:ascii="黑体" w:hAnsi="黑体" w:eastAsia="黑体" w:cs="黑体"/>
            </w:rPr>
          </w:pPr>
        </w:p>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663"/>
            <w:gridCol w:w="2378"/>
            <w:gridCol w:w="5652"/>
          </w:tblGrid>
          <w:tr w14:paraId="56448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tcBorders>
                  <w:top w:val="single" w:color="auto" w:sz="8" w:space="0"/>
                  <w:left w:val="single" w:color="auto" w:sz="8" w:space="0"/>
                  <w:bottom w:val="single" w:color="auto" w:sz="8" w:space="0"/>
                </w:tcBorders>
                <w:vAlign w:val="center"/>
              </w:tcPr>
              <w:p w14:paraId="405C4FA2">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一级维度</w:t>
                </w:r>
              </w:p>
            </w:tc>
            <w:tc>
              <w:tcPr>
                <w:tcW w:w="355" w:type="pct"/>
                <w:tcBorders>
                  <w:top w:val="single" w:color="auto" w:sz="8" w:space="0"/>
                  <w:bottom w:val="single" w:color="auto" w:sz="8" w:space="0"/>
                </w:tcBorders>
                <w:vAlign w:val="center"/>
              </w:tcPr>
              <w:p w14:paraId="3067C049">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二级维度</w:t>
                </w:r>
              </w:p>
            </w:tc>
            <w:tc>
              <w:tcPr>
                <w:tcW w:w="1274" w:type="pct"/>
                <w:tcBorders>
                  <w:top w:val="single" w:color="auto" w:sz="8" w:space="0"/>
                  <w:bottom w:val="single" w:color="auto" w:sz="8" w:space="0"/>
                  <w:right w:val="single" w:color="auto" w:sz="4" w:space="0"/>
                </w:tcBorders>
                <w:vAlign w:val="center"/>
              </w:tcPr>
              <w:p w14:paraId="17488079">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三级维度</w:t>
                </w:r>
              </w:p>
            </w:tc>
            <w:tc>
              <w:tcPr>
                <w:tcW w:w="3028" w:type="pct"/>
                <w:tcBorders>
                  <w:top w:val="single" w:color="auto" w:sz="8" w:space="0"/>
                  <w:left w:val="single" w:color="auto" w:sz="4" w:space="0"/>
                  <w:bottom w:val="single" w:color="auto" w:sz="8" w:space="0"/>
                  <w:right w:val="single" w:color="auto" w:sz="8" w:space="0"/>
                </w:tcBorders>
                <w:vAlign w:val="center"/>
              </w:tcPr>
              <w:p w14:paraId="53754E2A">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描述</w:t>
                </w:r>
              </w:p>
            </w:tc>
          </w:tr>
          <w:tr w14:paraId="5B80C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343" w:type="pct"/>
                <w:tcBorders>
                  <w:top w:val="single" w:color="auto" w:sz="8" w:space="0"/>
                  <w:left w:val="single" w:color="auto" w:sz="8" w:space="0"/>
                </w:tcBorders>
                <w:vAlign w:val="center"/>
              </w:tcPr>
              <w:p w14:paraId="1D2A74A2">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人工智能知识与技能</w:t>
                </w:r>
              </w:p>
            </w:tc>
            <w:tc>
              <w:tcPr>
                <w:tcW w:w="355" w:type="pct"/>
                <w:tcBorders>
                  <w:top w:val="single" w:color="auto" w:sz="8" w:space="0"/>
                </w:tcBorders>
                <w:vAlign w:val="center"/>
              </w:tcPr>
              <w:p w14:paraId="00C93B1B">
                <w:pPr>
                  <w:widowControl/>
                  <w:spacing w:line="240" w:lineRule="auto"/>
                  <w:jc w:val="center"/>
                  <w:textAlignment w:val="center"/>
                  <w:rPr>
                    <w:rFonts w:hint="eastAsia" w:ascii="宋体" w:hAnsi="宋体" w:cs="宋体"/>
                    <w:sz w:val="18"/>
                    <w:szCs w:val="18"/>
                  </w:rPr>
                </w:pPr>
                <w:r>
                  <w:rPr>
                    <w:rFonts w:hint="eastAsia" w:ascii="宋体" w:hAnsi="宋体" w:cs="宋体"/>
                    <w:kern w:val="0"/>
                    <w:sz w:val="18"/>
                    <w:szCs w:val="18"/>
                    <w:lang w:bidi="ar"/>
                  </w:rPr>
                  <w:t>人工智能知识</w:t>
                </w:r>
              </w:p>
            </w:tc>
            <w:tc>
              <w:tcPr>
                <w:tcW w:w="1274" w:type="pct"/>
                <w:tcBorders>
                  <w:top w:val="single" w:color="auto" w:sz="8" w:space="0"/>
                  <w:bottom w:val="single" w:color="auto" w:sz="4" w:space="0"/>
                  <w:right w:val="single" w:color="auto" w:sz="4" w:space="0"/>
                </w:tcBorders>
                <w:vAlign w:val="center"/>
              </w:tcPr>
              <w:p w14:paraId="42ED1C87">
                <w:pPr>
                  <w:widowControl/>
                  <w:spacing w:after="62" w:line="240" w:lineRule="auto"/>
                  <w:jc w:val="center"/>
                  <w:textAlignment w:val="center"/>
                  <w:rPr>
                    <w:rFonts w:hint="eastAsia" w:ascii="宋体" w:hAnsi="宋体" w:cs="宋体"/>
                    <w:kern w:val="0"/>
                    <w:sz w:val="18"/>
                    <w:szCs w:val="18"/>
                    <w:lang w:eastAsia="zh"/>
                  </w:rPr>
                </w:pPr>
                <w:r>
                  <w:rPr>
                    <w:rFonts w:ascii="宋体" w:hAnsi="宋体" w:cs="宋体"/>
                    <w:kern w:val="0"/>
                    <w:sz w:val="18"/>
                    <w:szCs w:val="18"/>
                  </w:rPr>
                  <w:t>中医药领域常见智能技术基本原理</w:t>
                </w:r>
              </w:p>
            </w:tc>
            <w:tc>
              <w:tcPr>
                <w:tcW w:w="3028" w:type="pct"/>
                <w:tcBorders>
                  <w:top w:val="single" w:color="auto" w:sz="8" w:space="0"/>
                  <w:left w:val="single" w:color="auto" w:sz="4" w:space="0"/>
                  <w:bottom w:val="single" w:color="auto" w:sz="4" w:space="0"/>
                  <w:right w:val="single" w:color="auto" w:sz="8" w:space="0"/>
                </w:tcBorders>
                <w:vAlign w:val="center"/>
              </w:tcPr>
              <w:p w14:paraId="3495DEE7">
                <w:pPr>
                  <w:widowControl/>
                  <w:spacing w:line="240" w:lineRule="auto"/>
                  <w:jc w:val="left"/>
                  <w:textAlignment w:val="center"/>
                  <w:rPr>
                    <w:rFonts w:hint="eastAsia" w:ascii="宋体" w:hAnsi="宋体" w:cs="宋体"/>
                    <w:kern w:val="0"/>
                    <w:sz w:val="18"/>
                    <w:szCs w:val="18"/>
                  </w:rPr>
                </w:pPr>
                <w:r>
                  <w:rPr>
                    <w:rFonts w:ascii="宋体" w:hAnsi="宋体" w:cs="宋体"/>
                    <w:kern w:val="0"/>
                    <w:sz w:val="18"/>
                    <w:szCs w:val="18"/>
                  </w:rPr>
                  <w:t>了解数据、算法和模型等基础概念，以及自然语言处理、计算机视觉、</w:t>
                </w:r>
                <w:r>
                  <w:rPr>
                    <w:rFonts w:hint="eastAsia" w:ascii="宋体" w:hAnsi="宋体" w:cs="宋体"/>
                    <w:kern w:val="0"/>
                    <w:sz w:val="18"/>
                    <w:szCs w:val="18"/>
                  </w:rPr>
                  <w:t>信号分析</w:t>
                </w:r>
                <w:r>
                  <w:rPr>
                    <w:rFonts w:ascii="宋体" w:hAnsi="宋体" w:cs="宋体"/>
                    <w:kern w:val="0"/>
                    <w:sz w:val="18"/>
                    <w:szCs w:val="18"/>
                  </w:rPr>
                  <w:t>、知识图谱、大模型和多模态人工智能等技术的基本原理，认识其处理中医药信息的基本方式。</w:t>
                </w:r>
              </w:p>
              <w:p w14:paraId="1D6C36D8">
                <w:pPr>
                  <w:widowControl/>
                  <w:spacing w:line="240" w:lineRule="auto"/>
                  <w:jc w:val="left"/>
                  <w:textAlignment w:val="center"/>
                  <w:rPr>
                    <w:rFonts w:hint="eastAsia" w:ascii="宋体" w:hAnsi="宋体" w:cs="宋体"/>
                    <w:kern w:val="0"/>
                    <w:sz w:val="18"/>
                    <w:szCs w:val="18"/>
                  </w:rPr>
                </w:pPr>
                <w:r>
                  <w:rPr>
                    <w:rFonts w:ascii="宋体" w:hAnsi="宋体" w:cs="宋体"/>
                    <w:kern w:val="0"/>
                    <w:sz w:val="18"/>
                    <w:szCs w:val="18"/>
                  </w:rPr>
                  <w:t>示例：自然语言处理用于</w:t>
                </w:r>
                <w:r>
                  <w:rPr>
                    <w:rFonts w:hint="eastAsia" w:ascii="宋体" w:hAnsi="宋体" w:cs="宋体"/>
                    <w:kern w:val="0"/>
                    <w:sz w:val="18"/>
                    <w:szCs w:val="18"/>
                  </w:rPr>
                  <w:t>中医药</w:t>
                </w:r>
                <w:r>
                  <w:rPr>
                    <w:rFonts w:ascii="宋体" w:hAnsi="宋体" w:cs="宋体"/>
                    <w:kern w:val="0"/>
                    <w:sz w:val="18"/>
                    <w:szCs w:val="18"/>
                  </w:rPr>
                  <w:t>典籍和医案文本的信息提取；计算机视觉用于舌象和中药材图像识别；时序信号分析用于脉象信号处理；多模态人工智能用于关联分析望诊图像、闻诊音频、问诊文本和</w:t>
                </w:r>
                <w:r>
                  <w:rPr>
                    <w:rFonts w:hint="eastAsia" w:ascii="宋体" w:hAnsi="宋体" w:cs="宋体"/>
                    <w:kern w:val="0"/>
                    <w:sz w:val="18"/>
                    <w:szCs w:val="18"/>
                  </w:rPr>
                  <w:t>切</w:t>
                </w:r>
                <w:r>
                  <w:rPr>
                    <w:rFonts w:ascii="宋体" w:hAnsi="宋体" w:cs="宋体"/>
                    <w:kern w:val="0"/>
                    <w:sz w:val="18"/>
                    <w:szCs w:val="18"/>
                  </w:rPr>
                  <w:t>诊信号</w:t>
                </w:r>
                <w:r>
                  <w:rPr>
                    <w:rFonts w:hint="eastAsia" w:ascii="宋体" w:hAnsi="宋体" w:cs="宋体"/>
                    <w:kern w:val="0"/>
                    <w:sz w:val="18"/>
                    <w:szCs w:val="18"/>
                  </w:rPr>
                  <w:t>。</w:t>
                </w:r>
              </w:p>
            </w:tc>
          </w:tr>
        </w:tbl>
        <w:p w14:paraId="7734B72E">
          <w:pPr>
            <w:widowControl/>
            <w:adjustRightInd/>
            <w:spacing w:line="240" w:lineRule="auto"/>
            <w:jc w:val="left"/>
            <w:rPr>
              <w:rFonts w:hint="eastAsia" w:ascii="黑体" w:hAnsi="黑体" w:eastAsia="黑体" w:cs="黑体"/>
              <w:kern w:val="0"/>
              <w:szCs w:val="20"/>
            </w:rPr>
          </w:pPr>
        </w:p>
        <w:p w14:paraId="6BFA7830">
          <w:pPr>
            <w:pStyle w:val="59"/>
            <w:ind w:firstLine="420"/>
            <w:jc w:val="center"/>
            <w:rPr>
              <w:rFonts w:hint="eastAsia" w:ascii="黑体" w:hAnsi="黑体" w:eastAsia="黑体" w:cs="黑体"/>
            </w:rPr>
          </w:pPr>
          <w:r>
            <w:rPr>
              <w:rFonts w:hint="eastAsia" w:ascii="黑体" w:hAnsi="黑体" w:eastAsia="黑体" w:cs="黑体"/>
            </w:rPr>
            <w:br w:type="page"/>
          </w:r>
        </w:p>
        <w:p w14:paraId="3C645E1E">
          <w:pPr>
            <w:pStyle w:val="59"/>
            <w:ind w:firstLine="420"/>
            <w:jc w:val="center"/>
            <w:rPr>
              <w:rFonts w:eastAsia="黑体"/>
            </w:rPr>
          </w:pPr>
          <w:r>
            <w:rPr>
              <w:rFonts w:hint="eastAsia" w:ascii="黑体" w:hAnsi="黑体" w:eastAsia="黑体" w:cs="黑体"/>
            </w:rPr>
            <w:t>表2 人工智能知识与技能（续）</w:t>
          </w:r>
        </w:p>
        <w:p w14:paraId="717B68DB">
          <w:pPr>
            <w:pStyle w:val="59"/>
            <w:ind w:firstLine="420"/>
          </w:pPr>
        </w:p>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
            <w:gridCol w:w="663"/>
            <w:gridCol w:w="2378"/>
            <w:gridCol w:w="5652"/>
          </w:tblGrid>
          <w:tr w14:paraId="312D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tcBorders>
                  <w:top w:val="single" w:color="auto" w:sz="8" w:space="0"/>
                  <w:left w:val="single" w:color="auto" w:sz="8" w:space="0"/>
                  <w:bottom w:val="single" w:color="auto" w:sz="8" w:space="0"/>
                </w:tcBorders>
                <w:vAlign w:val="center"/>
              </w:tcPr>
              <w:p w14:paraId="26729019">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一级维度</w:t>
                </w:r>
              </w:p>
            </w:tc>
            <w:tc>
              <w:tcPr>
                <w:tcW w:w="355" w:type="pct"/>
                <w:tcBorders>
                  <w:top w:val="single" w:color="auto" w:sz="8" w:space="0"/>
                  <w:bottom w:val="single" w:color="auto" w:sz="8" w:space="0"/>
                </w:tcBorders>
                <w:vAlign w:val="center"/>
              </w:tcPr>
              <w:p w14:paraId="140ED059">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二级维度</w:t>
                </w:r>
              </w:p>
            </w:tc>
            <w:tc>
              <w:tcPr>
                <w:tcW w:w="1274" w:type="pct"/>
                <w:tcBorders>
                  <w:top w:val="single" w:color="auto" w:sz="8" w:space="0"/>
                  <w:bottom w:val="single" w:color="auto" w:sz="8" w:space="0"/>
                  <w:right w:val="single" w:color="auto" w:sz="4" w:space="0"/>
                </w:tcBorders>
                <w:vAlign w:val="center"/>
              </w:tcPr>
              <w:p w14:paraId="175BA1D4">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三级维度</w:t>
                </w:r>
              </w:p>
            </w:tc>
            <w:tc>
              <w:tcPr>
                <w:tcW w:w="3028" w:type="pct"/>
                <w:tcBorders>
                  <w:top w:val="single" w:color="auto" w:sz="8" w:space="0"/>
                  <w:left w:val="single" w:color="auto" w:sz="4" w:space="0"/>
                  <w:bottom w:val="single" w:color="auto" w:sz="8" w:space="0"/>
                  <w:right w:val="single" w:color="auto" w:sz="8" w:space="0"/>
                </w:tcBorders>
                <w:vAlign w:val="center"/>
              </w:tcPr>
              <w:p w14:paraId="315BFE09">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描述</w:t>
                </w:r>
              </w:p>
            </w:tc>
          </w:tr>
          <w:tr w14:paraId="76F7F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restart"/>
                <w:tcBorders>
                  <w:left w:val="single" w:color="auto" w:sz="8" w:space="0"/>
                </w:tcBorders>
                <w:vAlign w:val="center"/>
              </w:tcPr>
              <w:p w14:paraId="35A37A57">
                <w:pPr>
                  <w:spacing w:line="240" w:lineRule="auto"/>
                  <w:jc w:val="center"/>
                  <w:rPr>
                    <w:rFonts w:hint="eastAsia" w:ascii="宋体" w:hAnsi="宋体" w:cs="宋体"/>
                    <w:sz w:val="18"/>
                    <w:szCs w:val="18"/>
                  </w:rPr>
                </w:pPr>
                <w:r>
                  <w:rPr>
                    <w:rFonts w:hint="eastAsia" w:ascii="宋体" w:hAnsi="宋体" w:cs="宋体"/>
                    <w:sz w:val="18"/>
                    <w:szCs w:val="18"/>
                  </w:rPr>
                  <w:t>人工智能知识与技能</w:t>
                </w:r>
              </w:p>
            </w:tc>
            <w:tc>
              <w:tcPr>
                <w:tcW w:w="355" w:type="pct"/>
                <w:vAlign w:val="center"/>
              </w:tcPr>
              <w:p w14:paraId="5B992E2D">
                <w:pPr>
                  <w:widowControl/>
                  <w:spacing w:line="240" w:lineRule="auto"/>
                  <w:jc w:val="center"/>
                  <w:textAlignment w:val="center"/>
                  <w:rPr>
                    <w:rFonts w:hint="eastAsia" w:ascii="宋体" w:hAnsi="宋体" w:cs="宋体"/>
                    <w:b/>
                    <w:bCs/>
                    <w:kern w:val="0"/>
                    <w:sz w:val="18"/>
                    <w:szCs w:val="18"/>
                    <w:lang w:bidi="ar"/>
                  </w:rPr>
                </w:pPr>
                <w:r>
                  <w:rPr>
                    <w:rFonts w:hint="eastAsia" w:ascii="宋体" w:hAnsi="宋体" w:cs="宋体"/>
                    <w:kern w:val="0"/>
                    <w:sz w:val="18"/>
                    <w:szCs w:val="18"/>
                    <w:lang w:bidi="ar"/>
                  </w:rPr>
                  <w:t>人工智能知识</w:t>
                </w:r>
              </w:p>
            </w:tc>
            <w:tc>
              <w:tcPr>
                <w:tcW w:w="1274" w:type="pct"/>
                <w:tcBorders>
                  <w:right w:val="single" w:color="auto" w:sz="4" w:space="0"/>
                </w:tcBorders>
                <w:vAlign w:val="center"/>
              </w:tcPr>
              <w:p w14:paraId="1E8D54A2">
                <w:pPr>
                  <w:widowControl/>
                  <w:spacing w:after="62" w:line="240" w:lineRule="auto"/>
                  <w:jc w:val="center"/>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中医药智能技术的发展与应用</w:t>
                </w:r>
                <w:r>
                  <w:rPr>
                    <w:rFonts w:hint="eastAsia" w:ascii="宋体" w:hAnsi="宋体" w:cs="宋体"/>
                    <w:color w:val="000000" w:themeColor="text1"/>
                    <w:kern w:val="0"/>
                    <w:sz w:val="18"/>
                    <w:szCs w:val="18"/>
                    <w14:textFill>
                      <w14:solidFill>
                        <w14:schemeClr w14:val="tx1"/>
                      </w14:solidFill>
                    </w14:textFill>
                  </w:rPr>
                  <w:t>知识</w:t>
                </w:r>
              </w:p>
            </w:tc>
            <w:tc>
              <w:tcPr>
                <w:tcW w:w="3028" w:type="pct"/>
                <w:tcBorders>
                  <w:left w:val="single" w:color="auto" w:sz="4" w:space="0"/>
                  <w:right w:val="single" w:color="auto" w:sz="8" w:space="0"/>
                </w:tcBorders>
                <w:vAlign w:val="center"/>
              </w:tcPr>
              <w:p w14:paraId="59AA41A8">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了解智能技术在中医药领域的发展脉络，认识知识检索、信息识别、数据分析、辅助判断和成果表达等主要应用方式。</w:t>
                </w:r>
              </w:p>
              <w:p w14:paraId="2EF48DFD">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示例：了解中医药知识库、专家系统、</w:t>
                </w:r>
                <w:r>
                  <w:rPr>
                    <w:rFonts w:hint="eastAsia" w:ascii="宋体" w:hAnsi="宋体" w:cs="宋体"/>
                    <w:color w:val="000000" w:themeColor="text1"/>
                    <w:kern w:val="0"/>
                    <w:sz w:val="18"/>
                    <w:szCs w:val="18"/>
                    <w14:textFill>
                      <w14:solidFill>
                        <w14:schemeClr w14:val="tx1"/>
                      </w14:solidFill>
                    </w14:textFill>
                  </w:rPr>
                  <w:t>中医四诊智能化</w:t>
                </w:r>
                <w:r>
                  <w:rPr>
                    <w:rFonts w:ascii="宋体" w:hAnsi="宋体" w:cs="宋体"/>
                    <w:color w:val="000000" w:themeColor="text1"/>
                    <w:kern w:val="0"/>
                    <w:sz w:val="18"/>
                    <w:szCs w:val="18"/>
                    <w14:textFill>
                      <w14:solidFill>
                        <w14:schemeClr w14:val="tx1"/>
                      </w14:solidFill>
                    </w14:textFill>
                  </w:rPr>
                  <w:t>、中医药大模型等应用的发展变化</w:t>
                </w:r>
                <w:r>
                  <w:rPr>
                    <w:rFonts w:hint="eastAsia" w:ascii="宋体" w:hAnsi="宋体" w:cs="宋体"/>
                    <w:color w:val="000000" w:themeColor="text1"/>
                    <w:kern w:val="0"/>
                    <w:sz w:val="18"/>
                    <w:szCs w:val="18"/>
                    <w14:textFill>
                      <w14:solidFill>
                        <w14:schemeClr w14:val="tx1"/>
                      </w14:solidFill>
                    </w14:textFill>
                  </w:rPr>
                  <w:t>。</w:t>
                </w:r>
              </w:p>
            </w:tc>
          </w:tr>
          <w:tr w14:paraId="7C85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tcBorders>
                  <w:left w:val="single" w:color="auto" w:sz="8" w:space="0"/>
                </w:tcBorders>
                <w:vAlign w:val="center"/>
              </w:tcPr>
              <w:p w14:paraId="213833FA">
                <w:pPr>
                  <w:spacing w:line="240" w:lineRule="auto"/>
                  <w:jc w:val="center"/>
                  <w:rPr>
                    <w:rFonts w:hint="eastAsia" w:ascii="宋体" w:hAnsi="宋体" w:cs="宋体"/>
                    <w:sz w:val="18"/>
                    <w:szCs w:val="18"/>
                  </w:rPr>
                </w:pPr>
              </w:p>
            </w:tc>
            <w:tc>
              <w:tcPr>
                <w:tcW w:w="355" w:type="pct"/>
                <w:vMerge w:val="restart"/>
                <w:vAlign w:val="center"/>
              </w:tcPr>
              <w:p w14:paraId="042ECDC6">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人工智能技能</w:t>
                </w:r>
              </w:p>
            </w:tc>
            <w:tc>
              <w:tcPr>
                <w:tcW w:w="1274" w:type="pct"/>
                <w:tcBorders>
                  <w:right w:val="single" w:color="auto" w:sz="4" w:space="0"/>
                </w:tcBorders>
                <w:vAlign w:val="center"/>
              </w:tcPr>
              <w:p w14:paraId="1298D124">
                <w:pPr>
                  <w:widowControl/>
                  <w:spacing w:after="62" w:line="240" w:lineRule="auto"/>
                  <w:jc w:val="center"/>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中医药智能技术资源的选择策略</w:t>
                </w:r>
              </w:p>
            </w:tc>
            <w:tc>
              <w:tcPr>
                <w:tcW w:w="3028" w:type="pct"/>
                <w:tcBorders>
                  <w:left w:val="single" w:color="auto" w:sz="4" w:space="0"/>
                  <w:right w:val="single" w:color="auto" w:sz="8" w:space="0"/>
                </w:tcBorders>
                <w:vAlign w:val="center"/>
              </w:tcPr>
              <w:p w14:paraId="22AABBFC">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能够根据任务目标、信息类型、功能需求、可靠性和适用边界选择适合的智能技术资源</w:t>
                </w:r>
                <w:r>
                  <w:rPr>
                    <w:rFonts w:hint="eastAsia" w:ascii="宋体" w:hAnsi="宋体" w:cs="宋体"/>
                    <w:color w:val="000000" w:themeColor="text1"/>
                    <w:kern w:val="0"/>
                    <w:sz w:val="18"/>
                    <w:szCs w:val="18"/>
                    <w14:textFill>
                      <w14:solidFill>
                        <w14:schemeClr w14:val="tx1"/>
                      </w14:solidFill>
                    </w14:textFill>
                  </w:rPr>
                  <w:t>。</w:t>
                </w:r>
              </w:p>
              <w:p w14:paraId="0B9C0C00">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示例：开展典籍研读时选择文本处理或大模型工具；开展舌象识别训练时选择图像识别工具或实训平台</w:t>
                </w:r>
                <w:r>
                  <w:rPr>
                    <w:rFonts w:hint="eastAsia" w:ascii="宋体" w:hAnsi="宋体" w:cs="宋体"/>
                    <w:color w:val="000000" w:themeColor="text1"/>
                    <w:kern w:val="0"/>
                    <w:sz w:val="18"/>
                    <w:szCs w:val="18"/>
                    <w14:textFill>
                      <w14:solidFill>
                        <w14:schemeClr w14:val="tx1"/>
                      </w14:solidFill>
                    </w14:textFill>
                  </w:rPr>
                  <w:t>。</w:t>
                </w:r>
              </w:p>
            </w:tc>
          </w:tr>
          <w:tr w14:paraId="799DD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tcBorders>
                  <w:left w:val="single" w:color="auto" w:sz="8" w:space="0"/>
                </w:tcBorders>
                <w:vAlign w:val="center"/>
              </w:tcPr>
              <w:p w14:paraId="1A0851F7">
                <w:pPr>
                  <w:spacing w:line="240" w:lineRule="auto"/>
                  <w:jc w:val="center"/>
                  <w:rPr>
                    <w:rFonts w:hint="eastAsia" w:ascii="宋体" w:hAnsi="宋体" w:cs="宋体"/>
                    <w:sz w:val="18"/>
                    <w:szCs w:val="18"/>
                  </w:rPr>
                </w:pPr>
              </w:p>
            </w:tc>
            <w:tc>
              <w:tcPr>
                <w:tcW w:w="355" w:type="pct"/>
                <w:vMerge w:val="continue"/>
                <w:vAlign w:val="center"/>
              </w:tcPr>
              <w:p w14:paraId="4C3D38E3">
                <w:pPr>
                  <w:widowControl/>
                  <w:spacing w:line="240" w:lineRule="auto"/>
                  <w:jc w:val="center"/>
                  <w:textAlignment w:val="center"/>
                  <w:rPr>
                    <w:rFonts w:hint="eastAsia" w:ascii="宋体" w:hAnsi="宋体" w:cs="宋体"/>
                    <w:kern w:val="0"/>
                    <w:sz w:val="18"/>
                    <w:szCs w:val="18"/>
                    <w:lang w:bidi="ar"/>
                  </w:rPr>
                </w:pPr>
              </w:p>
            </w:tc>
            <w:tc>
              <w:tcPr>
                <w:tcW w:w="1274" w:type="pct"/>
                <w:tcBorders>
                  <w:right w:val="single" w:color="auto" w:sz="4" w:space="0"/>
                </w:tcBorders>
                <w:vAlign w:val="center"/>
              </w:tcPr>
              <w:p w14:paraId="63BC333B">
                <w:pPr>
                  <w:widowControl/>
                  <w:spacing w:after="62" w:line="240" w:lineRule="auto"/>
                  <w:jc w:val="center"/>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中医药智能技术</w:t>
                </w:r>
                <w:r>
                  <w:rPr>
                    <w:rFonts w:hint="eastAsia" w:ascii="宋体" w:hAnsi="宋体" w:cs="宋体"/>
                    <w:color w:val="000000" w:themeColor="text1"/>
                    <w:kern w:val="0"/>
                    <w:sz w:val="18"/>
                    <w:szCs w:val="18"/>
                    <w14:textFill>
                      <w14:solidFill>
                        <w14:schemeClr w14:val="tx1"/>
                      </w14:solidFill>
                    </w14:textFill>
                  </w:rPr>
                  <w:t>资源</w:t>
                </w:r>
                <w:r>
                  <w:rPr>
                    <w:rFonts w:ascii="宋体" w:hAnsi="宋体" w:cs="宋体"/>
                    <w:color w:val="000000" w:themeColor="text1"/>
                    <w:kern w:val="0"/>
                    <w:sz w:val="18"/>
                    <w:szCs w:val="18"/>
                    <w14:textFill>
                      <w14:solidFill>
                        <w14:schemeClr w14:val="tx1"/>
                      </w14:solidFill>
                    </w14:textFill>
                  </w:rPr>
                  <w:t>的使用方法</w:t>
                </w:r>
              </w:p>
            </w:tc>
            <w:tc>
              <w:tcPr>
                <w:tcW w:w="3028" w:type="pct"/>
                <w:tcBorders>
                  <w:left w:val="single" w:color="auto" w:sz="4" w:space="0"/>
                  <w:right w:val="single" w:color="auto" w:sz="8" w:space="0"/>
                </w:tcBorders>
                <w:vAlign w:val="center"/>
              </w:tcPr>
              <w:p w14:paraId="4A3F13EF">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能够根据任务需要使用中医药智能技术资源，进行任务描述、资料输入、输出要求设置、提示词编写与优化以及迭代调整</w:t>
                </w:r>
                <w:r>
                  <w:rPr>
                    <w:rFonts w:hint="eastAsia" w:ascii="宋体" w:hAnsi="宋体" w:cs="宋体"/>
                    <w:color w:val="000000" w:themeColor="text1"/>
                    <w:kern w:val="0"/>
                    <w:sz w:val="18"/>
                    <w:szCs w:val="18"/>
                    <w14:textFill>
                      <w14:solidFill>
                        <w14:schemeClr w14:val="tx1"/>
                      </w14:solidFill>
                    </w14:textFill>
                  </w:rPr>
                  <w:t>。</w:t>
                </w:r>
              </w:p>
              <w:p w14:paraId="4606454F">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示例：开展医案分析时明确任务目标、背景材料、约束条件和输出格式，并根据输出结果补充信息、调整提示词</w:t>
                </w:r>
                <w:r>
                  <w:rPr>
                    <w:rFonts w:hint="eastAsia" w:ascii="宋体" w:hAnsi="宋体" w:cs="宋体"/>
                    <w:color w:val="000000" w:themeColor="text1"/>
                    <w:kern w:val="0"/>
                    <w:sz w:val="18"/>
                    <w:szCs w:val="18"/>
                    <w14:textFill>
                      <w14:solidFill>
                        <w14:schemeClr w14:val="tx1"/>
                      </w14:solidFill>
                    </w14:textFill>
                  </w:rPr>
                  <w:t>。</w:t>
                </w:r>
              </w:p>
            </w:tc>
          </w:tr>
          <w:tr w14:paraId="3FF21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3" w:type="pct"/>
                <w:vMerge w:val="continue"/>
                <w:tcBorders>
                  <w:left w:val="single" w:color="auto" w:sz="8" w:space="0"/>
                  <w:bottom w:val="single" w:color="auto" w:sz="8" w:space="0"/>
                </w:tcBorders>
                <w:vAlign w:val="center"/>
              </w:tcPr>
              <w:p w14:paraId="365862D0">
                <w:pPr>
                  <w:spacing w:line="240" w:lineRule="auto"/>
                  <w:jc w:val="center"/>
                  <w:rPr>
                    <w:rFonts w:hint="eastAsia" w:ascii="宋体" w:hAnsi="宋体" w:cs="宋体"/>
                    <w:sz w:val="18"/>
                    <w:szCs w:val="18"/>
                  </w:rPr>
                </w:pPr>
              </w:p>
            </w:tc>
            <w:tc>
              <w:tcPr>
                <w:tcW w:w="355" w:type="pct"/>
                <w:vMerge w:val="continue"/>
                <w:tcBorders>
                  <w:bottom w:val="single" w:color="auto" w:sz="8" w:space="0"/>
                </w:tcBorders>
                <w:vAlign w:val="center"/>
              </w:tcPr>
              <w:p w14:paraId="77D38852">
                <w:pPr>
                  <w:widowControl/>
                  <w:spacing w:line="240" w:lineRule="auto"/>
                  <w:jc w:val="center"/>
                  <w:textAlignment w:val="center"/>
                  <w:rPr>
                    <w:rFonts w:hint="eastAsia" w:ascii="宋体" w:hAnsi="宋体" w:cs="宋体"/>
                    <w:kern w:val="0"/>
                    <w:sz w:val="18"/>
                    <w:szCs w:val="18"/>
                    <w:lang w:bidi="ar"/>
                  </w:rPr>
                </w:pPr>
              </w:p>
            </w:tc>
            <w:tc>
              <w:tcPr>
                <w:tcW w:w="1274" w:type="pct"/>
                <w:tcBorders>
                  <w:bottom w:val="single" w:color="auto" w:sz="8" w:space="0"/>
                  <w:right w:val="single" w:color="auto" w:sz="4" w:space="0"/>
                </w:tcBorders>
                <w:vAlign w:val="center"/>
              </w:tcPr>
              <w:p w14:paraId="0921ABED">
                <w:pPr>
                  <w:widowControl/>
                  <w:spacing w:after="62" w:line="240" w:lineRule="auto"/>
                  <w:jc w:val="center"/>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中医药学习资源的获取、生成与管理</w:t>
                </w:r>
              </w:p>
            </w:tc>
            <w:tc>
              <w:tcPr>
                <w:tcW w:w="3028" w:type="pct"/>
                <w:tcBorders>
                  <w:left w:val="single" w:color="auto" w:sz="4" w:space="0"/>
                  <w:bottom w:val="single" w:color="auto" w:sz="8" w:space="0"/>
                  <w:right w:val="single" w:color="auto" w:sz="8" w:space="0"/>
                </w:tcBorders>
                <w:vAlign w:val="center"/>
              </w:tcPr>
              <w:p w14:paraId="549D38E1">
                <w:pPr>
                  <w:widowControl/>
                  <w:spacing w:after="62" w:line="240" w:lineRule="auto"/>
                  <w:jc w:val="left"/>
                  <w:textAlignment w:val="center"/>
                  <w:rPr>
                    <w:rFonts w:hint="eastAsia" w:ascii="宋体" w:hAnsi="宋体" w:cs="宋体"/>
                    <w:kern w:val="0"/>
                    <w:sz w:val="18"/>
                    <w:szCs w:val="18"/>
                    <w:lang w:bidi="ar"/>
                  </w:rPr>
                </w:pPr>
                <w:r>
                  <w:rPr>
                    <w:rFonts w:ascii="宋体" w:hAnsi="宋体" w:cs="宋体"/>
                    <w:kern w:val="0"/>
                    <w:sz w:val="18"/>
                    <w:szCs w:val="18"/>
                    <w:lang w:bidi="ar"/>
                  </w:rPr>
                  <w:t>能够运用智能技术资源获取、整合和生成中医药学习资料，建立个人学习资源库，并通过分类整理、维护、共享和持续更新等方式进行管理。</w:t>
                </w:r>
              </w:p>
              <w:p w14:paraId="6BCD5991">
                <w:pPr>
                  <w:widowControl/>
                  <w:spacing w:after="62" w:line="240" w:lineRule="auto"/>
                  <w:jc w:val="left"/>
                  <w:textAlignment w:val="center"/>
                  <w:rPr>
                    <w:rFonts w:hint="eastAsia" w:ascii="宋体" w:hAnsi="宋体" w:cs="宋体"/>
                    <w:kern w:val="0"/>
                    <w:sz w:val="18"/>
                    <w:szCs w:val="18"/>
                    <w:lang w:bidi="ar"/>
                  </w:rPr>
                </w:pPr>
                <w:r>
                  <w:rPr>
                    <w:rFonts w:ascii="宋体" w:hAnsi="宋体" w:cs="宋体"/>
                    <w:kern w:val="0"/>
                    <w:sz w:val="18"/>
                    <w:szCs w:val="18"/>
                    <w:lang w:bidi="ar"/>
                  </w:rPr>
                  <w:t>示例：整理中医经典与医案学习资料；制作方药、腧穴知识卡片；汇集舌象、中药材图像及讲解材料；持续更新个人中医药学习知识库</w:t>
                </w:r>
                <w:r>
                  <w:rPr>
                    <w:rFonts w:hint="eastAsia" w:ascii="宋体" w:hAnsi="宋体" w:cs="宋体"/>
                    <w:kern w:val="0"/>
                    <w:sz w:val="18"/>
                    <w:szCs w:val="18"/>
                    <w:lang w:bidi="ar"/>
                  </w:rPr>
                  <w:t>。</w:t>
                </w:r>
              </w:p>
            </w:tc>
          </w:tr>
        </w:tbl>
        <w:p w14:paraId="44A59911">
          <w:pPr>
            <w:pStyle w:val="59"/>
            <w:ind w:firstLine="0" w:firstLineChars="0"/>
          </w:pPr>
        </w:p>
        <w:p w14:paraId="1FEE0C53">
          <w:pPr>
            <w:pStyle w:val="108"/>
            <w:spacing w:before="120" w:after="120"/>
          </w:pPr>
          <w:bookmarkStart w:id="65" w:name="_Toc1069"/>
          <w:r>
            <w:rPr>
              <w:rFonts w:hint="eastAsia"/>
            </w:rPr>
            <w:t>人工</w:t>
          </w:r>
          <w:r>
            <w:rPr>
              <w:rFonts w:hint="eastAsia"/>
              <w:lang w:eastAsia="zh"/>
            </w:rPr>
            <w:t>智能</w:t>
          </w:r>
          <w:bookmarkEnd w:id="65"/>
          <w:r>
            <w:rPr>
              <w:rFonts w:hint="eastAsia"/>
            </w:rPr>
            <w:t>知识</w:t>
          </w:r>
        </w:p>
        <w:p w14:paraId="0A5B9C41">
          <w:pPr>
            <w:pStyle w:val="59"/>
            <w:ind w:firstLine="420"/>
            <w:rPr>
              <w:lang w:eastAsia="zh"/>
            </w:rPr>
          </w:pPr>
          <w:r>
            <w:rPr>
              <w:lang w:eastAsia="zh"/>
            </w:rPr>
            <w:t>中医药大学生理解中医药领域人工智能技术及其应用所需的基本知识，包括中医药领域常见智能技术基本原理和中医药智能技术的发展与应用</w:t>
          </w:r>
          <w:r>
            <w:rPr>
              <w:rFonts w:hint="eastAsia"/>
              <w:lang w:eastAsia="zh"/>
            </w:rPr>
            <w:t>知识</w:t>
          </w:r>
          <w:r>
            <w:rPr>
              <w:lang w:eastAsia="zh"/>
            </w:rPr>
            <w:t>。</w:t>
          </w:r>
        </w:p>
        <w:p w14:paraId="778623C1">
          <w:pPr>
            <w:pStyle w:val="108"/>
            <w:spacing w:before="120" w:after="120"/>
          </w:pPr>
          <w:bookmarkStart w:id="66" w:name="_Toc4957"/>
          <w:r>
            <w:rPr>
              <w:rFonts w:hint="eastAsia"/>
            </w:rPr>
            <w:t>人工智能</w:t>
          </w:r>
          <w:bookmarkEnd w:id="66"/>
          <w:r>
            <w:rPr>
              <w:rFonts w:hint="eastAsia"/>
            </w:rPr>
            <w:t>技能</w:t>
          </w:r>
        </w:p>
        <w:bookmarkEnd w:id="64"/>
        <w:p w14:paraId="566839CE">
          <w:pPr>
            <w:pStyle w:val="59"/>
            <w:ind w:firstLine="420"/>
          </w:pPr>
          <w:r>
            <w:t>中医药大学生选择、使用和管理智能技术资源的基本技能，包括中医药智能技术资源的选择策略、中医药智能技术资源的使用方法和中医药学习资源的获取、生成与管理。</w:t>
          </w:r>
        </w:p>
        <w:p w14:paraId="2F3F2F47">
          <w:pPr>
            <w:pStyle w:val="107"/>
            <w:spacing w:before="240" w:after="240"/>
          </w:pPr>
          <w:bookmarkStart w:id="67" w:name="_Toc236682856"/>
          <w:r>
            <w:rPr>
              <w:rFonts w:hint="eastAsia"/>
            </w:rPr>
            <w:t>人工智能思维</w:t>
          </w:r>
          <w:bookmarkEnd w:id="67"/>
        </w:p>
        <w:p w14:paraId="2605870B">
          <w:pPr>
            <w:pStyle w:val="108"/>
            <w:spacing w:before="120" w:after="120"/>
          </w:pPr>
          <w:bookmarkStart w:id="68" w:name="_Toc191654605"/>
          <w:r>
            <w:rPr>
              <w:rFonts w:hint="eastAsia"/>
            </w:rPr>
            <w:t>概述</w:t>
          </w:r>
        </w:p>
        <w:p w14:paraId="3D1A7914">
          <w:pPr>
            <w:pStyle w:val="59"/>
            <w:ind w:firstLine="420"/>
          </w:pPr>
          <w:r>
            <w:t>中医药大学生面对人工智能相关问题时，对信息、技术及其应用进行分析、判断和反思，并形成解决问题思路的思维能力，包括</w:t>
          </w:r>
          <w:r>
            <w:rPr>
              <w:rFonts w:hint="eastAsia"/>
            </w:rPr>
            <w:t>数据建模</w:t>
          </w:r>
          <w:r>
            <w:t>思维</w:t>
          </w:r>
          <w:r>
            <w:rPr>
              <w:rFonts w:hint="eastAsia"/>
            </w:rPr>
            <w:t>、人</w:t>
          </w:r>
          <w:r>
            <w:t>机协同思维</w:t>
          </w:r>
          <w:r>
            <w:rPr>
              <w:rFonts w:hint="eastAsia"/>
            </w:rPr>
            <w:t>、</w:t>
          </w:r>
          <w:r>
            <w:t>批判</w:t>
          </w:r>
          <w:r>
            <w:rPr>
              <w:rFonts w:hint="eastAsia"/>
            </w:rPr>
            <w:t>与</w:t>
          </w:r>
          <w:r>
            <w:t>创新思维</w:t>
          </w:r>
          <w:r>
            <w:rPr>
              <w:rFonts w:hint="eastAsia"/>
            </w:rPr>
            <w:t>。</w:t>
          </w:r>
        </w:p>
        <w:p w14:paraId="3BA3C411">
          <w:pPr>
            <w:pStyle w:val="59"/>
            <w:ind w:firstLine="420"/>
          </w:pPr>
          <w:r>
            <w:rPr>
              <w:rFonts w:hint="eastAsia"/>
            </w:rPr>
            <w:t>人工智能思维的二级维度及三级维度见表3。</w:t>
          </w:r>
        </w:p>
        <w:p w14:paraId="14A584D0">
          <w:pPr>
            <w:pStyle w:val="59"/>
            <w:ind w:firstLine="0" w:firstLineChars="0"/>
          </w:pPr>
        </w:p>
        <w:p w14:paraId="2CE4E1BA">
          <w:pPr>
            <w:pStyle w:val="59"/>
            <w:ind w:firstLine="420"/>
            <w:jc w:val="center"/>
            <w:rPr>
              <w:rFonts w:hint="eastAsia" w:ascii="黑体" w:hAnsi="黑体" w:eastAsia="黑体" w:cs="黑体"/>
            </w:rPr>
          </w:pPr>
          <w:r>
            <w:rPr>
              <w:rFonts w:hint="eastAsia" w:ascii="黑体" w:hAnsi="黑体" w:eastAsia="黑体" w:cs="黑体"/>
            </w:rPr>
            <w:t>表3 人工智能思维</w:t>
          </w:r>
        </w:p>
        <w:p w14:paraId="63B45EF4">
          <w:pPr>
            <w:pStyle w:val="59"/>
            <w:ind w:firstLine="420"/>
            <w:jc w:val="center"/>
            <w:rPr>
              <w:rFonts w:hint="eastAsia" w:ascii="黑体" w:hAnsi="黑体" w:eastAsia="黑体" w:cs="黑体"/>
            </w:rPr>
          </w:pPr>
        </w:p>
        <w:tbl>
          <w:tblPr>
            <w:tblStyle w:val="28"/>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652"/>
            <w:gridCol w:w="2382"/>
            <w:gridCol w:w="5640"/>
          </w:tblGrid>
          <w:tr w14:paraId="51BB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tcBorders>
                  <w:top w:val="single" w:color="auto" w:sz="8" w:space="0"/>
                  <w:left w:val="single" w:color="auto" w:sz="8" w:space="0"/>
                  <w:bottom w:val="single" w:color="auto" w:sz="8" w:space="0"/>
                </w:tcBorders>
                <w:noWrap/>
                <w:vAlign w:val="center"/>
              </w:tcPr>
              <w:p w14:paraId="19ABB44C">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sz w:val="18"/>
                    <w:szCs w:val="18"/>
                  </w:rPr>
                  <w:t>一级维度</w:t>
                </w:r>
              </w:p>
            </w:tc>
            <w:tc>
              <w:tcPr>
                <w:tcW w:w="350" w:type="pct"/>
                <w:tcBorders>
                  <w:top w:val="single" w:color="auto" w:sz="8" w:space="0"/>
                  <w:bottom w:val="single" w:color="auto" w:sz="8" w:space="0"/>
                </w:tcBorders>
                <w:vAlign w:val="center"/>
              </w:tcPr>
              <w:p w14:paraId="6B309289">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sz w:val="18"/>
                    <w:szCs w:val="18"/>
                  </w:rPr>
                  <w:t>二级维度</w:t>
                </w:r>
              </w:p>
            </w:tc>
            <w:tc>
              <w:tcPr>
                <w:tcW w:w="1279" w:type="pct"/>
                <w:tcBorders>
                  <w:top w:val="single" w:color="auto" w:sz="8" w:space="0"/>
                  <w:bottom w:val="single" w:color="auto" w:sz="8" w:space="0"/>
                  <w:right w:val="single" w:color="auto" w:sz="4" w:space="0"/>
                </w:tcBorders>
                <w:vAlign w:val="center"/>
              </w:tcPr>
              <w:p w14:paraId="4172842F">
                <w:pPr>
                  <w:widowControl/>
                  <w:spacing w:after="62" w:line="240" w:lineRule="auto"/>
                  <w:jc w:val="center"/>
                  <w:textAlignment w:val="center"/>
                  <w:rPr>
                    <w:rFonts w:hint="eastAsia" w:ascii="宋体" w:hAnsi="宋体" w:cs="宋体"/>
                    <w:kern w:val="0"/>
                    <w:sz w:val="18"/>
                    <w:szCs w:val="18"/>
                  </w:rPr>
                </w:pPr>
                <w:r>
                  <w:rPr>
                    <w:rFonts w:hint="eastAsia" w:ascii="宋体" w:hAnsi="宋体" w:cs="宋体"/>
                    <w:sz w:val="18"/>
                    <w:szCs w:val="18"/>
                  </w:rPr>
                  <w:t>三级维度</w:t>
                </w:r>
              </w:p>
            </w:tc>
            <w:tc>
              <w:tcPr>
                <w:tcW w:w="3029" w:type="pct"/>
                <w:tcBorders>
                  <w:top w:val="single" w:color="auto" w:sz="8" w:space="0"/>
                  <w:left w:val="single" w:color="auto" w:sz="4" w:space="0"/>
                  <w:bottom w:val="single" w:color="auto" w:sz="8" w:space="0"/>
                  <w:right w:val="single" w:color="auto" w:sz="8" w:space="0"/>
                </w:tcBorders>
                <w:vAlign w:val="center"/>
              </w:tcPr>
              <w:p w14:paraId="6145E700">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sz w:val="18"/>
                    <w:szCs w:val="18"/>
                  </w:rPr>
                  <w:t>描述</w:t>
                </w:r>
              </w:p>
            </w:tc>
          </w:tr>
          <w:tr w14:paraId="78B55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vMerge w:val="restart"/>
                <w:tcBorders>
                  <w:top w:val="single" w:color="auto" w:sz="8" w:space="0"/>
                  <w:left w:val="single" w:color="auto" w:sz="8" w:space="0"/>
                </w:tcBorders>
                <w:noWrap/>
                <w:vAlign w:val="center"/>
              </w:tcPr>
              <w:p w14:paraId="2B1C620C">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人工智能思维</w:t>
                </w:r>
              </w:p>
            </w:tc>
            <w:tc>
              <w:tcPr>
                <w:tcW w:w="350" w:type="pct"/>
                <w:vMerge w:val="restart"/>
                <w:tcBorders>
                  <w:top w:val="single" w:color="auto" w:sz="8" w:space="0"/>
                </w:tcBorders>
                <w:vAlign w:val="center"/>
              </w:tcPr>
              <w:p w14:paraId="7AEA2E4A">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数据建模思维</w:t>
                </w:r>
              </w:p>
            </w:tc>
            <w:tc>
              <w:tcPr>
                <w:tcW w:w="1279" w:type="pct"/>
                <w:tcBorders>
                  <w:top w:val="single" w:color="auto" w:sz="8" w:space="0"/>
                  <w:bottom w:val="single" w:color="auto" w:sz="8" w:space="0"/>
                  <w:right w:val="single" w:color="auto" w:sz="4" w:space="0"/>
                </w:tcBorders>
                <w:vAlign w:val="center"/>
              </w:tcPr>
              <w:p w14:paraId="04FEB51D">
                <w:pPr>
                  <w:widowControl/>
                  <w:spacing w:after="62" w:line="240" w:lineRule="auto"/>
                  <w:jc w:val="center"/>
                  <w:textAlignment w:val="center"/>
                  <w:rPr>
                    <w:rFonts w:hint="eastAsia" w:ascii="宋体" w:hAnsi="宋体" w:cs="宋体"/>
                    <w:kern w:val="0"/>
                    <w:sz w:val="18"/>
                    <w:szCs w:val="18"/>
                    <w:highlight w:val="yellow"/>
                  </w:rPr>
                </w:pPr>
                <w:r>
                  <w:rPr>
                    <w:rFonts w:ascii="宋体" w:hAnsi="宋体" w:cs="宋体"/>
                    <w:kern w:val="0"/>
                    <w:sz w:val="18"/>
                    <w:szCs w:val="18"/>
                  </w:rPr>
                  <w:t>中医药信息的数据化处理与表达</w:t>
                </w:r>
              </w:p>
            </w:tc>
            <w:tc>
              <w:tcPr>
                <w:tcW w:w="3029" w:type="pct"/>
                <w:tcBorders>
                  <w:top w:val="single" w:color="auto" w:sz="8" w:space="0"/>
                  <w:left w:val="single" w:color="auto" w:sz="4" w:space="0"/>
                  <w:bottom w:val="single" w:color="auto" w:sz="8" w:space="0"/>
                  <w:right w:val="single" w:color="auto" w:sz="8" w:space="0"/>
                </w:tcBorders>
                <w:vAlign w:val="center"/>
              </w:tcPr>
              <w:p w14:paraId="3A76C020">
                <w:pPr>
                  <w:widowControl/>
                  <w:spacing w:line="240" w:lineRule="auto"/>
                  <w:jc w:val="left"/>
                  <w:textAlignment w:val="center"/>
                  <w:rPr>
                    <w:rFonts w:hint="eastAsia" w:ascii="宋体" w:hAnsi="宋体" w:cs="宋体"/>
                    <w:kern w:val="0"/>
                    <w:sz w:val="18"/>
                    <w:szCs w:val="18"/>
                    <w:highlight w:val="yellow"/>
                    <w:lang w:bidi="ar"/>
                  </w:rPr>
                </w:pPr>
                <w:r>
                  <w:rPr>
                    <w:rFonts w:ascii="宋体" w:hAnsi="宋体" w:cs="宋体"/>
                    <w:kern w:val="0"/>
                    <w:sz w:val="18"/>
                    <w:szCs w:val="18"/>
                    <w:lang w:bidi="ar"/>
                  </w:rPr>
                  <w:t>能够根据任务需要识别中医药信息中的关键对象、属性和关系，分析数据来源、质量、代表性和采集条件，确定数据选择、整理、标注和结构化表达方式</w:t>
                </w:r>
                <w:r>
                  <w:rPr>
                    <w:rFonts w:hint="eastAsia" w:ascii="宋体" w:hAnsi="宋体" w:cs="宋体"/>
                    <w:kern w:val="0"/>
                    <w:sz w:val="18"/>
                    <w:szCs w:val="18"/>
                    <w:lang w:bidi="ar"/>
                  </w:rPr>
                  <w:t>。</w:t>
                </w:r>
              </w:p>
            </w:tc>
          </w:tr>
          <w:tr w14:paraId="7515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vMerge w:val="continue"/>
                <w:tcBorders>
                  <w:left w:val="single" w:color="auto" w:sz="8" w:space="0"/>
                </w:tcBorders>
                <w:noWrap/>
                <w:vAlign w:val="center"/>
              </w:tcPr>
              <w:p w14:paraId="25682182">
                <w:pPr>
                  <w:widowControl/>
                  <w:spacing w:line="240" w:lineRule="auto"/>
                  <w:jc w:val="center"/>
                  <w:textAlignment w:val="center"/>
                  <w:rPr>
                    <w:rFonts w:hint="eastAsia" w:ascii="宋体" w:hAnsi="宋体" w:cs="宋体"/>
                    <w:kern w:val="0"/>
                    <w:sz w:val="18"/>
                    <w:szCs w:val="18"/>
                    <w:lang w:bidi="ar"/>
                  </w:rPr>
                </w:pPr>
              </w:p>
            </w:tc>
            <w:tc>
              <w:tcPr>
                <w:tcW w:w="350" w:type="pct"/>
                <w:vMerge w:val="continue"/>
                <w:tcBorders>
                  <w:bottom w:val="single" w:color="auto" w:sz="6" w:space="0"/>
                </w:tcBorders>
                <w:vAlign w:val="center"/>
              </w:tcPr>
              <w:p w14:paraId="26DA45A1">
                <w:pPr>
                  <w:widowControl/>
                  <w:spacing w:line="240" w:lineRule="auto"/>
                  <w:jc w:val="center"/>
                  <w:textAlignment w:val="center"/>
                  <w:rPr>
                    <w:rFonts w:hint="eastAsia" w:ascii="宋体" w:hAnsi="宋体" w:cs="宋体"/>
                    <w:kern w:val="0"/>
                    <w:sz w:val="18"/>
                    <w:szCs w:val="18"/>
                    <w:highlight w:val="yellow"/>
                    <w:lang w:bidi="ar"/>
                  </w:rPr>
                </w:pPr>
              </w:p>
            </w:tc>
            <w:tc>
              <w:tcPr>
                <w:tcW w:w="1279" w:type="pct"/>
                <w:tcBorders>
                  <w:top w:val="single" w:color="auto" w:sz="8" w:space="0"/>
                  <w:bottom w:val="single" w:color="auto" w:sz="8" w:space="0"/>
                  <w:right w:val="single" w:color="auto" w:sz="4" w:space="0"/>
                </w:tcBorders>
                <w:vAlign w:val="center"/>
              </w:tcPr>
              <w:p w14:paraId="1EADFD51">
                <w:pPr>
                  <w:widowControl/>
                  <w:spacing w:after="62" w:line="240" w:lineRule="auto"/>
                  <w:jc w:val="center"/>
                  <w:textAlignment w:val="center"/>
                  <w:rPr>
                    <w:rFonts w:hint="eastAsia" w:ascii="宋体" w:hAnsi="宋体" w:cs="宋体"/>
                    <w:kern w:val="0"/>
                    <w:sz w:val="18"/>
                    <w:szCs w:val="18"/>
                    <w:highlight w:val="yellow"/>
                  </w:rPr>
                </w:pPr>
                <w:r>
                  <w:rPr>
                    <w:rFonts w:ascii="宋体" w:hAnsi="宋体" w:cs="宋体"/>
                    <w:kern w:val="0"/>
                    <w:sz w:val="18"/>
                    <w:szCs w:val="18"/>
                  </w:rPr>
                  <w:t>中医药问题的智能建模思路</w:t>
                </w:r>
              </w:p>
            </w:tc>
            <w:tc>
              <w:tcPr>
                <w:tcW w:w="3029" w:type="pct"/>
                <w:tcBorders>
                  <w:top w:val="single" w:color="auto" w:sz="8" w:space="0"/>
                  <w:left w:val="single" w:color="auto" w:sz="4" w:space="0"/>
                  <w:bottom w:val="single" w:color="auto" w:sz="8" w:space="0"/>
                  <w:right w:val="single" w:color="auto" w:sz="8" w:space="0"/>
                </w:tcBorders>
                <w:vAlign w:val="center"/>
              </w:tcPr>
              <w:p w14:paraId="13DBDF60">
                <w:pPr>
                  <w:widowControl/>
                  <w:spacing w:line="240" w:lineRule="auto"/>
                  <w:jc w:val="left"/>
                  <w:textAlignment w:val="center"/>
                  <w:rPr>
                    <w:rFonts w:hint="eastAsia" w:ascii="宋体" w:hAnsi="宋体" w:cs="宋体"/>
                    <w:kern w:val="0"/>
                    <w:sz w:val="18"/>
                    <w:szCs w:val="18"/>
                    <w:highlight w:val="yellow"/>
                    <w:lang w:bidi="ar"/>
                  </w:rPr>
                </w:pPr>
                <w:r>
                  <w:rPr>
                    <w:rFonts w:ascii="宋体" w:hAnsi="宋体" w:cs="宋体"/>
                    <w:kern w:val="0"/>
                    <w:sz w:val="18"/>
                    <w:szCs w:val="18"/>
                    <w:lang w:bidi="ar"/>
                  </w:rPr>
                  <w:t>能够根据中医药专业问题和任务目标进行问题分解，明确智能应用所需的数据和知识，确定数据与知识的组织处理方式及预期结果，形成问题、数据、知识、处理与结果相衔接的建模思路</w:t>
                </w:r>
                <w:r>
                  <w:rPr>
                    <w:rFonts w:hint="eastAsia" w:ascii="宋体" w:hAnsi="宋体" w:cs="宋体"/>
                    <w:kern w:val="0"/>
                    <w:sz w:val="18"/>
                    <w:szCs w:val="18"/>
                    <w:lang w:bidi="ar"/>
                  </w:rPr>
                  <w:t>。</w:t>
                </w:r>
              </w:p>
            </w:tc>
          </w:tr>
          <w:tr w14:paraId="171F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vMerge w:val="continue"/>
                <w:tcBorders>
                  <w:left w:val="single" w:color="auto" w:sz="8" w:space="0"/>
                </w:tcBorders>
                <w:noWrap/>
                <w:vAlign w:val="center"/>
              </w:tcPr>
              <w:p w14:paraId="3645A0A2">
                <w:pPr>
                  <w:widowControl/>
                  <w:spacing w:line="240" w:lineRule="auto"/>
                  <w:jc w:val="center"/>
                  <w:textAlignment w:val="center"/>
                  <w:rPr>
                    <w:rFonts w:hint="eastAsia" w:ascii="宋体" w:hAnsi="宋体" w:cs="宋体"/>
                    <w:kern w:val="0"/>
                    <w:sz w:val="18"/>
                    <w:szCs w:val="18"/>
                    <w:lang w:bidi="ar"/>
                  </w:rPr>
                </w:pPr>
              </w:p>
            </w:tc>
            <w:tc>
              <w:tcPr>
                <w:tcW w:w="350" w:type="pct"/>
                <w:vAlign w:val="center"/>
              </w:tcPr>
              <w:p w14:paraId="28304197">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人机协同思维</w:t>
                </w:r>
              </w:p>
            </w:tc>
            <w:tc>
              <w:tcPr>
                <w:tcW w:w="1279" w:type="pct"/>
                <w:tcBorders>
                  <w:top w:val="single" w:color="auto" w:sz="8" w:space="0"/>
                  <w:bottom w:val="single" w:color="auto" w:sz="8" w:space="0"/>
                  <w:right w:val="single" w:color="auto" w:sz="4" w:space="0"/>
                </w:tcBorders>
                <w:vAlign w:val="center"/>
              </w:tcPr>
              <w:p w14:paraId="5E51166B">
                <w:pPr>
                  <w:widowControl/>
                  <w:spacing w:after="62" w:line="240" w:lineRule="auto"/>
                  <w:jc w:val="center"/>
                  <w:textAlignment w:val="center"/>
                  <w:rPr>
                    <w:rFonts w:hint="eastAsia" w:ascii="宋体" w:hAnsi="宋体" w:cs="宋体"/>
                    <w:kern w:val="0"/>
                    <w:sz w:val="18"/>
                    <w:szCs w:val="18"/>
                  </w:rPr>
                </w:pPr>
                <w:r>
                  <w:rPr>
                    <w:rFonts w:ascii="宋体" w:hAnsi="宋体" w:cs="宋体"/>
                    <w:kern w:val="0"/>
                    <w:sz w:val="18"/>
                    <w:szCs w:val="18"/>
                  </w:rPr>
                  <w:t>识别人机能力边界</w:t>
                </w:r>
              </w:p>
            </w:tc>
            <w:tc>
              <w:tcPr>
                <w:tcW w:w="3029" w:type="pct"/>
                <w:tcBorders>
                  <w:top w:val="single" w:color="auto" w:sz="8" w:space="0"/>
                  <w:left w:val="single" w:color="auto" w:sz="4" w:space="0"/>
                  <w:bottom w:val="single" w:color="auto" w:sz="8" w:space="0"/>
                  <w:right w:val="single" w:color="auto" w:sz="8" w:space="0"/>
                </w:tcBorders>
                <w:vAlign w:val="center"/>
              </w:tcPr>
              <w:p w14:paraId="67D5FB88">
                <w:pPr>
                  <w:widowControl/>
                  <w:spacing w:line="240" w:lineRule="auto"/>
                  <w:jc w:val="left"/>
                  <w:textAlignment w:val="center"/>
                  <w:rPr>
                    <w:rFonts w:hint="eastAsia" w:ascii="宋体" w:hAnsi="宋体" w:cs="宋体"/>
                    <w:kern w:val="0"/>
                    <w:sz w:val="18"/>
                    <w:szCs w:val="18"/>
                    <w:lang w:bidi="ar"/>
                  </w:rPr>
                </w:pPr>
                <w:r>
                  <w:rPr>
                    <w:rFonts w:ascii="宋体" w:hAnsi="宋体" w:cs="宋体"/>
                    <w:kern w:val="0"/>
                    <w:sz w:val="18"/>
                    <w:szCs w:val="18"/>
                    <w:lang w:bidi="ar"/>
                  </w:rPr>
                  <w:t>认识智能技术在中医药知识检索、信息处理和内容生成等方面的优势与局限，理解人在专业学习、专业实践和人文沟通等活动中的</w:t>
                </w:r>
                <w:r>
                  <w:rPr>
                    <w:rFonts w:hint="eastAsia" w:ascii="宋体" w:hAnsi="宋体" w:cs="宋体"/>
                    <w:kern w:val="0"/>
                    <w:sz w:val="18"/>
                    <w:szCs w:val="18"/>
                    <w:lang w:bidi="ar"/>
                  </w:rPr>
                  <w:t>主体</w:t>
                </w:r>
                <w:r>
                  <w:rPr>
                    <w:rFonts w:ascii="宋体" w:hAnsi="宋体" w:cs="宋体"/>
                    <w:kern w:val="0"/>
                    <w:sz w:val="18"/>
                    <w:szCs w:val="18"/>
                    <w:lang w:bidi="ar"/>
                  </w:rPr>
                  <w:t>作用，明确智能技术的辅助边界</w:t>
                </w:r>
                <w:r>
                  <w:rPr>
                    <w:rFonts w:hint="eastAsia" w:ascii="宋体" w:hAnsi="宋体" w:cs="宋体"/>
                    <w:kern w:val="0"/>
                    <w:sz w:val="18"/>
                    <w:szCs w:val="18"/>
                    <w:lang w:bidi="ar"/>
                  </w:rPr>
                  <w:t>。</w:t>
                </w:r>
              </w:p>
            </w:tc>
          </w:tr>
        </w:tbl>
        <w:p w14:paraId="09905763">
          <w:pPr>
            <w:pStyle w:val="59"/>
            <w:ind w:firstLine="420"/>
            <w:jc w:val="center"/>
            <w:rPr>
              <w:rFonts w:hint="eastAsia" w:ascii="黑体" w:hAnsi="黑体" w:eastAsia="黑体" w:cs="黑体"/>
            </w:rPr>
          </w:pPr>
          <w:r>
            <w:rPr>
              <w:rFonts w:hint="eastAsia" w:ascii="黑体" w:hAnsi="黑体" w:eastAsia="黑体" w:cs="黑体"/>
            </w:rPr>
            <w:t>表3 人工智能思维（续）</w:t>
          </w:r>
        </w:p>
        <w:p w14:paraId="27217097"/>
        <w:tbl>
          <w:tblPr>
            <w:tblStyle w:val="28"/>
            <w:tblW w:w="498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
            <w:gridCol w:w="652"/>
            <w:gridCol w:w="2382"/>
            <w:gridCol w:w="5640"/>
          </w:tblGrid>
          <w:tr w14:paraId="44627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tcBorders>
                  <w:left w:val="single" w:color="auto" w:sz="8" w:space="0"/>
                </w:tcBorders>
                <w:noWrap/>
                <w:vAlign w:val="center"/>
              </w:tcPr>
              <w:p w14:paraId="410C2F95">
                <w:pPr>
                  <w:spacing w:line="240" w:lineRule="auto"/>
                  <w:jc w:val="center"/>
                  <w:rPr>
                    <w:rFonts w:hint="eastAsia" w:ascii="宋体" w:hAnsi="宋体" w:cs="宋体"/>
                    <w:sz w:val="18"/>
                    <w:szCs w:val="18"/>
                  </w:rPr>
                </w:pPr>
                <w:r>
                  <w:rPr>
                    <w:rFonts w:hint="eastAsia" w:ascii="宋体" w:hAnsi="宋体" w:cs="宋体"/>
                    <w:sz w:val="18"/>
                    <w:szCs w:val="18"/>
                  </w:rPr>
                  <w:t>一级维度</w:t>
                </w:r>
              </w:p>
            </w:tc>
            <w:tc>
              <w:tcPr>
                <w:tcW w:w="350" w:type="pct"/>
                <w:tcBorders>
                  <w:bottom w:val="single" w:color="auto" w:sz="6" w:space="0"/>
                </w:tcBorders>
                <w:vAlign w:val="center"/>
              </w:tcPr>
              <w:p w14:paraId="0B8A3B47">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sz w:val="18"/>
                    <w:szCs w:val="18"/>
                  </w:rPr>
                  <w:t>二级维度</w:t>
                </w:r>
              </w:p>
            </w:tc>
            <w:tc>
              <w:tcPr>
                <w:tcW w:w="1279" w:type="pct"/>
                <w:tcBorders>
                  <w:top w:val="single" w:color="auto" w:sz="8" w:space="0"/>
                  <w:right w:val="single" w:color="auto" w:sz="4" w:space="0"/>
                </w:tcBorders>
                <w:vAlign w:val="center"/>
              </w:tcPr>
              <w:p w14:paraId="5110C598">
                <w:pPr>
                  <w:widowControl/>
                  <w:spacing w:after="62" w:line="240" w:lineRule="auto"/>
                  <w:jc w:val="center"/>
                  <w:textAlignment w:val="center"/>
                  <w:rPr>
                    <w:rFonts w:hint="eastAsia" w:ascii="宋体" w:hAnsi="宋体" w:cs="宋体"/>
                    <w:kern w:val="0"/>
                    <w:sz w:val="18"/>
                    <w:szCs w:val="18"/>
                  </w:rPr>
                </w:pPr>
                <w:r>
                  <w:rPr>
                    <w:rFonts w:hint="eastAsia" w:ascii="宋体" w:hAnsi="宋体" w:cs="宋体"/>
                    <w:sz w:val="18"/>
                    <w:szCs w:val="18"/>
                  </w:rPr>
                  <w:t>三级维度</w:t>
                </w:r>
              </w:p>
            </w:tc>
            <w:tc>
              <w:tcPr>
                <w:tcW w:w="3029" w:type="pct"/>
                <w:tcBorders>
                  <w:top w:val="single" w:color="auto" w:sz="8" w:space="0"/>
                  <w:left w:val="single" w:color="auto" w:sz="4" w:space="0"/>
                  <w:right w:val="single" w:color="auto" w:sz="8" w:space="0"/>
                </w:tcBorders>
                <w:vAlign w:val="center"/>
              </w:tcPr>
              <w:p w14:paraId="0B7937E8">
                <w:pPr>
                  <w:widowControl/>
                  <w:spacing w:line="240" w:lineRule="auto"/>
                  <w:jc w:val="left"/>
                  <w:textAlignment w:val="center"/>
                  <w:rPr>
                    <w:rFonts w:hint="eastAsia" w:ascii="宋体" w:hAnsi="宋体" w:cs="宋体"/>
                    <w:kern w:val="0"/>
                    <w:sz w:val="18"/>
                    <w:szCs w:val="18"/>
                    <w:lang w:bidi="ar"/>
                  </w:rPr>
                </w:pPr>
                <w:r>
                  <w:rPr>
                    <w:rFonts w:hint="eastAsia" w:ascii="宋体" w:hAnsi="宋体" w:cs="宋体"/>
                    <w:sz w:val="18"/>
                    <w:szCs w:val="18"/>
                  </w:rPr>
                  <w:t>描述</w:t>
                </w:r>
              </w:p>
            </w:tc>
          </w:tr>
          <w:tr w14:paraId="3CEE0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vMerge w:val="restart"/>
                <w:tcBorders>
                  <w:left w:val="single" w:color="auto" w:sz="8" w:space="0"/>
                </w:tcBorders>
                <w:noWrap/>
                <w:vAlign w:val="center"/>
              </w:tcPr>
              <w:p w14:paraId="396554A7">
                <w:pPr>
                  <w:spacing w:line="240" w:lineRule="auto"/>
                  <w:jc w:val="center"/>
                  <w:rPr>
                    <w:rFonts w:hint="eastAsia" w:ascii="宋体" w:hAnsi="宋体" w:cs="宋体"/>
                    <w:kern w:val="0"/>
                    <w:sz w:val="18"/>
                    <w:szCs w:val="18"/>
                    <w:lang w:bidi="ar"/>
                  </w:rPr>
                </w:pPr>
                <w:r>
                  <w:rPr>
                    <w:rFonts w:hint="eastAsia" w:ascii="宋体" w:hAnsi="宋体" w:cs="宋体"/>
                    <w:sz w:val="18"/>
                    <w:szCs w:val="18"/>
                  </w:rPr>
                  <w:t>人工智能思维</w:t>
                </w:r>
              </w:p>
            </w:tc>
            <w:tc>
              <w:tcPr>
                <w:tcW w:w="350" w:type="pct"/>
                <w:tcBorders>
                  <w:bottom w:val="single" w:color="auto" w:sz="6" w:space="0"/>
                </w:tcBorders>
                <w:vAlign w:val="center"/>
              </w:tcPr>
              <w:p w14:paraId="7F6D6780">
                <w:pPr>
                  <w:widowControl/>
                  <w:spacing w:line="240" w:lineRule="auto"/>
                  <w:jc w:val="center"/>
                  <w:textAlignment w:val="center"/>
                  <w:rPr>
                    <w:rFonts w:hint="eastAsia" w:ascii="宋体" w:hAnsi="宋体" w:cs="宋体"/>
                    <w:kern w:val="0"/>
                    <w:sz w:val="18"/>
                    <w:szCs w:val="18"/>
                    <w:highlight w:val="yellow"/>
                    <w:lang w:bidi="ar"/>
                  </w:rPr>
                </w:pPr>
                <w:r>
                  <w:rPr>
                    <w:rFonts w:hint="eastAsia" w:ascii="宋体" w:hAnsi="宋体" w:cs="宋体"/>
                    <w:kern w:val="0"/>
                    <w:sz w:val="18"/>
                    <w:szCs w:val="18"/>
                    <w:lang w:bidi="ar"/>
                  </w:rPr>
                  <w:t>人机协同思维</w:t>
                </w:r>
              </w:p>
            </w:tc>
            <w:tc>
              <w:tcPr>
                <w:tcW w:w="1279" w:type="pct"/>
                <w:tcBorders>
                  <w:top w:val="single" w:color="auto" w:sz="8" w:space="0"/>
                  <w:right w:val="single" w:color="auto" w:sz="4" w:space="0"/>
                </w:tcBorders>
                <w:vAlign w:val="center"/>
              </w:tcPr>
              <w:p w14:paraId="23289BBA">
                <w:pPr>
                  <w:widowControl/>
                  <w:spacing w:after="62" w:line="240" w:lineRule="auto"/>
                  <w:jc w:val="center"/>
                  <w:textAlignment w:val="center"/>
                  <w:rPr>
                    <w:rFonts w:hint="eastAsia" w:ascii="宋体" w:hAnsi="宋体" w:cs="宋体"/>
                    <w:kern w:val="0"/>
                    <w:sz w:val="18"/>
                    <w:szCs w:val="18"/>
                  </w:rPr>
                </w:pPr>
                <w:r>
                  <w:rPr>
                    <w:rFonts w:ascii="宋体" w:hAnsi="宋体" w:cs="宋体"/>
                    <w:kern w:val="0"/>
                    <w:sz w:val="18"/>
                    <w:szCs w:val="18"/>
                  </w:rPr>
                  <w:t>确定任务分工与人机协同方式</w:t>
                </w:r>
              </w:p>
            </w:tc>
            <w:tc>
              <w:tcPr>
                <w:tcW w:w="3029" w:type="pct"/>
                <w:tcBorders>
                  <w:top w:val="single" w:color="auto" w:sz="8" w:space="0"/>
                  <w:left w:val="single" w:color="auto" w:sz="4" w:space="0"/>
                  <w:right w:val="single" w:color="auto" w:sz="8" w:space="0"/>
                </w:tcBorders>
                <w:vAlign w:val="center"/>
              </w:tcPr>
              <w:p w14:paraId="67EAFCB8">
                <w:pPr>
                  <w:widowControl/>
                  <w:spacing w:line="240" w:lineRule="auto"/>
                  <w:jc w:val="left"/>
                  <w:textAlignment w:val="center"/>
                  <w:rPr>
                    <w:rFonts w:hint="eastAsia" w:ascii="宋体" w:hAnsi="宋体" w:cs="宋体"/>
                    <w:kern w:val="0"/>
                    <w:sz w:val="18"/>
                    <w:szCs w:val="18"/>
                    <w:lang w:bidi="ar"/>
                  </w:rPr>
                </w:pPr>
                <w:r>
                  <w:rPr>
                    <w:rFonts w:ascii="宋体" w:hAnsi="宋体" w:cs="宋体"/>
                    <w:kern w:val="0"/>
                    <w:sz w:val="18"/>
                    <w:szCs w:val="18"/>
                    <w:lang w:bidi="ar"/>
                  </w:rPr>
                  <w:t>能够根据</w:t>
                </w:r>
                <w:r>
                  <w:rPr>
                    <w:rFonts w:hint="eastAsia" w:ascii="宋体" w:hAnsi="宋体" w:cs="宋体"/>
                    <w:kern w:val="0"/>
                    <w:sz w:val="18"/>
                    <w:szCs w:val="18"/>
                    <w:lang w:bidi="ar"/>
                  </w:rPr>
                  <w:t>中医药相关</w:t>
                </w:r>
                <w:r>
                  <w:rPr>
                    <w:rFonts w:ascii="宋体" w:hAnsi="宋体" w:cs="宋体"/>
                    <w:kern w:val="0"/>
                    <w:sz w:val="18"/>
                    <w:szCs w:val="18"/>
                    <w:lang w:bidi="ar"/>
                  </w:rPr>
                  <w:t>任务</w:t>
                </w:r>
                <w:r>
                  <w:rPr>
                    <w:rFonts w:hint="eastAsia" w:ascii="宋体" w:hAnsi="宋体" w:cs="宋体"/>
                    <w:kern w:val="0"/>
                    <w:sz w:val="18"/>
                    <w:szCs w:val="18"/>
                    <w:lang w:bidi="ar"/>
                  </w:rPr>
                  <w:t>的</w:t>
                </w:r>
                <w:r>
                  <w:rPr>
                    <w:rFonts w:ascii="宋体" w:hAnsi="宋体" w:cs="宋体"/>
                    <w:kern w:val="0"/>
                    <w:sz w:val="18"/>
                    <w:szCs w:val="18"/>
                    <w:lang w:bidi="ar"/>
                  </w:rPr>
                  <w:t>目标、复杂程度和风险水平，分析人与智能技术各自适合承担的任务，安排智能技术辅助与人工参与的环节，并根据任务进展和反馈调整协同方式</w:t>
                </w:r>
                <w:r>
                  <w:rPr>
                    <w:rFonts w:hint="eastAsia" w:ascii="宋体" w:hAnsi="宋体" w:cs="宋体"/>
                    <w:kern w:val="0"/>
                    <w:sz w:val="18"/>
                    <w:szCs w:val="18"/>
                    <w:lang w:bidi="ar"/>
                  </w:rPr>
                  <w:t>。</w:t>
                </w:r>
              </w:p>
            </w:tc>
          </w:tr>
          <w:tr w14:paraId="5A35B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vMerge w:val="continue"/>
                <w:tcBorders>
                  <w:left w:val="single" w:color="auto" w:sz="8" w:space="0"/>
                </w:tcBorders>
                <w:noWrap/>
                <w:vAlign w:val="center"/>
              </w:tcPr>
              <w:p w14:paraId="04136494">
                <w:pPr>
                  <w:spacing w:line="240" w:lineRule="auto"/>
                  <w:jc w:val="center"/>
                  <w:rPr>
                    <w:rFonts w:hint="eastAsia" w:ascii="宋体" w:hAnsi="宋体" w:cs="宋体"/>
                    <w:sz w:val="18"/>
                    <w:szCs w:val="18"/>
                  </w:rPr>
                </w:pPr>
              </w:p>
            </w:tc>
            <w:tc>
              <w:tcPr>
                <w:tcW w:w="350" w:type="pct"/>
                <w:vMerge w:val="restart"/>
                <w:tcBorders>
                  <w:top w:val="single" w:color="auto" w:sz="8" w:space="0"/>
                </w:tcBorders>
                <w:vAlign w:val="center"/>
              </w:tcPr>
              <w:p w14:paraId="7706358A">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批判与创新思维</w:t>
                </w:r>
              </w:p>
            </w:tc>
            <w:tc>
              <w:tcPr>
                <w:tcW w:w="1279" w:type="pct"/>
                <w:tcBorders>
                  <w:top w:val="single" w:color="auto" w:sz="8" w:space="0"/>
                  <w:right w:val="single" w:color="auto" w:sz="4" w:space="0"/>
                </w:tcBorders>
                <w:vAlign w:val="center"/>
              </w:tcPr>
              <w:p w14:paraId="4440DCAE">
                <w:pPr>
                  <w:widowControl/>
                  <w:spacing w:after="62" w:line="240" w:lineRule="auto"/>
                  <w:jc w:val="center"/>
                  <w:textAlignment w:val="center"/>
                  <w:rPr>
                    <w:rFonts w:hint="eastAsia" w:ascii="宋体" w:hAnsi="宋体" w:cs="宋体"/>
                    <w:kern w:val="0"/>
                    <w:sz w:val="18"/>
                    <w:szCs w:val="18"/>
                    <w:highlight w:val="yellow"/>
                  </w:rPr>
                </w:pPr>
                <w:r>
                  <w:rPr>
                    <w:rFonts w:ascii="宋体" w:hAnsi="宋体" w:cs="宋体"/>
                    <w:kern w:val="0"/>
                    <w:sz w:val="18"/>
                    <w:szCs w:val="18"/>
                  </w:rPr>
                  <w:t>信息辨析、结果核验与专业判断</w:t>
                </w:r>
                <w:r>
                  <w:rPr>
                    <w:rFonts w:ascii="宋体" w:hAnsi="宋体" w:cs="宋体"/>
                    <w:kern w:val="0"/>
                    <w:sz w:val="18"/>
                    <w:szCs w:val="18"/>
                  </w:rPr>
                  <w:tab/>
                </w:r>
              </w:p>
            </w:tc>
            <w:tc>
              <w:tcPr>
                <w:tcW w:w="3029" w:type="pct"/>
                <w:tcBorders>
                  <w:top w:val="single" w:color="auto" w:sz="8" w:space="0"/>
                  <w:left w:val="single" w:color="auto" w:sz="4" w:space="0"/>
                  <w:right w:val="single" w:color="auto" w:sz="8" w:space="0"/>
                </w:tcBorders>
                <w:vAlign w:val="center"/>
              </w:tcPr>
              <w:p w14:paraId="075EC845">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能够辨析智能技术输出的信息来源、事实依据和适用范围，核验其真实性、准确性及其与中医药专业知识和证据的一致性，识别错误、偏差和模型幻觉，并形成独立判断</w:t>
                </w:r>
                <w:r>
                  <w:rPr>
                    <w:rFonts w:hint="eastAsia" w:ascii="宋体" w:hAnsi="宋体" w:cs="宋体"/>
                    <w:kern w:val="0"/>
                    <w:sz w:val="18"/>
                    <w:szCs w:val="18"/>
                  </w:rPr>
                  <w:t>。</w:t>
                </w:r>
              </w:p>
            </w:tc>
          </w:tr>
          <w:tr w14:paraId="03E63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2" w:type="pct"/>
                <w:vMerge w:val="continue"/>
                <w:tcBorders>
                  <w:left w:val="single" w:color="auto" w:sz="8" w:space="0"/>
                </w:tcBorders>
                <w:noWrap/>
                <w:vAlign w:val="center"/>
              </w:tcPr>
              <w:p w14:paraId="277BAFB3">
                <w:pPr>
                  <w:spacing w:line="240" w:lineRule="auto"/>
                  <w:jc w:val="center"/>
                  <w:rPr>
                    <w:rFonts w:hint="eastAsia" w:ascii="宋体" w:hAnsi="宋体" w:cs="宋体"/>
                    <w:sz w:val="18"/>
                    <w:szCs w:val="18"/>
                  </w:rPr>
                </w:pPr>
              </w:p>
            </w:tc>
            <w:tc>
              <w:tcPr>
                <w:tcW w:w="350" w:type="pct"/>
                <w:vMerge w:val="continue"/>
                <w:vAlign w:val="center"/>
              </w:tcPr>
              <w:p w14:paraId="4F102AE3">
                <w:pPr>
                  <w:widowControl/>
                  <w:spacing w:line="240" w:lineRule="auto"/>
                  <w:jc w:val="center"/>
                  <w:textAlignment w:val="center"/>
                  <w:rPr>
                    <w:rFonts w:hint="eastAsia" w:ascii="宋体" w:hAnsi="宋体" w:cs="宋体"/>
                    <w:kern w:val="0"/>
                    <w:sz w:val="18"/>
                    <w:szCs w:val="18"/>
                    <w:lang w:bidi="ar"/>
                  </w:rPr>
                </w:pPr>
              </w:p>
            </w:tc>
            <w:tc>
              <w:tcPr>
                <w:tcW w:w="1279" w:type="pct"/>
                <w:tcBorders>
                  <w:right w:val="single" w:color="auto" w:sz="4" w:space="0"/>
                </w:tcBorders>
                <w:vAlign w:val="center"/>
              </w:tcPr>
              <w:p w14:paraId="3A4A1D88">
                <w:pPr>
                  <w:widowControl/>
                  <w:spacing w:after="62" w:line="240" w:lineRule="auto"/>
                  <w:jc w:val="center"/>
                  <w:textAlignment w:val="center"/>
                  <w:rPr>
                    <w:rFonts w:hint="eastAsia" w:ascii="宋体" w:hAnsi="宋体" w:cs="宋体"/>
                    <w:color w:val="0000FF"/>
                    <w:kern w:val="0"/>
                    <w:sz w:val="18"/>
                    <w:szCs w:val="18"/>
                  </w:rPr>
                </w:pPr>
                <w:r>
                  <w:rPr>
                    <w:rFonts w:ascii="宋体" w:hAnsi="宋体" w:cs="宋体"/>
                    <w:color w:val="000000" w:themeColor="text1"/>
                    <w:kern w:val="0"/>
                    <w:sz w:val="18"/>
                    <w:szCs w:val="18"/>
                    <w14:textFill>
                      <w14:solidFill>
                        <w14:schemeClr w14:val="tx1"/>
                      </w14:solidFill>
                    </w14:textFill>
                  </w:rPr>
                  <w:t>技术反思与跨学科思路创新</w:t>
                </w:r>
              </w:p>
            </w:tc>
            <w:tc>
              <w:tcPr>
                <w:tcW w:w="3029" w:type="pct"/>
                <w:tcBorders>
                  <w:left w:val="single" w:color="auto" w:sz="4" w:space="0"/>
                  <w:right w:val="single" w:color="auto" w:sz="8" w:space="0"/>
                </w:tcBorders>
                <w:vAlign w:val="center"/>
              </w:tcPr>
              <w:p w14:paraId="485BC6CB">
                <w:pPr>
                  <w:widowControl/>
                  <w:spacing w:after="62" w:line="240" w:lineRule="auto"/>
                  <w:jc w:val="left"/>
                  <w:textAlignment w:val="center"/>
                  <w:rPr>
                    <w:rFonts w:hint="eastAsia" w:ascii="宋体" w:hAnsi="宋体" w:cs="宋体"/>
                    <w:color w:val="000000" w:themeColor="text1"/>
                    <w:sz w:val="18"/>
                    <w:szCs w:val="18"/>
                    <w14:textFill>
                      <w14:solidFill>
                        <w14:schemeClr w14:val="tx1"/>
                      </w14:solidFill>
                    </w14:textFill>
                  </w:rPr>
                </w:pPr>
                <w:r>
                  <w:rPr>
                    <w:rFonts w:ascii="宋体" w:hAnsi="宋体" w:cs="宋体"/>
                    <w:color w:val="000000" w:themeColor="text1"/>
                    <w:sz w:val="18"/>
                    <w:szCs w:val="18"/>
                    <w14:textFill>
                      <w14:solidFill>
                        <w14:schemeClr w14:val="tx1"/>
                      </w14:solidFill>
                    </w14:textFill>
                  </w:rPr>
                  <w:t>能够反思智能技术理解和处理中医药复杂问题的适用边界与局限，以跨学科视角融合中医药、人工智能及相关学科知识和方法，围绕中医药传承、临床实践、科研和产业发展中的难点问题，探索新思路和新方法</w:t>
                </w:r>
                <w:r>
                  <w:rPr>
                    <w:rFonts w:hint="eastAsia" w:ascii="宋体" w:hAnsi="宋体" w:cs="宋体"/>
                    <w:color w:val="000000" w:themeColor="text1"/>
                    <w:sz w:val="18"/>
                    <w:szCs w:val="18"/>
                    <w14:textFill>
                      <w14:solidFill>
                        <w14:schemeClr w14:val="tx1"/>
                      </w14:solidFill>
                    </w14:textFill>
                  </w:rPr>
                  <w:t>。</w:t>
                </w:r>
              </w:p>
            </w:tc>
          </w:tr>
        </w:tbl>
        <w:p w14:paraId="311F359F">
          <w:pPr>
            <w:pStyle w:val="59"/>
            <w:ind w:firstLine="0" w:firstLineChars="0"/>
          </w:pPr>
        </w:p>
        <w:bookmarkEnd w:id="68"/>
        <w:p w14:paraId="1558EFBA">
          <w:pPr>
            <w:pStyle w:val="108"/>
            <w:spacing w:before="120" w:after="120"/>
            <w:rPr>
              <w:lang w:eastAsia="zh"/>
            </w:rPr>
          </w:pPr>
          <w:r>
            <w:rPr>
              <w:rFonts w:hint="eastAsia"/>
            </w:rPr>
            <w:t>数据建模思维</w:t>
          </w:r>
        </w:p>
        <w:p w14:paraId="30E6A9CD">
          <w:pPr>
            <w:pStyle w:val="59"/>
            <w:ind w:firstLine="420"/>
          </w:pPr>
          <w:r>
            <w:t>中医药大学生从数据和系统角度分析中医药专业问题，形成智能化解决思路的思维方式，包括中医药信息的数据化处理与表达和中医药问题的智能建模思路。</w:t>
          </w:r>
        </w:p>
        <w:p w14:paraId="3DD5CA26">
          <w:pPr>
            <w:pStyle w:val="108"/>
            <w:spacing w:before="120" w:after="120"/>
          </w:pPr>
          <w:bookmarkStart w:id="69" w:name="_Toc235690974"/>
          <w:r>
            <w:t>人机协同思维</w:t>
          </w:r>
          <w:bookmarkEnd w:id="69"/>
        </w:p>
        <w:p w14:paraId="25AA5E84">
          <w:pPr>
            <w:pStyle w:val="59"/>
            <w:ind w:firstLine="420"/>
            <w:rPr>
              <w:lang w:eastAsia="zh"/>
            </w:rPr>
          </w:pPr>
          <w:r>
            <w:rPr>
              <w:lang w:eastAsia="zh"/>
            </w:rPr>
            <w:t>中医药大学生根据任务需要发挥人与智能技术各自作用的思维方式，包括识别人机能力边界和确定任务分工与人机协同方式。</w:t>
          </w:r>
        </w:p>
        <w:p w14:paraId="499BAEF6">
          <w:pPr>
            <w:pStyle w:val="108"/>
            <w:spacing w:before="120" w:after="120"/>
          </w:pPr>
          <w:r>
            <w:rPr>
              <w:rFonts w:hint="eastAsia"/>
            </w:rPr>
            <w:t>批判与创新思维</w:t>
          </w:r>
        </w:p>
        <w:p w14:paraId="78F4EBE4">
          <w:pPr>
            <w:pStyle w:val="59"/>
            <w:ind w:firstLine="420"/>
            <w:rPr>
              <w:lang w:eastAsia="zh"/>
            </w:rPr>
          </w:pPr>
          <w:r>
            <w:rPr>
              <w:lang w:eastAsia="zh"/>
            </w:rPr>
            <w:t>中医药大学生分析、判断和反思智能技术及其输出，并探索新思路的思维方式，包括信息辨析、结果核验与专业判断和技术反思与跨学科思路创新</w:t>
          </w:r>
          <w:r>
            <w:rPr>
              <w:rFonts w:hint="eastAsia"/>
              <w:lang w:eastAsia="zh"/>
            </w:rPr>
            <w:t>。</w:t>
          </w:r>
        </w:p>
        <w:p w14:paraId="68C867E2">
          <w:pPr>
            <w:pStyle w:val="107"/>
            <w:spacing w:before="240" w:after="240"/>
          </w:pPr>
          <w:bookmarkStart w:id="70" w:name="_Toc236682857"/>
          <w:r>
            <w:rPr>
              <w:rFonts w:hint="eastAsia"/>
            </w:rPr>
            <w:t>人工智能应用</w:t>
          </w:r>
          <w:bookmarkEnd w:id="70"/>
        </w:p>
        <w:p w14:paraId="6B463A3E">
          <w:pPr>
            <w:pStyle w:val="108"/>
            <w:spacing w:before="120" w:after="120"/>
          </w:pPr>
          <w:r>
            <w:rPr>
              <w:rFonts w:hint="eastAsia"/>
            </w:rPr>
            <w:t>概述</w:t>
          </w:r>
        </w:p>
        <w:p w14:paraId="249B364E">
          <w:pPr>
            <w:pStyle w:val="59"/>
            <w:ind w:firstLine="420"/>
          </w:pPr>
          <w:r>
            <w:t>中医药大学生运用智能技术解决学习、科研和健康生活中实际问题的能力，包括人工智能学习应用、人工智能科研应用和人工智能生活应用。</w:t>
          </w:r>
        </w:p>
        <w:p w14:paraId="160B8D2C">
          <w:pPr>
            <w:pStyle w:val="59"/>
            <w:ind w:firstLine="420"/>
          </w:pPr>
          <w:r>
            <w:rPr>
              <w:rFonts w:hint="eastAsia"/>
            </w:rPr>
            <w:t>人工智能应用的二级维度及三级维度见表4。</w:t>
          </w:r>
        </w:p>
        <w:p w14:paraId="5433813D">
          <w:pPr>
            <w:pStyle w:val="59"/>
            <w:ind w:firstLine="420"/>
          </w:pPr>
        </w:p>
        <w:p w14:paraId="56F1E877">
          <w:pPr>
            <w:pStyle w:val="59"/>
            <w:keepNext/>
            <w:ind w:firstLine="420"/>
            <w:jc w:val="center"/>
            <w:rPr>
              <w:rFonts w:hint="eastAsia" w:ascii="黑体" w:hAnsi="黑体" w:eastAsia="黑体" w:cs="黑体"/>
            </w:rPr>
          </w:pPr>
          <w:r>
            <w:rPr>
              <w:rFonts w:hint="eastAsia" w:ascii="黑体" w:hAnsi="黑体" w:eastAsia="黑体" w:cs="黑体"/>
            </w:rPr>
            <w:t>表4 人工智能应用</w:t>
          </w:r>
        </w:p>
        <w:p w14:paraId="19701172">
          <w:pPr>
            <w:pStyle w:val="59"/>
            <w:keepNext/>
            <w:ind w:firstLine="420"/>
            <w:jc w:val="center"/>
            <w:rPr>
              <w:rFonts w:hint="eastAsia" w:ascii="黑体" w:hAnsi="黑体" w:eastAsia="黑体" w:cs="黑体"/>
            </w:rPr>
          </w:pPr>
        </w:p>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646"/>
            <w:gridCol w:w="2388"/>
            <w:gridCol w:w="5652"/>
          </w:tblGrid>
          <w:tr w14:paraId="1E935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7" w:type="pct"/>
                <w:tcBorders>
                  <w:top w:val="single" w:color="auto" w:sz="8" w:space="0"/>
                  <w:left w:val="single" w:color="auto" w:sz="8" w:space="0"/>
                  <w:bottom w:val="single" w:color="auto" w:sz="8" w:space="0"/>
                </w:tcBorders>
                <w:noWrap/>
                <w:vAlign w:val="center"/>
              </w:tcPr>
              <w:p w14:paraId="7B5A11AF">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一级维度</w:t>
                </w:r>
              </w:p>
            </w:tc>
            <w:tc>
              <w:tcPr>
                <w:tcW w:w="346" w:type="pct"/>
                <w:tcBorders>
                  <w:top w:val="single" w:color="auto" w:sz="8" w:space="0"/>
                  <w:bottom w:val="single" w:color="auto" w:sz="8" w:space="0"/>
                </w:tcBorders>
                <w:vAlign w:val="center"/>
              </w:tcPr>
              <w:p w14:paraId="49656D85">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二级维度</w:t>
                </w:r>
              </w:p>
            </w:tc>
            <w:tc>
              <w:tcPr>
                <w:tcW w:w="1279" w:type="pct"/>
                <w:tcBorders>
                  <w:top w:val="single" w:color="auto" w:sz="8" w:space="0"/>
                  <w:bottom w:val="single" w:color="auto" w:sz="8" w:space="0"/>
                  <w:right w:val="single" w:color="auto" w:sz="4" w:space="0"/>
                </w:tcBorders>
                <w:vAlign w:val="center"/>
              </w:tcPr>
              <w:p w14:paraId="53276666">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三级维度</w:t>
                </w:r>
              </w:p>
            </w:tc>
            <w:tc>
              <w:tcPr>
                <w:tcW w:w="3028" w:type="pct"/>
                <w:tcBorders>
                  <w:top w:val="single" w:color="auto" w:sz="8" w:space="0"/>
                  <w:left w:val="single" w:color="auto" w:sz="4" w:space="0"/>
                  <w:bottom w:val="single" w:color="auto" w:sz="8" w:space="0"/>
                  <w:right w:val="single" w:color="auto" w:sz="8" w:space="0"/>
                </w:tcBorders>
                <w:vAlign w:val="center"/>
              </w:tcPr>
              <w:p w14:paraId="29904427">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描述</w:t>
                </w:r>
              </w:p>
            </w:tc>
          </w:tr>
          <w:tr w14:paraId="556F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7" w:type="pct"/>
                <w:vMerge w:val="restart"/>
                <w:tcBorders>
                  <w:top w:val="single" w:color="auto" w:sz="8" w:space="0"/>
                  <w:left w:val="single" w:color="auto" w:sz="8" w:space="0"/>
                </w:tcBorders>
                <w:noWrap/>
                <w:vAlign w:val="center"/>
              </w:tcPr>
              <w:p w14:paraId="14AF4F94">
                <w:pPr>
                  <w:widowControl/>
                  <w:spacing w:line="240" w:lineRule="auto"/>
                  <w:jc w:val="center"/>
                  <w:textAlignment w:val="center"/>
                  <w:rPr>
                    <w:rFonts w:hint="eastAsia" w:ascii="宋体" w:hAnsi="宋体" w:cs="宋体"/>
                    <w:sz w:val="18"/>
                    <w:szCs w:val="18"/>
                  </w:rPr>
                </w:pPr>
                <w:r>
                  <w:rPr>
                    <w:rFonts w:hint="eastAsia" w:ascii="宋体" w:hAnsi="宋体" w:cs="宋体"/>
                    <w:kern w:val="0"/>
                    <w:sz w:val="18"/>
                    <w:szCs w:val="18"/>
                    <w:lang w:bidi="ar"/>
                  </w:rPr>
                  <w:t>人工智能应用</w:t>
                </w:r>
              </w:p>
            </w:tc>
            <w:tc>
              <w:tcPr>
                <w:tcW w:w="346" w:type="pct"/>
                <w:vMerge w:val="restart"/>
                <w:tcBorders>
                  <w:top w:val="single" w:color="auto" w:sz="8" w:space="0"/>
                </w:tcBorders>
                <w:vAlign w:val="center"/>
              </w:tcPr>
              <w:p w14:paraId="248C9C30">
                <w:pPr>
                  <w:widowControl/>
                  <w:spacing w:line="240" w:lineRule="auto"/>
                  <w:jc w:val="center"/>
                  <w:textAlignment w:val="center"/>
                  <w:rPr>
                    <w:rFonts w:hint="eastAsia" w:ascii="宋体" w:hAnsi="宋体" w:cs="宋体"/>
                    <w:sz w:val="18"/>
                    <w:szCs w:val="18"/>
                  </w:rPr>
                </w:pPr>
                <w:r>
                  <w:rPr>
                    <w:rFonts w:hint="eastAsia" w:ascii="宋体" w:hAnsi="宋体" w:cs="宋体"/>
                    <w:kern w:val="0"/>
                    <w:sz w:val="18"/>
                    <w:szCs w:val="18"/>
                    <w:lang w:bidi="ar"/>
                  </w:rPr>
                  <w:t>人工智能学习应用</w:t>
                </w:r>
              </w:p>
            </w:tc>
            <w:tc>
              <w:tcPr>
                <w:tcW w:w="1279" w:type="pct"/>
                <w:tcBorders>
                  <w:top w:val="single" w:color="auto" w:sz="8" w:space="0"/>
                  <w:bottom w:val="single" w:color="auto" w:sz="4" w:space="0"/>
                  <w:right w:val="single" w:color="auto" w:sz="4" w:space="0"/>
                </w:tcBorders>
                <w:vAlign w:val="center"/>
              </w:tcPr>
              <w:p w14:paraId="4150927D">
                <w:pPr>
                  <w:widowControl/>
                  <w:spacing w:after="62" w:line="240" w:lineRule="auto"/>
                  <w:jc w:val="center"/>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构建</w:t>
                </w:r>
                <w:r>
                  <w:rPr>
                    <w:rFonts w:hint="eastAsia" w:ascii="宋体" w:hAnsi="宋体" w:cs="宋体"/>
                    <w:color w:val="000000" w:themeColor="text1"/>
                    <w:kern w:val="0"/>
                    <w:sz w:val="18"/>
                    <w:szCs w:val="18"/>
                    <w14:textFill>
                      <w14:solidFill>
                        <w14:schemeClr w14:val="tx1"/>
                      </w14:solidFill>
                    </w14:textFill>
                  </w:rPr>
                  <w:t>中医药</w:t>
                </w:r>
                <w:r>
                  <w:rPr>
                    <w:rFonts w:ascii="宋体" w:hAnsi="宋体" w:cs="宋体"/>
                    <w:color w:val="000000" w:themeColor="text1"/>
                    <w:kern w:val="0"/>
                    <w:sz w:val="18"/>
                    <w:szCs w:val="18"/>
                    <w14:textFill>
                      <w14:solidFill>
                        <w14:schemeClr w14:val="tx1"/>
                      </w14:solidFill>
                    </w14:textFill>
                  </w:rPr>
                  <w:t>系统化知识结构</w:t>
                </w:r>
              </w:p>
            </w:tc>
            <w:tc>
              <w:tcPr>
                <w:tcW w:w="3028" w:type="pct"/>
                <w:tcBorders>
                  <w:top w:val="single" w:color="auto" w:sz="8" w:space="0"/>
                  <w:left w:val="single" w:color="auto" w:sz="4" w:space="0"/>
                  <w:bottom w:val="single" w:color="auto" w:sz="4" w:space="0"/>
                  <w:right w:val="single" w:color="auto" w:sz="8" w:space="0"/>
                </w:tcBorders>
                <w:vAlign w:val="center"/>
              </w:tcPr>
              <w:p w14:paraId="67278CBC">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能够运用智能技术资源提取、整理中医药专业知识，建立知识之间的联系，形成系统化知识结构。</w:t>
                </w:r>
              </w:p>
              <w:p w14:paraId="4B108FF7">
                <w:pPr>
                  <w:widowControl/>
                  <w:spacing w:after="62" w:line="240" w:lineRule="auto"/>
                  <w:jc w:val="left"/>
                  <w:textAlignment w:val="center"/>
                  <w:rPr>
                    <w:rFonts w:hint="eastAsia" w:ascii="宋体" w:hAnsi="宋体" w:cs="宋体"/>
                    <w:color w:val="000000" w:themeColor="text1"/>
                    <w:kern w:val="0"/>
                    <w:sz w:val="18"/>
                    <w:szCs w:val="18"/>
                    <w14:textFill>
                      <w14:solidFill>
                        <w14:schemeClr w14:val="tx1"/>
                      </w14:solidFill>
                    </w14:textFill>
                  </w:rPr>
                </w:pPr>
                <w:r>
                  <w:rPr>
                    <w:rFonts w:ascii="宋体" w:hAnsi="宋体" w:cs="宋体"/>
                    <w:color w:val="000000" w:themeColor="text1"/>
                    <w:kern w:val="0"/>
                    <w:sz w:val="18"/>
                    <w:szCs w:val="18"/>
                    <w14:textFill>
                      <w14:solidFill>
                        <w14:schemeClr w14:val="tx1"/>
                      </w14:solidFill>
                    </w14:textFill>
                  </w:rPr>
                  <w:t>示例：使用大模型提取</w:t>
                </w:r>
                <w:r>
                  <w:rPr>
                    <w:rFonts w:hint="eastAsia" w:ascii="宋体" w:hAnsi="宋体" w:cs="宋体"/>
                    <w:color w:val="000000" w:themeColor="text1"/>
                    <w:kern w:val="0"/>
                    <w:sz w:val="18"/>
                    <w:szCs w:val="18"/>
                    <w14:textFill>
                      <w14:solidFill>
                        <w14:schemeClr w14:val="tx1"/>
                      </w14:solidFill>
                    </w14:textFill>
                  </w:rPr>
                  <w:t>中医药</w:t>
                </w:r>
                <w:r>
                  <w:rPr>
                    <w:rFonts w:ascii="宋体" w:hAnsi="宋体" w:cs="宋体"/>
                    <w:color w:val="000000" w:themeColor="text1"/>
                    <w:kern w:val="0"/>
                    <w:sz w:val="18"/>
                    <w:szCs w:val="18"/>
                    <w14:textFill>
                      <w14:solidFill>
                        <w14:schemeClr w14:val="tx1"/>
                      </w14:solidFill>
                    </w14:textFill>
                  </w:rPr>
                  <w:t>经典条文和医案要素；使用知识图谱梳理病因</w:t>
                </w:r>
                <w:r>
                  <w:rPr>
                    <w:rFonts w:hint="eastAsia" w:ascii="宋体" w:hAnsi="宋体" w:cs="宋体"/>
                    <w:color w:val="000000" w:themeColor="text1"/>
                    <w:kern w:val="0"/>
                    <w:sz w:val="18"/>
                    <w:szCs w:val="18"/>
                    <w14:textFill>
                      <w14:solidFill>
                        <w14:schemeClr w14:val="tx1"/>
                      </w14:solidFill>
                    </w14:textFill>
                  </w:rPr>
                  <w:t>、</w:t>
                </w:r>
                <w:r>
                  <w:rPr>
                    <w:rFonts w:ascii="宋体" w:hAnsi="宋体" w:cs="宋体"/>
                    <w:color w:val="000000" w:themeColor="text1"/>
                    <w:kern w:val="0"/>
                    <w:sz w:val="18"/>
                    <w:szCs w:val="18"/>
                    <w14:textFill>
                      <w14:solidFill>
                        <w14:schemeClr w14:val="tx1"/>
                      </w14:solidFill>
                    </w14:textFill>
                  </w:rPr>
                  <w:t>病机、证候、治法、方剂和中药之间的关系；使用智能笔记整理中药性味归经、功效和配伍关系</w:t>
                </w:r>
                <w:r>
                  <w:rPr>
                    <w:rFonts w:hint="eastAsia" w:ascii="宋体" w:hAnsi="宋体" w:cs="宋体"/>
                    <w:color w:val="000000" w:themeColor="text1"/>
                    <w:kern w:val="0"/>
                    <w:sz w:val="18"/>
                    <w:szCs w:val="18"/>
                    <w14:textFill>
                      <w14:solidFill>
                        <w14:schemeClr w14:val="tx1"/>
                      </w14:solidFill>
                    </w14:textFill>
                  </w:rPr>
                  <w:t>。</w:t>
                </w:r>
              </w:p>
            </w:tc>
          </w:tr>
          <w:tr w14:paraId="29905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47" w:type="pct"/>
                <w:vMerge w:val="continue"/>
                <w:tcBorders>
                  <w:left w:val="single" w:color="auto" w:sz="8" w:space="0"/>
                </w:tcBorders>
                <w:noWrap/>
                <w:vAlign w:val="center"/>
              </w:tcPr>
              <w:p w14:paraId="3C17746E">
                <w:pPr>
                  <w:widowControl/>
                  <w:spacing w:line="240" w:lineRule="auto"/>
                  <w:jc w:val="center"/>
                  <w:textAlignment w:val="center"/>
                  <w:rPr>
                    <w:rFonts w:hint="eastAsia" w:ascii="宋体" w:hAnsi="宋体" w:cs="宋体"/>
                    <w:kern w:val="0"/>
                    <w:sz w:val="18"/>
                    <w:szCs w:val="18"/>
                    <w:lang w:bidi="ar"/>
                  </w:rPr>
                </w:pPr>
              </w:p>
            </w:tc>
            <w:tc>
              <w:tcPr>
                <w:tcW w:w="346" w:type="pct"/>
                <w:vMerge w:val="continue"/>
                <w:vAlign w:val="center"/>
              </w:tcPr>
              <w:p w14:paraId="6ADA6E7C">
                <w:pPr>
                  <w:widowControl/>
                  <w:spacing w:line="240" w:lineRule="auto"/>
                  <w:jc w:val="center"/>
                  <w:textAlignment w:val="center"/>
                  <w:rPr>
                    <w:rFonts w:hint="eastAsia" w:ascii="宋体" w:hAnsi="宋体" w:cs="宋体"/>
                    <w:kern w:val="0"/>
                    <w:sz w:val="18"/>
                    <w:szCs w:val="18"/>
                    <w:lang w:bidi="ar"/>
                  </w:rPr>
                </w:pPr>
              </w:p>
            </w:tc>
            <w:tc>
              <w:tcPr>
                <w:tcW w:w="1279" w:type="pct"/>
                <w:tcBorders>
                  <w:top w:val="single" w:color="auto" w:sz="4" w:space="0"/>
                  <w:right w:val="single" w:color="auto" w:sz="4" w:space="0"/>
                </w:tcBorders>
                <w:vAlign w:val="center"/>
              </w:tcPr>
              <w:p w14:paraId="58CD72AC">
                <w:pPr>
                  <w:widowControl/>
                  <w:spacing w:after="62" w:line="240" w:lineRule="auto"/>
                  <w:jc w:val="center"/>
                  <w:textAlignment w:val="center"/>
                  <w:rPr>
                    <w:rFonts w:hint="eastAsia" w:ascii="宋体" w:hAnsi="宋体" w:cs="宋体"/>
                    <w:kern w:val="0"/>
                    <w:sz w:val="18"/>
                    <w:szCs w:val="18"/>
                  </w:rPr>
                </w:pPr>
                <w:r>
                  <w:rPr>
                    <w:rFonts w:ascii="宋体" w:hAnsi="宋体" w:cs="宋体"/>
                    <w:kern w:val="0"/>
                    <w:sz w:val="18"/>
                    <w:szCs w:val="18"/>
                  </w:rPr>
                  <w:t>开展</w:t>
                </w:r>
                <w:r>
                  <w:rPr>
                    <w:rFonts w:hint="eastAsia" w:ascii="宋体" w:hAnsi="宋体" w:cs="宋体"/>
                    <w:kern w:val="0"/>
                    <w:sz w:val="18"/>
                    <w:szCs w:val="18"/>
                  </w:rPr>
                  <w:t>中医药</w:t>
                </w:r>
                <w:r>
                  <w:rPr>
                    <w:rFonts w:ascii="宋体" w:hAnsi="宋体" w:cs="宋体"/>
                    <w:kern w:val="0"/>
                    <w:sz w:val="18"/>
                    <w:szCs w:val="18"/>
                  </w:rPr>
                  <w:t>专业实践与思维训练</w:t>
                </w:r>
              </w:p>
            </w:tc>
            <w:tc>
              <w:tcPr>
                <w:tcW w:w="3028" w:type="pct"/>
                <w:tcBorders>
                  <w:top w:val="single" w:color="auto" w:sz="4" w:space="0"/>
                  <w:left w:val="single" w:color="auto" w:sz="4" w:space="0"/>
                  <w:right w:val="single" w:color="auto" w:sz="8" w:space="0"/>
                </w:tcBorders>
                <w:vAlign w:val="center"/>
              </w:tcPr>
              <w:p w14:paraId="63858843">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能够运用中医药特色智能技术资源开展四诊、辨证、遣方用药、中药鉴别和针灸等专业实践与思维训练，并根据智能反馈和教师指导调整训练过程</w:t>
                </w:r>
                <w:r>
                  <w:rPr>
                    <w:rFonts w:hint="eastAsia" w:ascii="宋体" w:hAnsi="宋体" w:cs="宋体"/>
                    <w:kern w:val="0"/>
                    <w:sz w:val="18"/>
                    <w:szCs w:val="18"/>
                  </w:rPr>
                  <w:t>。</w:t>
                </w:r>
              </w:p>
              <w:p w14:paraId="5CB5126A">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示例：使用智能辨证实训平台开展四诊信息采集、证候分析和方药选择训练；使用智能舌诊、脉诊设备开展舌象和脉象识别训练；使用图像识别或虚拟仿真平台开展中药材、饮片鉴别和针灸取穴训练</w:t>
                </w:r>
                <w:r>
                  <w:rPr>
                    <w:rFonts w:hint="eastAsia" w:ascii="宋体" w:hAnsi="宋体" w:cs="宋体"/>
                    <w:kern w:val="0"/>
                    <w:sz w:val="18"/>
                    <w:szCs w:val="18"/>
                  </w:rPr>
                  <w:t>。</w:t>
                </w:r>
              </w:p>
            </w:tc>
          </w:tr>
        </w:tbl>
        <w:p w14:paraId="0D14199A">
          <w:pPr>
            <w:pStyle w:val="59"/>
            <w:keepNext/>
            <w:ind w:firstLine="420"/>
            <w:jc w:val="center"/>
            <w:rPr>
              <w:rFonts w:hint="eastAsia" w:ascii="黑体" w:hAnsi="黑体" w:eastAsia="黑体" w:cs="黑体"/>
            </w:rPr>
          </w:pPr>
          <w:r>
            <w:rPr>
              <w:rFonts w:hint="eastAsia" w:ascii="黑体" w:hAnsi="黑体" w:eastAsia="黑体" w:cs="黑体"/>
            </w:rPr>
            <w:t>表4 人工智能应用（续）</w:t>
          </w:r>
        </w:p>
        <w:p w14:paraId="4C6FD72C"/>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646"/>
            <w:gridCol w:w="2388"/>
            <w:gridCol w:w="5652"/>
          </w:tblGrid>
          <w:tr w14:paraId="64FAE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47" w:type="pct"/>
                <w:tcBorders>
                  <w:left w:val="single" w:color="auto" w:sz="8" w:space="0"/>
                </w:tcBorders>
                <w:noWrap/>
                <w:vAlign w:val="center"/>
              </w:tcPr>
              <w:p w14:paraId="5DA52D09">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sz w:val="18"/>
                    <w:szCs w:val="18"/>
                  </w:rPr>
                  <w:t>一级维度</w:t>
                </w:r>
              </w:p>
            </w:tc>
            <w:tc>
              <w:tcPr>
                <w:tcW w:w="346" w:type="pct"/>
                <w:tcBorders>
                  <w:bottom w:val="single" w:color="auto" w:sz="4" w:space="0"/>
                </w:tcBorders>
                <w:vAlign w:val="center"/>
              </w:tcPr>
              <w:p w14:paraId="24BD9D58">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sz w:val="18"/>
                    <w:szCs w:val="18"/>
                  </w:rPr>
                  <w:t>二级维度</w:t>
                </w:r>
              </w:p>
            </w:tc>
            <w:tc>
              <w:tcPr>
                <w:tcW w:w="1279" w:type="pct"/>
                <w:tcBorders>
                  <w:top w:val="single" w:color="auto" w:sz="4" w:space="0"/>
                  <w:right w:val="single" w:color="auto" w:sz="4" w:space="0"/>
                </w:tcBorders>
                <w:vAlign w:val="center"/>
              </w:tcPr>
              <w:p w14:paraId="194A021A">
                <w:pPr>
                  <w:pStyle w:val="235"/>
                  <w:ind w:firstLine="0" w:firstLineChars="0"/>
                  <w:jc w:val="center"/>
                  <w:rPr>
                    <w:rFonts w:hint="eastAsia"/>
                    <w:sz w:val="18"/>
                    <w:szCs w:val="18"/>
                  </w:rPr>
                </w:pPr>
                <w:r>
                  <w:rPr>
                    <w:rFonts w:hint="eastAsia" w:cs="宋体"/>
                    <w:sz w:val="18"/>
                    <w:szCs w:val="18"/>
                  </w:rPr>
                  <w:t>三级维度</w:t>
                </w:r>
              </w:p>
            </w:tc>
            <w:tc>
              <w:tcPr>
                <w:tcW w:w="3028" w:type="pct"/>
                <w:tcBorders>
                  <w:top w:val="single" w:color="auto" w:sz="4" w:space="0"/>
                  <w:left w:val="single" w:color="auto" w:sz="4" w:space="0"/>
                  <w:right w:val="single" w:color="auto" w:sz="8" w:space="0"/>
                </w:tcBorders>
                <w:vAlign w:val="center"/>
              </w:tcPr>
              <w:p w14:paraId="473F5DB6">
                <w:pPr>
                  <w:pStyle w:val="235"/>
                  <w:ind w:firstLine="0" w:firstLineChars="0"/>
                  <w:jc w:val="left"/>
                  <w:rPr>
                    <w:rFonts w:hint="eastAsia"/>
                    <w:sz w:val="18"/>
                    <w:szCs w:val="18"/>
                  </w:rPr>
                </w:pPr>
                <w:r>
                  <w:rPr>
                    <w:rFonts w:hint="eastAsia" w:cs="宋体"/>
                    <w:sz w:val="18"/>
                    <w:szCs w:val="18"/>
                  </w:rPr>
                  <w:t>描述</w:t>
                </w:r>
              </w:p>
            </w:tc>
          </w:tr>
          <w:tr w14:paraId="3FC48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6" w:hRule="atLeast"/>
            </w:trPr>
            <w:tc>
              <w:tcPr>
                <w:tcW w:w="347" w:type="pct"/>
                <w:vMerge w:val="restart"/>
                <w:tcBorders>
                  <w:left w:val="single" w:color="auto" w:sz="8" w:space="0"/>
                </w:tcBorders>
                <w:noWrap/>
                <w:vAlign w:val="center"/>
              </w:tcPr>
              <w:p w14:paraId="213A9B3C">
                <w:pPr>
                  <w:spacing w:line="240" w:lineRule="auto"/>
                  <w:jc w:val="center"/>
                  <w:rPr>
                    <w:rFonts w:hint="eastAsia" w:ascii="宋体" w:hAnsi="宋体" w:cs="宋体"/>
                    <w:kern w:val="0"/>
                    <w:sz w:val="18"/>
                    <w:szCs w:val="18"/>
                    <w:lang w:bidi="ar"/>
                  </w:rPr>
                </w:pPr>
                <w:r>
                  <w:rPr>
                    <w:rFonts w:hint="eastAsia" w:ascii="宋体" w:hAnsi="宋体" w:cs="宋体"/>
                    <w:sz w:val="18"/>
                    <w:szCs w:val="18"/>
                  </w:rPr>
                  <w:t>人工智能应用</w:t>
                </w:r>
              </w:p>
            </w:tc>
            <w:tc>
              <w:tcPr>
                <w:tcW w:w="346" w:type="pct"/>
                <w:tcBorders>
                  <w:bottom w:val="single" w:color="auto" w:sz="4" w:space="0"/>
                </w:tcBorders>
                <w:vAlign w:val="center"/>
              </w:tcPr>
              <w:p w14:paraId="60621D1E">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人工智能学习应用</w:t>
                </w:r>
              </w:p>
            </w:tc>
            <w:tc>
              <w:tcPr>
                <w:tcW w:w="1279" w:type="pct"/>
                <w:tcBorders>
                  <w:top w:val="single" w:color="auto" w:sz="4" w:space="0"/>
                  <w:right w:val="single" w:color="auto" w:sz="4" w:space="0"/>
                </w:tcBorders>
                <w:vAlign w:val="center"/>
              </w:tcPr>
              <w:p w14:paraId="2F03FD50">
                <w:pPr>
                  <w:pStyle w:val="235"/>
                  <w:ind w:firstLine="0" w:firstLineChars="0"/>
                  <w:jc w:val="center"/>
                  <w:rPr>
                    <w:rFonts w:hint="eastAsia"/>
                    <w:sz w:val="18"/>
                    <w:szCs w:val="18"/>
                  </w:rPr>
                </w:pPr>
                <w:r>
                  <w:rPr>
                    <w:sz w:val="18"/>
                    <w:szCs w:val="18"/>
                  </w:rPr>
                  <w:t>优化</w:t>
                </w:r>
                <w:r>
                  <w:rPr>
                    <w:rFonts w:hint="eastAsia"/>
                    <w:sz w:val="18"/>
                    <w:szCs w:val="18"/>
                  </w:rPr>
                  <w:t>中医药</w:t>
                </w:r>
                <w:r>
                  <w:rPr>
                    <w:sz w:val="18"/>
                    <w:szCs w:val="18"/>
                  </w:rPr>
                  <w:t>个体化学习路径</w:t>
                </w:r>
              </w:p>
            </w:tc>
            <w:tc>
              <w:tcPr>
                <w:tcW w:w="3028" w:type="pct"/>
                <w:tcBorders>
                  <w:top w:val="single" w:color="auto" w:sz="4" w:space="0"/>
                  <w:left w:val="single" w:color="auto" w:sz="4" w:space="0"/>
                  <w:right w:val="single" w:color="auto" w:sz="8" w:space="0"/>
                </w:tcBorders>
                <w:vAlign w:val="center"/>
              </w:tcPr>
              <w:p w14:paraId="11BC5B78">
                <w:pPr>
                  <w:pStyle w:val="235"/>
                  <w:ind w:firstLine="0" w:firstLineChars="0"/>
                  <w:jc w:val="left"/>
                  <w:rPr>
                    <w:rFonts w:hint="eastAsia"/>
                    <w:sz w:val="18"/>
                    <w:szCs w:val="18"/>
                  </w:rPr>
                </w:pPr>
                <w:r>
                  <w:rPr>
                    <w:sz w:val="18"/>
                    <w:szCs w:val="18"/>
                  </w:rPr>
                  <w:t>能够运用智能技术资源分析专业学习与实践表现，识别知识、思维和技能方面的薄弱环节，根据学习目标和反馈调整学习内容、训练难度和学习进度，形成适合自身的学习路径。</w:t>
                </w:r>
              </w:p>
              <w:p w14:paraId="4719B1BD">
                <w:pPr>
                  <w:pStyle w:val="235"/>
                  <w:ind w:firstLine="0" w:firstLineChars="0"/>
                  <w:jc w:val="left"/>
                  <w:rPr>
                    <w:rFonts w:hint="eastAsia"/>
                    <w:sz w:val="18"/>
                    <w:szCs w:val="18"/>
                  </w:rPr>
                </w:pPr>
                <w:r>
                  <w:rPr>
                    <w:sz w:val="18"/>
                    <w:szCs w:val="18"/>
                  </w:rPr>
                  <w:t>示例：使用智能学习平台分析经典条文理解、证候辨析、方药选择或中药鉴别练习数据，根据系统反馈和教师指导调整复习重点与训练安排</w:t>
                </w:r>
                <w:r>
                  <w:rPr>
                    <w:rFonts w:hint="eastAsia"/>
                    <w:sz w:val="18"/>
                    <w:szCs w:val="18"/>
                  </w:rPr>
                  <w:t>。</w:t>
                </w:r>
              </w:p>
            </w:tc>
          </w:tr>
          <w:tr w14:paraId="603A0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7" w:type="pct"/>
                <w:vMerge w:val="continue"/>
                <w:tcBorders>
                  <w:left w:val="single" w:color="auto" w:sz="8" w:space="0"/>
                </w:tcBorders>
                <w:noWrap/>
                <w:vAlign w:val="center"/>
              </w:tcPr>
              <w:p w14:paraId="721696E8">
                <w:pPr>
                  <w:spacing w:line="240" w:lineRule="auto"/>
                  <w:jc w:val="center"/>
                  <w:rPr>
                    <w:rFonts w:hint="eastAsia" w:ascii="宋体" w:hAnsi="宋体" w:cs="宋体"/>
                    <w:sz w:val="18"/>
                    <w:szCs w:val="18"/>
                  </w:rPr>
                </w:pPr>
              </w:p>
            </w:tc>
            <w:tc>
              <w:tcPr>
                <w:tcW w:w="346" w:type="pct"/>
                <w:vMerge w:val="restart"/>
                <w:tcBorders>
                  <w:top w:val="single" w:color="auto" w:sz="4" w:space="0"/>
                  <w:bottom w:val="single" w:color="auto" w:sz="4" w:space="0"/>
                  <w:right w:val="single" w:color="auto" w:sz="4" w:space="0"/>
                </w:tcBorders>
                <w:vAlign w:val="center"/>
              </w:tcPr>
              <w:p w14:paraId="67A83CC9">
                <w:pPr>
                  <w:widowControl/>
                  <w:spacing w:line="240" w:lineRule="auto"/>
                  <w:jc w:val="center"/>
                  <w:textAlignment w:val="center"/>
                  <w:rPr>
                    <w:rFonts w:hint="eastAsia" w:ascii="宋体" w:hAnsi="宋体" w:cs="宋体"/>
                    <w:sz w:val="18"/>
                    <w:szCs w:val="18"/>
                  </w:rPr>
                </w:pPr>
                <w:r>
                  <w:rPr>
                    <w:rFonts w:hint="eastAsia" w:ascii="宋体" w:hAnsi="宋体" w:cs="宋体"/>
                    <w:color w:val="000000" w:themeColor="text1"/>
                    <w:kern w:val="0"/>
                    <w:sz w:val="18"/>
                    <w:szCs w:val="18"/>
                    <w:lang w:bidi="ar"/>
                    <w14:textFill>
                      <w14:solidFill>
                        <w14:schemeClr w14:val="tx1"/>
                      </w14:solidFill>
                    </w14:textFill>
                  </w:rPr>
                  <w:t>人工智能科研应用</w:t>
                </w:r>
              </w:p>
            </w:tc>
            <w:tc>
              <w:tcPr>
                <w:tcW w:w="1279" w:type="pct"/>
                <w:tcBorders>
                  <w:left w:val="single" w:color="auto" w:sz="4" w:space="0"/>
                  <w:right w:val="single" w:color="auto" w:sz="4" w:space="0"/>
                </w:tcBorders>
                <w:vAlign w:val="center"/>
              </w:tcPr>
              <w:p w14:paraId="3C30EA9F">
                <w:pPr>
                  <w:widowControl/>
                  <w:spacing w:after="62" w:line="240" w:lineRule="auto"/>
                  <w:jc w:val="center"/>
                  <w:textAlignment w:val="center"/>
                  <w:rPr>
                    <w:sz w:val="18"/>
                    <w:szCs w:val="18"/>
                  </w:rPr>
                </w:pPr>
                <w:r>
                  <w:rPr>
                    <w:sz w:val="18"/>
                    <w:szCs w:val="18"/>
                  </w:rPr>
                  <w:t>拓宽科研视野并发现研究问题</w:t>
                </w:r>
              </w:p>
            </w:tc>
            <w:tc>
              <w:tcPr>
                <w:tcW w:w="3028" w:type="pct"/>
                <w:tcBorders>
                  <w:left w:val="single" w:color="auto" w:sz="4" w:space="0"/>
                  <w:right w:val="single" w:color="auto" w:sz="8" w:space="0"/>
                </w:tcBorders>
                <w:vAlign w:val="center"/>
              </w:tcPr>
              <w:p w14:paraId="1916E1D2">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能够运用智能技术资源对中医药典籍、文献、医案、临床资料和实验资料进行检索、比较和关联分析，发现不同资料中的差异、关联</w:t>
                </w:r>
                <w:r>
                  <w:rPr>
                    <w:rFonts w:hint="eastAsia" w:ascii="宋体" w:hAnsi="宋体" w:cs="宋体"/>
                    <w:kern w:val="0"/>
                    <w:sz w:val="18"/>
                    <w:szCs w:val="18"/>
                  </w:rPr>
                  <w:t>和</w:t>
                </w:r>
                <w:r>
                  <w:rPr>
                    <w:rFonts w:ascii="宋体" w:hAnsi="宋体" w:cs="宋体"/>
                    <w:kern w:val="0"/>
                    <w:sz w:val="18"/>
                    <w:szCs w:val="18"/>
                  </w:rPr>
                  <w:t>研究线索，拓宽科研视野，提出研究问题并形成初步研究思路。</w:t>
                </w:r>
              </w:p>
              <w:p w14:paraId="3BA5BC6A">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示例：使用智能文献检索与分析工具检索和筛选中医药研究文献；使用大模型归纳研究主题、争议与不足；使用知识图谱和可视化工具分析证候、治法、方药与疗效之间的关联，在教师指导下形成研究问题和初步研究思路</w:t>
                </w:r>
                <w:r>
                  <w:rPr>
                    <w:rFonts w:hint="eastAsia" w:ascii="宋体" w:hAnsi="宋体" w:cs="宋体"/>
                    <w:kern w:val="0"/>
                    <w:sz w:val="18"/>
                    <w:szCs w:val="18"/>
                  </w:rPr>
                  <w:t>。</w:t>
                </w:r>
              </w:p>
            </w:tc>
          </w:tr>
          <w:tr w14:paraId="478CA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47" w:type="pct"/>
                <w:vMerge w:val="continue"/>
                <w:tcBorders>
                  <w:left w:val="single" w:color="auto" w:sz="8" w:space="0"/>
                </w:tcBorders>
                <w:noWrap/>
                <w:vAlign w:val="center"/>
              </w:tcPr>
              <w:p w14:paraId="2C7EDA18">
                <w:pPr>
                  <w:spacing w:line="240" w:lineRule="auto"/>
                  <w:jc w:val="center"/>
                  <w:rPr>
                    <w:rFonts w:hint="eastAsia" w:ascii="宋体" w:hAnsi="宋体" w:cs="宋体"/>
                    <w:sz w:val="18"/>
                    <w:szCs w:val="18"/>
                  </w:rPr>
                </w:pPr>
              </w:p>
            </w:tc>
            <w:tc>
              <w:tcPr>
                <w:tcW w:w="346" w:type="pct"/>
                <w:vMerge w:val="continue"/>
                <w:tcBorders>
                  <w:top w:val="single" w:color="auto" w:sz="4" w:space="0"/>
                  <w:bottom w:val="single" w:color="auto" w:sz="4" w:space="0"/>
                  <w:right w:val="single" w:color="auto" w:sz="4" w:space="0"/>
                </w:tcBorders>
                <w:vAlign w:val="center"/>
              </w:tcPr>
              <w:p w14:paraId="19818C49">
                <w:pPr>
                  <w:widowControl/>
                  <w:spacing w:line="240" w:lineRule="auto"/>
                  <w:jc w:val="center"/>
                  <w:textAlignment w:val="center"/>
                  <w:rPr>
                    <w:rFonts w:hint="eastAsia" w:ascii="宋体" w:hAnsi="宋体" w:cs="宋体"/>
                    <w:kern w:val="0"/>
                    <w:sz w:val="18"/>
                    <w:szCs w:val="18"/>
                    <w:lang w:bidi="ar"/>
                  </w:rPr>
                </w:pPr>
              </w:p>
            </w:tc>
            <w:tc>
              <w:tcPr>
                <w:tcW w:w="1279" w:type="pct"/>
                <w:tcBorders>
                  <w:left w:val="single" w:color="auto" w:sz="4" w:space="0"/>
                  <w:right w:val="single" w:color="auto" w:sz="4" w:space="0"/>
                </w:tcBorders>
                <w:vAlign w:val="center"/>
              </w:tcPr>
              <w:p w14:paraId="19EF7D86">
                <w:pPr>
                  <w:widowControl/>
                  <w:spacing w:after="62" w:line="240" w:lineRule="auto"/>
                  <w:jc w:val="center"/>
                  <w:textAlignment w:val="center"/>
                  <w:rPr>
                    <w:sz w:val="18"/>
                    <w:szCs w:val="18"/>
                  </w:rPr>
                </w:pPr>
                <w:r>
                  <w:rPr>
                    <w:sz w:val="18"/>
                    <w:szCs w:val="18"/>
                  </w:rPr>
                  <w:t>丰富研究方法与手段</w:t>
                </w:r>
              </w:p>
            </w:tc>
            <w:tc>
              <w:tcPr>
                <w:tcW w:w="3028" w:type="pct"/>
                <w:tcBorders>
                  <w:left w:val="single" w:color="auto" w:sz="4" w:space="0"/>
                  <w:right w:val="single" w:color="auto" w:sz="8" w:space="0"/>
                </w:tcBorders>
                <w:vAlign w:val="center"/>
              </w:tcPr>
              <w:p w14:paraId="547158DB">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能够根据研究问题和研究设计，将智能技术资源融入中医药研究过程，丰富中医药典籍、医案、临床资料、实验数据和中药相关资料的处理、分析及关联研究方法与手段</w:t>
                </w:r>
                <w:r>
                  <w:rPr>
                    <w:rFonts w:hint="eastAsia" w:ascii="宋体" w:hAnsi="宋体" w:cs="宋体"/>
                    <w:kern w:val="0"/>
                    <w:sz w:val="18"/>
                    <w:szCs w:val="18"/>
                  </w:rPr>
                  <w:t>。</w:t>
                </w:r>
              </w:p>
              <w:p w14:paraId="13AF4F94">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示例：使用文本分析工具提取典籍和医案中的症状、证候、治法与方药信息；使用图像识别工具分析舌象、中药材或饮片图像；使用数据处理与统计分析工具分析实验和临床资料；使用知识图谱或多模态人工智能分析不同中医药数据之间的关联，并使用可视化工具呈现分析结果</w:t>
                </w:r>
                <w:r>
                  <w:rPr>
                    <w:rFonts w:hint="eastAsia" w:ascii="宋体" w:hAnsi="宋体" w:cs="宋体"/>
                    <w:kern w:val="0"/>
                    <w:sz w:val="18"/>
                    <w:szCs w:val="18"/>
                  </w:rPr>
                  <w:t>。</w:t>
                </w:r>
              </w:p>
            </w:tc>
          </w:tr>
          <w:tr w14:paraId="691CE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47" w:type="pct"/>
                <w:vMerge w:val="continue"/>
                <w:tcBorders>
                  <w:left w:val="single" w:color="auto" w:sz="8" w:space="0"/>
                </w:tcBorders>
                <w:noWrap/>
                <w:vAlign w:val="center"/>
              </w:tcPr>
              <w:p w14:paraId="7A309CE3">
                <w:pPr>
                  <w:spacing w:line="240" w:lineRule="auto"/>
                  <w:jc w:val="center"/>
                  <w:rPr>
                    <w:rFonts w:hint="eastAsia" w:ascii="宋体" w:hAnsi="宋体" w:cs="宋体"/>
                    <w:sz w:val="18"/>
                    <w:szCs w:val="18"/>
                  </w:rPr>
                </w:pPr>
              </w:p>
            </w:tc>
            <w:tc>
              <w:tcPr>
                <w:tcW w:w="346" w:type="pct"/>
                <w:vMerge w:val="continue"/>
                <w:tcBorders>
                  <w:top w:val="single" w:color="auto" w:sz="4" w:space="0"/>
                  <w:bottom w:val="single" w:color="auto" w:sz="4" w:space="0"/>
                  <w:right w:val="single" w:color="auto" w:sz="4" w:space="0"/>
                </w:tcBorders>
                <w:vAlign w:val="center"/>
              </w:tcPr>
              <w:p w14:paraId="35FFA3B5">
                <w:pPr>
                  <w:widowControl/>
                  <w:spacing w:line="240" w:lineRule="auto"/>
                  <w:jc w:val="center"/>
                  <w:textAlignment w:val="center"/>
                  <w:rPr>
                    <w:rFonts w:hint="eastAsia" w:ascii="宋体" w:hAnsi="宋体" w:cs="宋体"/>
                    <w:kern w:val="0"/>
                    <w:sz w:val="18"/>
                    <w:szCs w:val="18"/>
                    <w:lang w:bidi="ar"/>
                  </w:rPr>
                </w:pPr>
              </w:p>
            </w:tc>
            <w:tc>
              <w:tcPr>
                <w:tcW w:w="1279" w:type="pct"/>
                <w:tcBorders>
                  <w:left w:val="single" w:color="auto" w:sz="4" w:space="0"/>
                  <w:right w:val="single" w:color="auto" w:sz="4" w:space="0"/>
                </w:tcBorders>
                <w:vAlign w:val="center"/>
              </w:tcPr>
              <w:p w14:paraId="2B381851">
                <w:pPr>
                  <w:widowControl/>
                  <w:spacing w:after="62" w:line="240" w:lineRule="auto"/>
                  <w:jc w:val="center"/>
                  <w:textAlignment w:val="center"/>
                  <w:rPr>
                    <w:sz w:val="18"/>
                    <w:szCs w:val="18"/>
                  </w:rPr>
                </w:pPr>
                <w:r>
                  <w:rPr>
                    <w:sz w:val="18"/>
                    <w:szCs w:val="18"/>
                  </w:rPr>
                  <w:t>拓展科研成果呈现与表达方式</w:t>
                </w:r>
              </w:p>
            </w:tc>
            <w:tc>
              <w:tcPr>
                <w:tcW w:w="3028" w:type="pct"/>
                <w:tcBorders>
                  <w:left w:val="single" w:color="auto" w:sz="4" w:space="0"/>
                  <w:right w:val="single" w:color="auto" w:sz="8" w:space="0"/>
                </w:tcBorders>
                <w:vAlign w:val="center"/>
              </w:tcPr>
              <w:p w14:paraId="7BD56273">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能够运用智能技术资源整理和提炼中医药研究过程、数据和结果，根据研究目的选择适当的文字、图表、数据可视化和多媒体等形式，拓展科研成果的呈现与表达方式。</w:t>
                </w:r>
              </w:p>
              <w:p w14:paraId="2209B2CB">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示例：使用大模型辅助梳理研究过程、论文结构和文字表达；使用智能文献管理工具整理引文与参考文献；使用数据可视化工具制作研究图表；使用演示和多媒体生成工具制作研究报告、学术汇报或科研成果展示材料</w:t>
                </w:r>
                <w:r>
                  <w:rPr>
                    <w:rFonts w:hint="eastAsia" w:ascii="宋体" w:hAnsi="宋体" w:cs="宋体"/>
                    <w:kern w:val="0"/>
                    <w:sz w:val="18"/>
                    <w:szCs w:val="18"/>
                  </w:rPr>
                  <w:t>。</w:t>
                </w:r>
              </w:p>
            </w:tc>
          </w:tr>
          <w:tr w14:paraId="60B43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47" w:type="pct"/>
                <w:vMerge w:val="continue"/>
                <w:tcBorders>
                  <w:left w:val="single" w:color="auto" w:sz="8" w:space="0"/>
                </w:tcBorders>
                <w:noWrap/>
                <w:vAlign w:val="center"/>
              </w:tcPr>
              <w:p w14:paraId="14EF6CE0">
                <w:pPr>
                  <w:spacing w:line="240" w:lineRule="auto"/>
                  <w:jc w:val="center"/>
                  <w:rPr>
                    <w:rFonts w:hint="eastAsia" w:ascii="宋体" w:hAnsi="宋体" w:cs="宋体"/>
                    <w:sz w:val="18"/>
                    <w:szCs w:val="18"/>
                  </w:rPr>
                </w:pPr>
              </w:p>
            </w:tc>
            <w:tc>
              <w:tcPr>
                <w:tcW w:w="346" w:type="pct"/>
                <w:vMerge w:val="restart"/>
                <w:tcBorders>
                  <w:top w:val="single" w:color="auto" w:sz="4" w:space="0"/>
                </w:tcBorders>
                <w:vAlign w:val="center"/>
              </w:tcPr>
              <w:p w14:paraId="40308F3D">
                <w:pPr>
                  <w:widowControl/>
                  <w:spacing w:line="240" w:lineRule="auto"/>
                  <w:jc w:val="center"/>
                  <w:textAlignment w:val="center"/>
                  <w:rPr>
                    <w:rFonts w:hint="eastAsia" w:ascii="宋体" w:hAnsi="宋体" w:cs="宋体"/>
                    <w:kern w:val="0"/>
                    <w:sz w:val="18"/>
                    <w:szCs w:val="18"/>
                    <w:lang w:bidi="ar"/>
                  </w:rPr>
                </w:pPr>
                <w:r>
                  <w:rPr>
                    <w:rFonts w:hint="eastAsia" w:ascii="宋体" w:hAnsi="宋体" w:cs="宋体"/>
                    <w:kern w:val="0"/>
                    <w:sz w:val="18"/>
                    <w:szCs w:val="18"/>
                    <w:lang w:bidi="ar"/>
                  </w:rPr>
                  <w:t>人工智能生活应用</w:t>
                </w:r>
              </w:p>
            </w:tc>
            <w:tc>
              <w:tcPr>
                <w:tcW w:w="1279" w:type="pct"/>
                <w:tcBorders>
                  <w:right w:val="single" w:color="auto" w:sz="4" w:space="0"/>
                </w:tcBorders>
                <w:vAlign w:val="center"/>
              </w:tcPr>
              <w:p w14:paraId="21F3E40A">
                <w:pPr>
                  <w:widowControl/>
                  <w:spacing w:after="62" w:line="240" w:lineRule="auto"/>
                  <w:jc w:val="center"/>
                  <w:textAlignment w:val="center"/>
                  <w:rPr>
                    <w:sz w:val="18"/>
                    <w:szCs w:val="18"/>
                  </w:rPr>
                </w:pPr>
                <w:r>
                  <w:rPr>
                    <w:sz w:val="18"/>
                    <w:szCs w:val="18"/>
                  </w:rPr>
                  <w:t>辅助个人</w:t>
                </w:r>
                <w:r>
                  <w:rPr>
                    <w:rFonts w:hint="eastAsia"/>
                    <w:sz w:val="18"/>
                    <w:szCs w:val="18"/>
                  </w:rPr>
                  <w:t>健康</w:t>
                </w:r>
                <w:r>
                  <w:rPr>
                    <w:sz w:val="18"/>
                    <w:szCs w:val="18"/>
                  </w:rPr>
                  <w:t>管理</w:t>
                </w:r>
              </w:p>
            </w:tc>
            <w:tc>
              <w:tcPr>
                <w:tcW w:w="3028" w:type="pct"/>
                <w:tcBorders>
                  <w:left w:val="single" w:color="auto" w:sz="4" w:space="0"/>
                  <w:right w:val="single" w:color="auto" w:sz="8" w:space="0"/>
                </w:tcBorders>
                <w:vAlign w:val="center"/>
              </w:tcPr>
              <w:p w14:paraId="2C023264">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能够运用智能技术资源获取、整理和分析个人健康信息，结合中医养生、体质调护等知识辅助制定和调整健康生活计划</w:t>
                </w:r>
                <w:r>
                  <w:rPr>
                    <w:rFonts w:hint="eastAsia" w:ascii="宋体" w:hAnsi="宋体" w:cs="宋体"/>
                    <w:kern w:val="0"/>
                    <w:sz w:val="18"/>
                    <w:szCs w:val="18"/>
                  </w:rPr>
                  <w:t>，开展个人健康管理</w:t>
                </w:r>
                <w:r>
                  <w:rPr>
                    <w:rFonts w:ascii="宋体" w:hAnsi="宋体" w:cs="宋体"/>
                    <w:kern w:val="0"/>
                    <w:sz w:val="18"/>
                    <w:szCs w:val="18"/>
                  </w:rPr>
                  <w:t>。</w:t>
                </w:r>
              </w:p>
              <w:p w14:paraId="2480150C">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示例：</w:t>
                </w:r>
                <w:r>
                  <w:rPr>
                    <w:rFonts w:hint="eastAsia" w:ascii="宋体" w:hAnsi="宋体" w:cs="宋体"/>
                    <w:kern w:val="0"/>
                    <w:sz w:val="18"/>
                    <w:szCs w:val="18"/>
                  </w:rPr>
                  <w:t>使</w:t>
                </w:r>
                <w:r>
                  <w:rPr>
                    <w:rFonts w:ascii="宋体" w:hAnsi="宋体" w:cs="宋体"/>
                    <w:kern w:val="0"/>
                    <w:sz w:val="18"/>
                    <w:szCs w:val="18"/>
                  </w:rPr>
                  <w:t>用智能穿戴设备记录睡眠、运动和饮食信息，结合体质辨识结果和节气养生知识调整起居、饮食与运动安排</w:t>
                </w:r>
                <w:r>
                  <w:rPr>
                    <w:rFonts w:hint="eastAsia" w:ascii="宋体" w:hAnsi="宋体" w:cs="宋体"/>
                    <w:kern w:val="0"/>
                    <w:sz w:val="18"/>
                    <w:szCs w:val="18"/>
                  </w:rPr>
                  <w:t>。</w:t>
                </w:r>
              </w:p>
            </w:tc>
          </w:tr>
          <w:tr w14:paraId="03451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347" w:type="pct"/>
                <w:vMerge w:val="continue"/>
                <w:tcBorders>
                  <w:left w:val="single" w:color="auto" w:sz="8" w:space="0"/>
                </w:tcBorders>
                <w:noWrap/>
                <w:vAlign w:val="center"/>
              </w:tcPr>
              <w:p w14:paraId="3A88EBF1">
                <w:pPr>
                  <w:spacing w:line="240" w:lineRule="auto"/>
                  <w:jc w:val="center"/>
                  <w:rPr>
                    <w:rFonts w:hint="eastAsia" w:ascii="宋体" w:hAnsi="宋体" w:cs="宋体"/>
                    <w:sz w:val="18"/>
                    <w:szCs w:val="18"/>
                  </w:rPr>
                </w:pPr>
              </w:p>
            </w:tc>
            <w:tc>
              <w:tcPr>
                <w:tcW w:w="346" w:type="pct"/>
                <w:vMerge w:val="continue"/>
                <w:tcBorders>
                  <w:bottom w:val="single" w:color="auto" w:sz="4" w:space="0"/>
                </w:tcBorders>
                <w:vAlign w:val="center"/>
              </w:tcPr>
              <w:p w14:paraId="31D0424F">
                <w:pPr>
                  <w:widowControl/>
                  <w:spacing w:line="240" w:lineRule="auto"/>
                  <w:jc w:val="center"/>
                  <w:textAlignment w:val="center"/>
                  <w:rPr>
                    <w:rFonts w:hint="eastAsia" w:ascii="宋体" w:hAnsi="宋体" w:cs="宋体"/>
                    <w:kern w:val="0"/>
                    <w:sz w:val="18"/>
                    <w:szCs w:val="18"/>
                    <w:lang w:bidi="ar"/>
                  </w:rPr>
                </w:pPr>
              </w:p>
            </w:tc>
            <w:tc>
              <w:tcPr>
                <w:tcW w:w="1279" w:type="pct"/>
                <w:tcBorders>
                  <w:right w:val="single" w:color="auto" w:sz="4" w:space="0"/>
                </w:tcBorders>
                <w:vAlign w:val="center"/>
              </w:tcPr>
              <w:p w14:paraId="1D8CAEA9">
                <w:pPr>
                  <w:widowControl/>
                  <w:spacing w:after="62" w:line="240" w:lineRule="auto"/>
                  <w:jc w:val="center"/>
                  <w:textAlignment w:val="center"/>
                  <w:rPr>
                    <w:sz w:val="18"/>
                    <w:szCs w:val="18"/>
                  </w:rPr>
                </w:pPr>
                <w:r>
                  <w:rPr>
                    <w:sz w:val="18"/>
                    <w:szCs w:val="18"/>
                  </w:rPr>
                  <w:t>优化健康沟通与表达</w:t>
                </w:r>
              </w:p>
            </w:tc>
            <w:tc>
              <w:tcPr>
                <w:tcW w:w="3028" w:type="pct"/>
                <w:tcBorders>
                  <w:left w:val="single" w:color="auto" w:sz="4" w:space="0"/>
                  <w:right w:val="single" w:color="auto" w:sz="8" w:space="0"/>
                </w:tcBorders>
                <w:vAlign w:val="center"/>
              </w:tcPr>
              <w:p w14:paraId="4FDBCC54">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能够运用智能技术资源辅助组织和表达个人健康信息，根据沟通对象、目的和场合</w:t>
                </w:r>
                <w:r>
                  <w:rPr>
                    <w:rFonts w:hint="eastAsia" w:ascii="宋体" w:hAnsi="宋体" w:cs="宋体"/>
                    <w:kern w:val="0"/>
                    <w:sz w:val="18"/>
                    <w:szCs w:val="18"/>
                  </w:rPr>
                  <w:t>选择合适的</w:t>
                </w:r>
                <w:r>
                  <w:rPr>
                    <w:rFonts w:ascii="宋体" w:hAnsi="宋体" w:cs="宋体"/>
                    <w:kern w:val="0"/>
                    <w:sz w:val="18"/>
                    <w:szCs w:val="18"/>
                  </w:rPr>
                  <w:t>表达方式，进行准确、清晰和</w:t>
                </w:r>
                <w:r>
                  <w:rPr>
                    <w:rFonts w:hint="eastAsia" w:ascii="宋体" w:hAnsi="宋体" w:cs="宋体"/>
                    <w:kern w:val="0"/>
                    <w:sz w:val="18"/>
                    <w:szCs w:val="18"/>
                  </w:rPr>
                  <w:t>恰当</w:t>
                </w:r>
                <w:r>
                  <w:rPr>
                    <w:rFonts w:ascii="宋体" w:hAnsi="宋体" w:cs="宋体"/>
                    <w:kern w:val="0"/>
                    <w:sz w:val="18"/>
                    <w:szCs w:val="18"/>
                  </w:rPr>
                  <w:t>的文字和口头沟通。</w:t>
                </w:r>
              </w:p>
              <w:p w14:paraId="39155AB1">
                <w:pPr>
                  <w:widowControl/>
                  <w:spacing w:after="62" w:line="240" w:lineRule="auto"/>
                  <w:jc w:val="left"/>
                  <w:textAlignment w:val="center"/>
                  <w:rPr>
                    <w:rFonts w:hint="eastAsia" w:ascii="宋体" w:hAnsi="宋体" w:cs="宋体"/>
                    <w:kern w:val="0"/>
                    <w:sz w:val="18"/>
                    <w:szCs w:val="18"/>
                  </w:rPr>
                </w:pPr>
                <w:r>
                  <w:rPr>
                    <w:rFonts w:ascii="宋体" w:hAnsi="宋体" w:cs="宋体"/>
                    <w:kern w:val="0"/>
                    <w:sz w:val="18"/>
                    <w:szCs w:val="18"/>
                  </w:rPr>
                  <w:t>示例：就医或健康咨询前整理并表达症状、用药和健康状况；结合中医药知识向家人或同伴说明体质调养、饮食起居等健康信息；使用智能技术辅助整理健康咨询、说明或交流内容</w:t>
                </w:r>
                <w:r>
                  <w:rPr>
                    <w:rFonts w:hint="eastAsia" w:ascii="宋体" w:hAnsi="宋体" w:cs="宋体"/>
                    <w:kern w:val="0"/>
                    <w:sz w:val="18"/>
                    <w:szCs w:val="18"/>
                  </w:rPr>
                  <w:t>。</w:t>
                </w:r>
              </w:p>
            </w:tc>
          </w:tr>
        </w:tbl>
        <w:p w14:paraId="060B822C">
          <w:pPr>
            <w:pStyle w:val="108"/>
            <w:spacing w:before="120" w:after="120"/>
          </w:pPr>
          <w:bookmarkStart w:id="71" w:name="_Toc235690981"/>
          <w:r>
            <w:t>人工智能学习应用</w:t>
          </w:r>
          <w:bookmarkEnd w:id="71"/>
        </w:p>
        <w:p w14:paraId="028D83AA">
          <w:pPr>
            <w:pStyle w:val="59"/>
            <w:ind w:firstLine="420"/>
            <w:rPr>
              <w:lang w:eastAsia="zh"/>
            </w:rPr>
          </w:pPr>
          <w:r>
            <w:t>中医药大学生运用智能技术资源支持中医药专业学习的能力，包括构建</w:t>
          </w:r>
          <w:r>
            <w:rPr>
              <w:rFonts w:hint="eastAsia"/>
            </w:rPr>
            <w:t>中医药</w:t>
          </w:r>
          <w:r>
            <w:t>系统化知识结构、开展</w:t>
          </w:r>
          <w:r>
            <w:rPr>
              <w:rFonts w:hint="eastAsia"/>
            </w:rPr>
            <w:t>中医药</w:t>
          </w:r>
          <w:r>
            <w:t>专业实践与思维训练和优化</w:t>
          </w:r>
          <w:r>
            <w:rPr>
              <w:rFonts w:hint="eastAsia"/>
            </w:rPr>
            <w:t>中医药</w:t>
          </w:r>
          <w:r>
            <w:t>个体化学习路径</w:t>
          </w:r>
          <w:r>
            <w:rPr>
              <w:rFonts w:hint="eastAsia"/>
            </w:rPr>
            <w:t>。</w:t>
          </w:r>
        </w:p>
        <w:p w14:paraId="0A00D4A5">
          <w:pPr>
            <w:pStyle w:val="108"/>
            <w:spacing w:before="120" w:after="120"/>
          </w:pPr>
          <w:r>
            <w:rPr>
              <w:rFonts w:hint="eastAsia"/>
            </w:rPr>
            <w:t>人工智能科研应用</w:t>
          </w:r>
        </w:p>
        <w:p w14:paraId="5CEA8726">
          <w:pPr>
            <w:pStyle w:val="59"/>
            <w:ind w:firstLine="420"/>
            <w:rPr>
              <w:lang w:eastAsia="zh"/>
            </w:rPr>
          </w:pPr>
          <w:r>
            <w:rPr>
              <w:lang w:eastAsia="zh"/>
            </w:rPr>
            <w:t>中医药大学生运用智能技术资源开展中医药科研训练的能力，包括拓宽科研视野并发现研究问题、丰富研究方法与手段和拓展科研成果呈现与表达方式。</w:t>
          </w:r>
        </w:p>
        <w:p w14:paraId="2C4F9909">
          <w:pPr>
            <w:pStyle w:val="108"/>
            <w:spacing w:before="120" w:after="120"/>
            <w:ind w:left="0"/>
          </w:pPr>
          <w:r>
            <w:rPr>
              <w:rFonts w:hint="eastAsia"/>
            </w:rPr>
            <w:t>人工智能生活应用</w:t>
          </w:r>
        </w:p>
        <w:p w14:paraId="04AEA978">
          <w:pPr>
            <w:pStyle w:val="59"/>
            <w:ind w:firstLine="420"/>
          </w:pPr>
          <w:r>
            <w:rPr>
              <w:lang w:eastAsia="zh"/>
            </w:rPr>
            <w:t>中医药大学生运用智能技术资源改善个人健康生活的能力，包括辅助</w:t>
          </w:r>
          <w:r>
            <w:rPr>
              <w:rFonts w:hint="eastAsia"/>
              <w:lang w:eastAsia="zh"/>
            </w:rPr>
            <w:t>个人</w:t>
          </w:r>
          <w:r>
            <w:rPr>
              <w:lang w:eastAsia="zh"/>
            </w:rPr>
            <w:t>健康管理和优化健康沟通与表达</w:t>
          </w:r>
          <w:r>
            <w:rPr>
              <w:rFonts w:hint="eastAsia"/>
              <w:lang w:eastAsia="zh"/>
            </w:rPr>
            <w:t>。</w:t>
          </w:r>
        </w:p>
        <w:p w14:paraId="3BA800BD">
          <w:pPr>
            <w:pStyle w:val="107"/>
            <w:spacing w:before="240" w:after="240"/>
          </w:pPr>
          <w:bookmarkStart w:id="72" w:name="_Toc236682858"/>
          <w:r>
            <w:rPr>
              <w:rFonts w:hint="eastAsia"/>
            </w:rPr>
            <w:t>人工智能社会责任</w:t>
          </w:r>
          <w:bookmarkEnd w:id="72"/>
        </w:p>
        <w:p w14:paraId="37312994">
          <w:pPr>
            <w:pStyle w:val="108"/>
            <w:spacing w:before="120" w:after="120"/>
            <w:rPr>
              <w:rFonts w:ascii="宋体" w:eastAsia="宋体"/>
              <w:lang w:eastAsia="zh"/>
            </w:rPr>
          </w:pPr>
          <w:r>
            <w:rPr>
              <w:rFonts w:hint="eastAsia"/>
            </w:rPr>
            <w:t>概述</w:t>
          </w:r>
        </w:p>
        <w:p w14:paraId="7414E136">
          <w:pPr>
            <w:pStyle w:val="59"/>
            <w:ind w:firstLine="420"/>
            <w:rPr>
              <w:lang w:eastAsia="zh"/>
            </w:rPr>
          </w:pPr>
          <w:r>
            <w:rPr>
              <w:lang w:eastAsia="zh"/>
            </w:rPr>
            <w:t>中医药大学生规范、审慎、负责任地使用智能技术所具有的意识与行为，包括规范与风险责任和人本与社会责任</w:t>
          </w:r>
          <w:r>
            <w:rPr>
              <w:rFonts w:hint="eastAsia"/>
              <w:lang w:eastAsia="zh"/>
            </w:rPr>
            <w:t>。</w:t>
          </w:r>
        </w:p>
        <w:p w14:paraId="45E6138C">
          <w:pPr>
            <w:pStyle w:val="59"/>
            <w:ind w:firstLine="420"/>
          </w:pPr>
          <w:r>
            <w:rPr>
              <w:rFonts w:hint="eastAsia"/>
            </w:rPr>
            <w:t>人工智能社会责任的二级维度及三级维度见表5。</w:t>
          </w:r>
        </w:p>
        <w:p w14:paraId="0191A52C">
          <w:pPr>
            <w:pStyle w:val="59"/>
            <w:ind w:firstLine="420"/>
          </w:pPr>
        </w:p>
        <w:p w14:paraId="2E8582FA">
          <w:pPr>
            <w:pStyle w:val="59"/>
            <w:ind w:firstLine="420"/>
            <w:jc w:val="center"/>
            <w:rPr>
              <w:rFonts w:hint="eastAsia" w:ascii="黑体" w:hAnsi="黑体" w:eastAsia="黑体" w:cs="黑体"/>
            </w:rPr>
          </w:pPr>
          <w:r>
            <w:rPr>
              <w:rFonts w:hint="eastAsia" w:ascii="黑体" w:hAnsi="黑体" w:eastAsia="黑体" w:cs="黑体"/>
            </w:rPr>
            <w:t>表5 人工智能社会责任</w:t>
          </w:r>
        </w:p>
        <w:p w14:paraId="52FE7F32">
          <w:pPr>
            <w:pStyle w:val="59"/>
            <w:ind w:firstLine="420"/>
            <w:jc w:val="center"/>
            <w:rPr>
              <w:rFonts w:hint="eastAsia" w:ascii="黑体" w:hAnsi="黑体" w:eastAsia="黑体" w:cs="黑体"/>
            </w:rPr>
          </w:pPr>
        </w:p>
        <w:tbl>
          <w:tblPr>
            <w:tblStyle w:val="28"/>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657"/>
            <w:gridCol w:w="2380"/>
            <w:gridCol w:w="5652"/>
          </w:tblGrid>
          <w:tr w14:paraId="3DBE0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5" w:type="pct"/>
                <w:tcBorders>
                  <w:top w:val="single" w:color="auto" w:sz="8" w:space="0"/>
                  <w:left w:val="single" w:color="auto" w:sz="8" w:space="0"/>
                  <w:bottom w:val="single" w:color="auto" w:sz="8" w:space="0"/>
                </w:tcBorders>
                <w:vAlign w:val="center"/>
              </w:tcPr>
              <w:p w14:paraId="08627ADB">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一级</w:t>
                </w:r>
              </w:p>
              <w:p w14:paraId="450FE74B">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维度</w:t>
                </w:r>
              </w:p>
            </w:tc>
            <w:tc>
              <w:tcPr>
                <w:tcW w:w="352" w:type="pct"/>
                <w:tcBorders>
                  <w:top w:val="single" w:color="auto" w:sz="8" w:space="0"/>
                  <w:bottom w:val="single" w:color="auto" w:sz="8" w:space="0"/>
                </w:tcBorders>
                <w:vAlign w:val="center"/>
              </w:tcPr>
              <w:p w14:paraId="0E2909E2">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二级维度</w:t>
                </w:r>
              </w:p>
            </w:tc>
            <w:tc>
              <w:tcPr>
                <w:tcW w:w="1275" w:type="pct"/>
                <w:tcBorders>
                  <w:top w:val="single" w:color="auto" w:sz="8" w:space="0"/>
                  <w:bottom w:val="single" w:color="auto" w:sz="8" w:space="0"/>
                  <w:right w:val="single" w:color="auto" w:sz="4" w:space="0"/>
                </w:tcBorders>
                <w:vAlign w:val="center"/>
              </w:tcPr>
              <w:p w14:paraId="576CCA37">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三级维度</w:t>
                </w:r>
              </w:p>
            </w:tc>
            <w:tc>
              <w:tcPr>
                <w:tcW w:w="3028" w:type="pct"/>
                <w:tcBorders>
                  <w:top w:val="single" w:color="auto" w:sz="8" w:space="0"/>
                  <w:left w:val="single" w:color="auto" w:sz="4" w:space="0"/>
                  <w:bottom w:val="single" w:color="auto" w:sz="8" w:space="0"/>
                  <w:right w:val="single" w:color="auto" w:sz="8" w:space="0"/>
                </w:tcBorders>
                <w:vAlign w:val="center"/>
              </w:tcPr>
              <w:p w14:paraId="039672C8">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描述</w:t>
                </w:r>
              </w:p>
            </w:tc>
          </w:tr>
          <w:tr w14:paraId="38FB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5" w:type="pct"/>
                <w:vMerge w:val="restart"/>
                <w:tcBorders>
                  <w:left w:val="single" w:color="auto" w:sz="8" w:space="0"/>
                </w:tcBorders>
                <w:vAlign w:val="center"/>
              </w:tcPr>
              <w:p w14:paraId="3EBD5B09">
                <w:pPr>
                  <w:widowControl/>
                  <w:spacing w:line="240" w:lineRule="auto"/>
                  <w:jc w:val="center"/>
                  <w:textAlignment w:val="center"/>
                  <w:rPr>
                    <w:rFonts w:hint="eastAsia" w:ascii="宋体" w:hAnsi="宋体" w:cs="宋体"/>
                    <w:sz w:val="18"/>
                    <w:szCs w:val="18"/>
                  </w:rPr>
                </w:pPr>
                <w:r>
                  <w:rPr>
                    <w:rFonts w:hint="eastAsia" w:ascii="宋体" w:hAnsi="宋体" w:cs="宋体"/>
                    <w:sz w:val="18"/>
                    <w:szCs w:val="18"/>
                  </w:rPr>
                  <w:t>人工智能社会责任</w:t>
                </w:r>
              </w:p>
            </w:tc>
            <w:tc>
              <w:tcPr>
                <w:tcW w:w="352" w:type="pct"/>
                <w:vMerge w:val="restart"/>
                <w:vAlign w:val="center"/>
              </w:tcPr>
              <w:p w14:paraId="015A39A5">
                <w:pPr>
                  <w:widowControl/>
                  <w:spacing w:line="240" w:lineRule="auto"/>
                  <w:jc w:val="center"/>
                  <w:textAlignment w:val="center"/>
                  <w:rPr>
                    <w:rFonts w:hint="eastAsia" w:ascii="宋体" w:hAnsi="宋体" w:cs="宋体"/>
                    <w:kern w:val="0"/>
                    <w:sz w:val="18"/>
                    <w:szCs w:val="18"/>
                  </w:rPr>
                </w:pPr>
                <w:r>
                  <w:rPr>
                    <w:rFonts w:hint="eastAsia" w:ascii="宋体" w:hAnsi="宋体" w:cs="宋体"/>
                    <w:sz w:val="18"/>
                    <w:szCs w:val="18"/>
                  </w:rPr>
                  <w:t>规范与风险责任</w:t>
                </w:r>
              </w:p>
            </w:tc>
            <w:tc>
              <w:tcPr>
                <w:tcW w:w="1275" w:type="pct"/>
                <w:tcBorders>
                  <w:top w:val="single" w:color="auto" w:sz="8" w:space="0"/>
                  <w:bottom w:val="single" w:color="auto" w:sz="4" w:space="0"/>
                  <w:right w:val="single" w:color="auto" w:sz="4" w:space="0"/>
                </w:tcBorders>
                <w:vAlign w:val="center"/>
              </w:tcPr>
              <w:p w14:paraId="7D622C74">
                <w:pPr>
                  <w:widowControl/>
                  <w:spacing w:after="62" w:line="240" w:lineRule="auto"/>
                  <w:jc w:val="center"/>
                  <w:textAlignment w:val="center"/>
                  <w:rPr>
                    <w:rFonts w:hint="eastAsia" w:ascii="宋体" w:hAnsi="宋体" w:cs="宋体"/>
                    <w:kern w:val="0"/>
                    <w:sz w:val="18"/>
                    <w:szCs w:val="18"/>
                  </w:rPr>
                </w:pPr>
                <w:r>
                  <w:rPr>
                    <w:sz w:val="18"/>
                    <w:szCs w:val="18"/>
                  </w:rPr>
                  <w:t>合规使用与学术诚信</w:t>
                </w:r>
              </w:p>
            </w:tc>
            <w:tc>
              <w:tcPr>
                <w:tcW w:w="3028" w:type="pct"/>
                <w:tcBorders>
                  <w:top w:val="single" w:color="auto" w:sz="8" w:space="0"/>
                  <w:left w:val="single" w:color="auto" w:sz="4" w:space="0"/>
                  <w:bottom w:val="single" w:color="auto" w:sz="4" w:space="0"/>
                  <w:right w:val="single" w:color="auto" w:sz="8" w:space="0"/>
                </w:tcBorders>
                <w:vAlign w:val="center"/>
              </w:tcPr>
              <w:p w14:paraId="3A506337">
                <w:pPr>
                  <w:widowControl/>
                  <w:spacing w:line="240" w:lineRule="auto"/>
                  <w:textAlignment w:val="center"/>
                  <w:rPr>
                    <w:rFonts w:hint="eastAsia" w:ascii="宋体" w:hAnsi="宋体" w:cs="宋体"/>
                    <w:color w:val="000000"/>
                    <w:kern w:val="0"/>
                    <w:sz w:val="18"/>
                    <w:szCs w:val="18"/>
                    <w:lang w:bidi="ar"/>
                  </w:rPr>
                </w:pPr>
                <w:r>
                  <w:rPr>
                    <w:sz w:val="18"/>
                    <w:szCs w:val="18"/>
                  </w:rPr>
                  <w:t>遵守相关法律法规、中医药行业规范和学术规范，诚信使用智能技术资源，</w:t>
                </w:r>
                <w:r>
                  <w:rPr>
                    <w:rFonts w:hint="eastAsia"/>
                    <w:sz w:val="18"/>
                    <w:szCs w:val="18"/>
                  </w:rPr>
                  <w:t>维护</w:t>
                </w:r>
                <w:r>
                  <w:rPr>
                    <w:sz w:val="18"/>
                    <w:szCs w:val="18"/>
                  </w:rPr>
                  <w:t>数据安全，保护个人隐私和知识产权，明确智能技术使用与个人成果之间的边界</w:t>
                </w:r>
                <w:r>
                  <w:rPr>
                    <w:rFonts w:hint="eastAsia"/>
                    <w:sz w:val="18"/>
                    <w:szCs w:val="18"/>
                  </w:rPr>
                  <w:t>。</w:t>
                </w:r>
              </w:p>
            </w:tc>
          </w:tr>
          <w:tr w14:paraId="1BD4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345" w:type="pct"/>
                <w:vMerge w:val="continue"/>
                <w:tcBorders>
                  <w:left w:val="single" w:color="auto" w:sz="8" w:space="0"/>
                </w:tcBorders>
                <w:vAlign w:val="center"/>
              </w:tcPr>
              <w:p w14:paraId="11D926F3">
                <w:pPr>
                  <w:widowControl/>
                  <w:spacing w:line="240" w:lineRule="auto"/>
                  <w:jc w:val="center"/>
                  <w:textAlignment w:val="center"/>
                  <w:rPr>
                    <w:rFonts w:hint="eastAsia" w:ascii="宋体" w:hAnsi="宋体" w:cs="宋体"/>
                    <w:sz w:val="18"/>
                    <w:szCs w:val="18"/>
                  </w:rPr>
                </w:pPr>
              </w:p>
            </w:tc>
            <w:tc>
              <w:tcPr>
                <w:tcW w:w="352" w:type="pct"/>
                <w:vMerge w:val="continue"/>
                <w:tcBorders>
                  <w:bottom w:val="single" w:color="auto" w:sz="4" w:space="0"/>
                </w:tcBorders>
                <w:vAlign w:val="center"/>
              </w:tcPr>
              <w:p w14:paraId="52B7E3A9">
                <w:pPr>
                  <w:widowControl/>
                  <w:spacing w:after="62" w:line="240" w:lineRule="auto"/>
                  <w:jc w:val="center"/>
                  <w:textAlignment w:val="center"/>
                  <w:rPr>
                    <w:rFonts w:hint="eastAsia" w:ascii="宋体" w:hAnsi="宋体" w:cs="宋体"/>
                    <w:kern w:val="0"/>
                    <w:sz w:val="18"/>
                    <w:szCs w:val="18"/>
                  </w:rPr>
                </w:pPr>
              </w:p>
            </w:tc>
            <w:tc>
              <w:tcPr>
                <w:tcW w:w="1275" w:type="pct"/>
                <w:tcBorders>
                  <w:top w:val="single" w:color="auto" w:sz="4" w:space="0"/>
                  <w:bottom w:val="single" w:color="auto" w:sz="4" w:space="0"/>
                  <w:right w:val="single" w:color="auto" w:sz="4" w:space="0"/>
                </w:tcBorders>
                <w:vAlign w:val="center"/>
              </w:tcPr>
              <w:p w14:paraId="73A5AAC0">
                <w:pPr>
                  <w:widowControl/>
                  <w:spacing w:after="62" w:line="240" w:lineRule="auto"/>
                  <w:jc w:val="center"/>
                  <w:textAlignment w:val="center"/>
                  <w:rPr>
                    <w:rFonts w:hint="eastAsia" w:ascii="宋体" w:hAnsi="宋体" w:cs="宋体"/>
                    <w:kern w:val="0"/>
                    <w:sz w:val="18"/>
                    <w:szCs w:val="18"/>
                  </w:rPr>
                </w:pPr>
                <w:r>
                  <w:rPr>
                    <w:sz w:val="18"/>
                    <w:szCs w:val="18"/>
                  </w:rPr>
                  <w:t>安全风险与责任承担</w:t>
                </w:r>
              </w:p>
            </w:tc>
            <w:tc>
              <w:tcPr>
                <w:tcW w:w="3028" w:type="pct"/>
                <w:tcBorders>
                  <w:top w:val="single" w:color="auto" w:sz="4" w:space="0"/>
                  <w:left w:val="single" w:color="auto" w:sz="4" w:space="0"/>
                  <w:bottom w:val="single" w:color="auto" w:sz="4" w:space="0"/>
                  <w:right w:val="single" w:color="auto" w:sz="8" w:space="0"/>
                </w:tcBorders>
                <w:vAlign w:val="center"/>
              </w:tcPr>
              <w:p w14:paraId="35947838">
                <w:pPr>
                  <w:widowControl/>
                  <w:spacing w:line="240" w:lineRule="auto"/>
                  <w:textAlignment w:val="center"/>
                  <w:rPr>
                    <w:rFonts w:hint="eastAsia" w:ascii="宋体" w:hAnsi="宋体" w:cs="宋体"/>
                    <w:color w:val="000000"/>
                    <w:kern w:val="0"/>
                    <w:sz w:val="18"/>
                    <w:szCs w:val="18"/>
                    <w:lang w:bidi="ar"/>
                  </w:rPr>
                </w:pPr>
                <w:r>
                  <w:rPr>
                    <w:sz w:val="18"/>
                    <w:szCs w:val="18"/>
                  </w:rPr>
                  <w:t>识别</w:t>
                </w:r>
                <w:r>
                  <w:rPr>
                    <w:rFonts w:hint="eastAsia"/>
                    <w:sz w:val="18"/>
                    <w:szCs w:val="18"/>
                  </w:rPr>
                  <w:t>中医药领域</w:t>
                </w:r>
                <w:r>
                  <w:rPr>
                    <w:sz w:val="18"/>
                    <w:szCs w:val="18"/>
                  </w:rPr>
                  <w:t>智能技术应用的安全、专业和社会风险，审慎决定是否使用或采纳智能技术输出，并对使用行为及其后果承担责任</w:t>
                </w:r>
                <w:r>
                  <w:rPr>
                    <w:rFonts w:hint="eastAsia"/>
                    <w:sz w:val="18"/>
                    <w:szCs w:val="18"/>
                  </w:rPr>
                  <w:t>。</w:t>
                </w:r>
              </w:p>
            </w:tc>
          </w:tr>
          <w:tr w14:paraId="78EF3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5" w:type="pct"/>
                <w:vMerge w:val="continue"/>
                <w:tcBorders>
                  <w:left w:val="single" w:color="auto" w:sz="8" w:space="0"/>
                  <w:right w:val="single" w:color="auto" w:sz="4" w:space="0"/>
                </w:tcBorders>
                <w:vAlign w:val="center"/>
              </w:tcPr>
              <w:p w14:paraId="4D1E7248">
                <w:pPr>
                  <w:widowControl/>
                  <w:spacing w:line="240" w:lineRule="auto"/>
                  <w:jc w:val="center"/>
                  <w:textAlignment w:val="center"/>
                  <w:rPr>
                    <w:rFonts w:hint="eastAsia" w:ascii="宋体" w:hAnsi="宋体" w:cs="宋体"/>
                    <w:sz w:val="18"/>
                    <w:szCs w:val="18"/>
                  </w:rPr>
                </w:pPr>
              </w:p>
            </w:tc>
            <w:tc>
              <w:tcPr>
                <w:tcW w:w="352" w:type="pct"/>
                <w:vMerge w:val="restart"/>
                <w:tcBorders>
                  <w:top w:val="single" w:color="auto" w:sz="4" w:space="0"/>
                  <w:left w:val="single" w:color="auto" w:sz="4" w:space="0"/>
                  <w:bottom w:val="single" w:color="auto" w:sz="4" w:space="0"/>
                  <w:right w:val="single" w:color="auto" w:sz="4" w:space="0"/>
                </w:tcBorders>
                <w:vAlign w:val="center"/>
              </w:tcPr>
              <w:p w14:paraId="241322AD">
                <w:pPr>
                  <w:widowControl/>
                  <w:spacing w:line="240" w:lineRule="auto"/>
                  <w:jc w:val="center"/>
                  <w:textAlignment w:val="center"/>
                  <w:rPr>
                    <w:rFonts w:hint="eastAsia" w:ascii="宋体" w:hAnsi="宋体" w:cs="宋体"/>
                    <w:sz w:val="18"/>
                    <w:szCs w:val="18"/>
                  </w:rPr>
                </w:pPr>
                <w:r>
                  <w:rPr>
                    <w:sz w:val="18"/>
                    <w:szCs w:val="18"/>
                  </w:rPr>
                  <w:t>人本与社会责任</w:t>
                </w:r>
              </w:p>
            </w:tc>
            <w:tc>
              <w:tcPr>
                <w:tcW w:w="1275" w:type="pct"/>
                <w:tcBorders>
                  <w:left w:val="single" w:color="auto" w:sz="4" w:space="0"/>
                  <w:right w:val="single" w:color="auto" w:sz="4" w:space="0"/>
                </w:tcBorders>
                <w:vAlign w:val="center"/>
              </w:tcPr>
              <w:p w14:paraId="0D261D9E">
                <w:pPr>
                  <w:widowControl/>
                  <w:spacing w:after="62" w:line="240" w:lineRule="auto"/>
                  <w:jc w:val="center"/>
                  <w:textAlignment w:val="center"/>
                  <w:rPr>
                    <w:rFonts w:hint="eastAsia" w:ascii="宋体" w:hAnsi="宋体" w:cs="宋体"/>
                    <w:kern w:val="0"/>
                    <w:sz w:val="18"/>
                    <w:szCs w:val="18"/>
                  </w:rPr>
                </w:pPr>
                <w:r>
                  <w:rPr>
                    <w:sz w:val="18"/>
                    <w:szCs w:val="18"/>
                  </w:rPr>
                  <w:t>患者至上与人文关怀</w:t>
                </w:r>
              </w:p>
            </w:tc>
            <w:tc>
              <w:tcPr>
                <w:tcW w:w="3028" w:type="pct"/>
                <w:tcBorders>
                  <w:left w:val="single" w:color="auto" w:sz="4" w:space="0"/>
                  <w:right w:val="single" w:color="auto" w:sz="8" w:space="0"/>
                </w:tcBorders>
                <w:vAlign w:val="center"/>
              </w:tcPr>
              <w:p w14:paraId="0A4AF6EA">
                <w:pPr>
                  <w:widowControl/>
                  <w:spacing w:line="240" w:lineRule="auto"/>
                  <w:textAlignment w:val="center"/>
                  <w:rPr>
                    <w:rFonts w:hint="eastAsia" w:ascii="宋体" w:hAnsi="宋体" w:cs="宋体"/>
                    <w:color w:val="000000"/>
                    <w:kern w:val="0"/>
                    <w:sz w:val="18"/>
                    <w:szCs w:val="18"/>
                    <w:lang w:bidi="ar"/>
                  </w:rPr>
                </w:pPr>
                <w:r>
                  <w:rPr>
                    <w:sz w:val="18"/>
                    <w:szCs w:val="18"/>
                  </w:rPr>
                  <w:t>在涉及患者和公众健康的智能技术应用中，以生命健康和福祉为优先考量，尊重人格尊严、个体差异、知情权、自主选择和</w:t>
                </w:r>
                <w:r>
                  <w:rPr>
                    <w:rFonts w:hint="eastAsia"/>
                    <w:sz w:val="18"/>
                    <w:szCs w:val="18"/>
                  </w:rPr>
                  <w:t>健康</w:t>
                </w:r>
                <w:r>
                  <w:rPr>
                    <w:sz w:val="18"/>
                    <w:szCs w:val="18"/>
                  </w:rPr>
                  <w:t>需求，践行“大医精诚”精神，体现中医药人文关怀</w:t>
                </w:r>
                <w:r>
                  <w:rPr>
                    <w:rFonts w:hint="eastAsia"/>
                    <w:sz w:val="18"/>
                    <w:szCs w:val="18"/>
                  </w:rPr>
                  <w:t>。</w:t>
                </w:r>
              </w:p>
            </w:tc>
          </w:tr>
          <w:tr w14:paraId="37F0C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45" w:type="pct"/>
                <w:vMerge w:val="continue"/>
                <w:tcBorders>
                  <w:left w:val="single" w:color="auto" w:sz="8" w:space="0"/>
                  <w:right w:val="single" w:color="auto" w:sz="4" w:space="0"/>
                </w:tcBorders>
                <w:vAlign w:val="center"/>
              </w:tcPr>
              <w:p w14:paraId="0B4C86BA">
                <w:pPr>
                  <w:widowControl/>
                  <w:spacing w:line="240" w:lineRule="auto"/>
                  <w:jc w:val="center"/>
                  <w:textAlignment w:val="center"/>
                  <w:rPr>
                    <w:rFonts w:hint="eastAsia" w:ascii="宋体" w:hAnsi="宋体" w:cs="宋体"/>
                    <w:sz w:val="18"/>
                    <w:szCs w:val="18"/>
                  </w:rPr>
                </w:pPr>
              </w:p>
            </w:tc>
            <w:tc>
              <w:tcPr>
                <w:tcW w:w="352" w:type="pct"/>
                <w:vMerge w:val="continue"/>
                <w:tcBorders>
                  <w:top w:val="single" w:color="auto" w:sz="4" w:space="0"/>
                  <w:left w:val="single" w:color="auto" w:sz="4" w:space="0"/>
                  <w:bottom w:val="single" w:color="auto" w:sz="4" w:space="0"/>
                  <w:right w:val="single" w:color="auto" w:sz="4" w:space="0"/>
                </w:tcBorders>
                <w:vAlign w:val="center"/>
              </w:tcPr>
              <w:p w14:paraId="11D95056">
                <w:pPr>
                  <w:widowControl/>
                  <w:spacing w:line="240" w:lineRule="auto"/>
                  <w:jc w:val="center"/>
                  <w:textAlignment w:val="center"/>
                  <w:rPr>
                    <w:rFonts w:hint="eastAsia" w:ascii="宋体" w:hAnsi="宋体" w:cs="宋体"/>
                    <w:sz w:val="18"/>
                    <w:szCs w:val="18"/>
                  </w:rPr>
                </w:pPr>
              </w:p>
            </w:tc>
            <w:tc>
              <w:tcPr>
                <w:tcW w:w="1275" w:type="pct"/>
                <w:tcBorders>
                  <w:left w:val="single" w:color="auto" w:sz="4" w:space="0"/>
                  <w:right w:val="single" w:color="auto" w:sz="4" w:space="0"/>
                </w:tcBorders>
                <w:vAlign w:val="center"/>
              </w:tcPr>
              <w:p w14:paraId="58EBA0A6">
                <w:pPr>
                  <w:widowControl/>
                  <w:spacing w:after="62" w:line="240" w:lineRule="auto"/>
                  <w:jc w:val="center"/>
                  <w:textAlignment w:val="center"/>
                  <w:rPr>
                    <w:rFonts w:hint="eastAsia" w:ascii="宋体" w:hAnsi="宋体" w:cs="宋体"/>
                    <w:kern w:val="0"/>
                    <w:sz w:val="18"/>
                    <w:szCs w:val="18"/>
                  </w:rPr>
                </w:pPr>
                <w:r>
                  <w:rPr>
                    <w:sz w:val="18"/>
                    <w:szCs w:val="18"/>
                  </w:rPr>
                  <w:t>中医药科普与文化传播</w:t>
                </w:r>
              </w:p>
            </w:tc>
            <w:tc>
              <w:tcPr>
                <w:tcW w:w="3028" w:type="pct"/>
                <w:tcBorders>
                  <w:left w:val="single" w:color="auto" w:sz="4" w:space="0"/>
                  <w:right w:val="single" w:color="auto" w:sz="8" w:space="0"/>
                </w:tcBorders>
                <w:vAlign w:val="center"/>
              </w:tcPr>
              <w:p w14:paraId="627EDCFD">
                <w:pPr>
                  <w:widowControl/>
                  <w:spacing w:line="240" w:lineRule="auto"/>
                  <w:textAlignment w:val="center"/>
                  <w:rPr>
                    <w:rFonts w:hint="eastAsia" w:ascii="宋体" w:hAnsi="宋体" w:cs="宋体"/>
                    <w:color w:val="000000"/>
                    <w:kern w:val="0"/>
                    <w:sz w:val="18"/>
                    <w:szCs w:val="18"/>
                    <w:lang w:bidi="ar"/>
                  </w:rPr>
                </w:pPr>
                <w:r>
                  <w:rPr>
                    <w:sz w:val="18"/>
                    <w:szCs w:val="18"/>
                  </w:rPr>
                  <w:t>发挥中医药专业优势，负责任地运用智能技术开展</w:t>
                </w:r>
                <w:r>
                  <w:rPr>
                    <w:rFonts w:hint="eastAsia"/>
                    <w:sz w:val="18"/>
                    <w:szCs w:val="18"/>
                  </w:rPr>
                  <w:t>中医药</w:t>
                </w:r>
                <w:r>
                  <w:rPr>
                    <w:sz w:val="18"/>
                    <w:szCs w:val="18"/>
                  </w:rPr>
                  <w:t>科普、公共服务和文化传播，避免夸大、误导或脱离适用条件的表达，服务公众健康，促进中医药文化传承</w:t>
                </w:r>
                <w:r>
                  <w:rPr>
                    <w:rFonts w:hint="eastAsia"/>
                    <w:sz w:val="18"/>
                    <w:szCs w:val="18"/>
                  </w:rPr>
                  <w:t>。</w:t>
                </w:r>
              </w:p>
            </w:tc>
          </w:tr>
        </w:tbl>
        <w:p w14:paraId="2B89DCC5">
          <w:pPr>
            <w:pStyle w:val="59"/>
            <w:ind w:firstLine="0" w:firstLineChars="0"/>
            <w:rPr>
              <w:lang w:eastAsia="zh"/>
            </w:rPr>
          </w:pPr>
        </w:p>
        <w:p w14:paraId="62E74E07">
          <w:pPr>
            <w:pStyle w:val="108"/>
            <w:spacing w:before="120" w:after="120"/>
          </w:pPr>
          <w:r>
            <w:rPr>
              <w:rFonts w:hint="eastAsia"/>
            </w:rPr>
            <w:t>规范与风险责任</w:t>
          </w:r>
        </w:p>
        <w:p w14:paraId="5EA941ED">
          <w:pPr>
            <w:pStyle w:val="59"/>
            <w:ind w:firstLine="420"/>
          </w:pPr>
          <w:r>
            <w:t>中医药大学生规范使用智能技术并防范相关风险所应承担的责任，包括合规使用与学术诚信和安全风险与责任承担。</w:t>
          </w:r>
        </w:p>
        <w:p w14:paraId="1E5303B5">
          <w:pPr>
            <w:pStyle w:val="108"/>
            <w:spacing w:before="120" w:after="120"/>
            <w:rPr>
              <w:lang w:eastAsia="zh"/>
            </w:rPr>
          </w:pPr>
          <w:r>
            <w:rPr>
              <w:rFonts w:hint="eastAsia"/>
            </w:rPr>
            <w:t>人本与社会责任</w:t>
          </w:r>
        </w:p>
        <w:p w14:paraId="71C1EBBA">
          <w:pPr>
            <w:pStyle w:val="59"/>
            <w:ind w:firstLine="420"/>
          </w:pPr>
          <w:r>
            <w:t>中医药大学生在使用智能技术时坚持以人为本并履行专业社会责任，包括患者至上与人文关怀和中医药科普与文化传播。</w:t>
          </w:r>
        </w:p>
        <w:p w14:paraId="26647A7B">
          <w:pPr>
            <w:pStyle w:val="59"/>
            <w:ind w:firstLine="420"/>
          </w:pPr>
        </w:p>
        <w:p w14:paraId="2BBBE72C">
          <w:pPr>
            <w:widowControl/>
            <w:adjustRightInd/>
            <w:spacing w:line="240" w:lineRule="auto"/>
            <w:jc w:val="left"/>
            <w:rPr>
              <w:rFonts w:ascii="宋体" w:hAnsi="Times New Roman"/>
              <w:kern w:val="0"/>
              <w:szCs w:val="20"/>
            </w:rPr>
          </w:pPr>
          <w:r>
            <w:br w:type="page"/>
          </w:r>
        </w:p>
        <w:p w14:paraId="49AA0C07">
          <w:pPr>
            <w:pStyle w:val="59"/>
            <w:pageBreakBefore/>
            <w:ind w:firstLine="0" w:firstLineChars="0"/>
            <w:jc w:val="center"/>
          </w:pPr>
          <w:bookmarkStart w:id="73" w:name="BookMark8"/>
          <w:r>
            <w:rPr>
              <w:rFonts w:hint="eastAsia" w:ascii="黑体" w:eastAsia="黑体"/>
            </w:rPr>
            <w:t>参考文献</w:t>
          </w:r>
          <w:bookmarkStart w:id="74" w:name="_Toc191654588"/>
          <w:bookmarkEnd w:id="74"/>
        </w:p>
        <w:p w14:paraId="1B9C386B">
          <w:pPr>
            <w:pStyle w:val="59"/>
            <w:numPr>
              <w:ilvl w:val="0"/>
              <w:numId w:val="32"/>
            </w:numPr>
            <w:ind w:firstLine="0" w:firstLineChars="0"/>
            <w:rPr>
              <w:rFonts w:hint="eastAsia" w:hAnsi="宋体" w:cs="宋体"/>
            </w:rPr>
          </w:pPr>
          <w:r>
            <w:rPr>
              <w:rFonts w:hint="eastAsia" w:hAnsi="宋体" w:cs="宋体"/>
            </w:rPr>
            <w:t>GB/T 35273 信息安全技术 个人信息安全规范</w:t>
          </w:r>
        </w:p>
        <w:p w14:paraId="532D2C79">
          <w:pPr>
            <w:pStyle w:val="59"/>
            <w:numPr>
              <w:ilvl w:val="0"/>
              <w:numId w:val="32"/>
            </w:numPr>
            <w:ind w:firstLine="0" w:firstLineChars="0"/>
            <w:rPr>
              <w:rFonts w:hint="eastAsia" w:hAnsi="宋体" w:cs="宋体"/>
            </w:rPr>
          </w:pPr>
          <w:r>
            <w:rPr>
              <w:rFonts w:hint="eastAsia" w:hAnsi="宋体" w:cs="宋体"/>
            </w:rPr>
            <w:t>GB/T 39725 信息安全技术 健康医疗数据安全指南</w:t>
          </w:r>
        </w:p>
        <w:p w14:paraId="0710025D">
          <w:pPr>
            <w:pStyle w:val="59"/>
            <w:numPr>
              <w:ilvl w:val="0"/>
              <w:numId w:val="32"/>
            </w:numPr>
            <w:ind w:firstLine="0" w:firstLineChars="0"/>
            <w:rPr>
              <w:rFonts w:hint="eastAsia" w:hAnsi="宋体" w:cs="宋体"/>
            </w:rPr>
          </w:pPr>
          <w:r>
            <w:rPr>
              <w:rFonts w:hint="eastAsia" w:hAnsi="宋体" w:cs="宋体"/>
            </w:rPr>
            <w:t>GB/T 41867 信息技术 人工智能 术语</w:t>
          </w:r>
        </w:p>
        <w:p w14:paraId="0C376C8D">
          <w:pPr>
            <w:pStyle w:val="59"/>
            <w:numPr>
              <w:ilvl w:val="0"/>
              <w:numId w:val="32"/>
            </w:numPr>
            <w:ind w:firstLine="0" w:firstLineChars="0"/>
            <w:rPr>
              <w:rFonts w:hint="eastAsia" w:hAnsi="宋体" w:cs="宋体"/>
            </w:rPr>
          </w:pPr>
          <w:r>
            <w:rPr>
              <w:rFonts w:hint="eastAsia" w:hAnsi="宋体" w:cs="宋体"/>
            </w:rPr>
            <w:t>GB/T 42131 人工智能 知识图谱技术框架</w:t>
          </w:r>
        </w:p>
        <w:p w14:paraId="454C0AA1">
          <w:pPr>
            <w:pStyle w:val="59"/>
            <w:numPr>
              <w:ilvl w:val="0"/>
              <w:numId w:val="32"/>
            </w:numPr>
            <w:ind w:firstLine="0" w:firstLineChars="0"/>
            <w:rPr>
              <w:rFonts w:hint="eastAsia" w:hAnsi="宋体" w:cs="宋体"/>
            </w:rPr>
          </w:pPr>
          <w:r>
            <w:rPr>
              <w:rFonts w:hint="eastAsia" w:hAnsi="宋体" w:cs="宋体"/>
            </w:rPr>
            <w:t>GB/T 45288.1 人工智能 大模型 第1部分：通用要求</w:t>
          </w:r>
        </w:p>
        <w:p w14:paraId="11409F2E">
          <w:pPr>
            <w:pStyle w:val="59"/>
            <w:numPr>
              <w:ilvl w:val="0"/>
              <w:numId w:val="32"/>
            </w:numPr>
            <w:ind w:firstLine="0" w:firstLineChars="0"/>
            <w:rPr>
              <w:rFonts w:hint="eastAsia" w:hAnsi="宋体" w:cs="宋体"/>
            </w:rPr>
          </w:pPr>
          <w:r>
            <w:rPr>
              <w:rFonts w:hint="eastAsia" w:hAnsi="宋体" w:cs="宋体"/>
            </w:rPr>
            <w:t>GB 45438 网络安全技术 人工智能生成合成内容标识方法</w:t>
          </w:r>
        </w:p>
        <w:p w14:paraId="77274F45">
          <w:pPr>
            <w:pStyle w:val="59"/>
            <w:numPr>
              <w:ilvl w:val="0"/>
              <w:numId w:val="32"/>
            </w:numPr>
            <w:ind w:firstLine="0" w:firstLineChars="0"/>
            <w:rPr>
              <w:rFonts w:hint="eastAsia" w:hAnsi="宋体" w:cs="宋体"/>
            </w:rPr>
          </w:pPr>
          <w:r>
            <w:rPr>
              <w:rFonts w:hint="eastAsia" w:hAnsi="宋体" w:cs="宋体"/>
            </w:rPr>
            <w:t>JY/T 0646—2022 教师数字素养</w:t>
          </w:r>
        </w:p>
        <w:p w14:paraId="3A1906AC">
          <w:pPr>
            <w:pStyle w:val="59"/>
            <w:ind w:firstLine="0" w:firstLineChars="0"/>
            <w:jc w:val="center"/>
          </w:pPr>
          <w:r>
            <w:rPr>
              <w:rFonts w:hint="eastAsia"/>
            </w:rPr>
            <w:drawing>
              <wp:inline distT="0" distB="0" distL="0" distR="0">
                <wp:extent cx="1485900" cy="317500"/>
                <wp:effectExtent l="0" t="0" r="7620" b="2540"/>
                <wp:docPr id="1041016772" name="图片 2"/>
                <wp:cNvGraphicFramePr/>
                <a:graphic xmlns:a="http://schemas.openxmlformats.org/drawingml/2006/main">
                  <a:graphicData uri="http://schemas.openxmlformats.org/drawingml/2006/picture">
                    <pic:pic xmlns:pic="http://schemas.openxmlformats.org/drawingml/2006/picture">
                      <pic:nvPicPr>
                        <pic:cNvPr id="1041016772" name="图片 2"/>
                        <pic:cNvPicPr/>
                      </pic:nvPicPr>
                      <pic:blipFill>
                        <a:blip r:embed="rId18">
                          <a:extLst>
                            <a:ext uri="{28A0092B-C50C-407E-A947-70E740481C1C}">
                              <a14:useLocalDpi xmlns:a14="http://schemas.microsoft.com/office/drawing/2010/main" val="0"/>
                            </a:ext>
                          </a:extLst>
                        </a:blip>
                        <a:stretch>
                          <a:fillRect/>
                        </a:stretch>
                      </pic:blipFill>
                      <pic:spPr>
                        <a:xfrm>
                          <a:off x="0" y="0"/>
                          <a:ext cx="1485900" cy="317500"/>
                        </a:xfrm>
                        <a:prstGeom prst="rect">
                          <a:avLst/>
                        </a:prstGeom>
                      </pic:spPr>
                    </pic:pic>
                  </a:graphicData>
                </a:graphic>
              </wp:inline>
            </w:drawing>
          </w:r>
          <w:bookmarkEnd w:id="73"/>
        </w:p>
        <w:p w14:paraId="6D21D105">
          <w:pPr>
            <w:pStyle w:val="59"/>
            <w:ind w:firstLine="0" w:firstLineChars="0"/>
            <w:jc w:val="center"/>
          </w:pPr>
        </w:p>
      </w:sdtContent>
    </w:sdt>
    <w:sectPr>
      <w:pgSz w:w="11906" w:h="16838"/>
      <w:pgMar w:top="1928" w:right="1134" w:bottom="1134" w:left="1134" w:header="1418" w:footer="1134" w:gutter="284"/>
      <w:pgNumType w:start="1"/>
      <w:cols w:space="425" w:num="1"/>
      <w:formProt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253C9">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B175C">
    <w:pPr>
      <w:pStyle w:val="18"/>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00C7C">
    <w:pPr>
      <w:pStyle w:val="18"/>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4B26C8">
    <w:pPr>
      <w:pStyle w:val="55"/>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473400">
    <w:pPr>
      <w:pStyle w:val="19"/>
      <w:wordWrap w:val="0"/>
      <w:jc w:val="right"/>
      <w:rPr>
        <w:rFonts w:hint="eastAsia"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A4AA1">
    <w:pPr>
      <w:pStyle w:val="1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10136">
    <w:pPr>
      <w:pStyle w:val="19"/>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A580">
    <w:pPr>
      <w:pStyle w:val="64"/>
      <w:rPr>
        <w:rFonts w:hint="eastAsia"/>
      </w:rPr>
    </w:pPr>
    <w:r>
      <w:fldChar w:fldCharType="begin"/>
    </w:r>
    <w:r>
      <w:instrText xml:space="preserve"> STYLEREF  标准文件_文件编号  \* MERGEFORMAT </w:instrText>
    </w:r>
    <w:r>
      <w:fldChar w:fldCharType="separate"/>
    </w:r>
    <w:r>
      <w:t>T/XXXX XXXX—2026</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7A3DA">
    <w:pPr>
      <w:pStyle w:val="19"/>
      <w:jc w:val="right"/>
    </w:pPr>
    <w:r>
      <w:fldChar w:fldCharType="begin"/>
    </w:r>
    <w:r>
      <w:instrText xml:space="preserve"> STYLEREF  标准文件_文件编号  \* MERGEFORMAT </w:instrText>
    </w:r>
    <w:r>
      <w:fldChar w:fldCharType="separate"/>
    </w:r>
    <w:r>
      <w:t>T/XXXX XXXX—2026</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7"/>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2"/>
      <w:suff w:val="nothing"/>
      <w:lvlText w:val="%1%2.%3　"/>
      <w:lvlJc w:val="left"/>
      <w:pPr>
        <w:ind w:left="0" w:firstLine="0"/>
      </w:pPr>
    </w:lvl>
    <w:lvl w:ilvl="3" w:tentative="0">
      <w:start w:val="1"/>
      <w:numFmt w:val="decimal"/>
      <w:pStyle w:val="121"/>
      <w:suff w:val="nothing"/>
      <w:lvlText w:val="%1%2.%3.%4　"/>
      <w:lvlJc w:val="left"/>
      <w:pPr>
        <w:ind w:left="0" w:firstLine="0"/>
      </w:pPr>
    </w:lvl>
    <w:lvl w:ilvl="4" w:tentative="0">
      <w:start w:val="1"/>
      <w:numFmt w:val="decimal"/>
      <w:pStyle w:val="156"/>
      <w:suff w:val="nothing"/>
      <w:lvlText w:val="%1%2.%3.%4.%5　"/>
      <w:lvlJc w:val="left"/>
      <w:pPr>
        <w:ind w:left="0" w:firstLine="0"/>
      </w:pPr>
    </w:lvl>
    <w:lvl w:ilvl="5" w:tentative="0">
      <w:start w:val="1"/>
      <w:numFmt w:val="decimal"/>
      <w:pStyle w:val="158"/>
      <w:suff w:val="nothing"/>
      <w:lvlText w:val="%1%2.%3.%4.%5.%6　"/>
      <w:lvlJc w:val="left"/>
      <w:pPr>
        <w:ind w:left="0" w:firstLine="0"/>
      </w:pPr>
    </w:lvl>
    <w:lvl w:ilvl="6" w:tentative="0">
      <w:start w:val="1"/>
      <w:numFmt w:val="decimal"/>
      <w:pStyle w:val="161"/>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3"/>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2"/>
      <w:lvlText w:val="%1"/>
      <w:lvlJc w:val="left"/>
      <w:pPr>
        <w:ind w:left="425" w:hanging="425"/>
      </w:pPr>
      <w:rPr>
        <w:rFonts w:hint="eastAsia"/>
      </w:rPr>
    </w:lvl>
    <w:lvl w:ilvl="1" w:tentative="0">
      <w:start w:val="1"/>
      <w:numFmt w:val="decimal"/>
      <w:pStyle w:val="203"/>
      <w:suff w:val="nothing"/>
      <w:lvlText w:val="%10.%2 "/>
      <w:lvlJc w:val="left"/>
      <w:pPr>
        <w:ind w:left="0" w:firstLine="0"/>
      </w:pPr>
      <w:rPr>
        <w:rFonts w:hint="eastAsia" w:ascii="黑体" w:eastAsia="黑体" w:hAnsiTheme="minorHAnsi"/>
        <w:b w:val="0"/>
        <w:i w:val="0"/>
        <w:sz w:val="21"/>
      </w:rPr>
    </w:lvl>
    <w:lvl w:ilvl="2" w:tentative="0">
      <w:start w:val="1"/>
      <w:numFmt w:val="decimal"/>
      <w:pStyle w:val="204"/>
      <w:suff w:val="nothing"/>
      <w:lvlText w:val="%10.%2.%3 "/>
      <w:lvlJc w:val="left"/>
      <w:pPr>
        <w:ind w:left="0" w:firstLine="0"/>
      </w:pPr>
      <w:rPr>
        <w:rFonts w:hint="eastAsia" w:ascii="黑体" w:eastAsia="黑体" w:hAnsiTheme="minorHAnsi"/>
        <w:b w:val="0"/>
        <w:i w:val="0"/>
        <w:sz w:val="21"/>
      </w:rPr>
    </w:lvl>
    <w:lvl w:ilvl="3" w:tentative="0">
      <w:start w:val="1"/>
      <w:numFmt w:val="decimal"/>
      <w:pStyle w:val="205"/>
      <w:suff w:val="nothing"/>
      <w:lvlText w:val="%10.%2.%3.%4 "/>
      <w:lvlJc w:val="left"/>
      <w:pPr>
        <w:ind w:left="0" w:firstLine="0"/>
      </w:pPr>
      <w:rPr>
        <w:rFonts w:hint="eastAsia" w:ascii="黑体" w:eastAsia="黑体" w:hAnsiTheme="minorHAnsi"/>
        <w:b w:val="0"/>
        <w:i w:val="0"/>
        <w:sz w:val="21"/>
      </w:rPr>
    </w:lvl>
    <w:lvl w:ilvl="4" w:tentative="0">
      <w:start w:val="1"/>
      <w:numFmt w:val="decimal"/>
      <w:pStyle w:val="206"/>
      <w:suff w:val="nothing"/>
      <w:lvlText w:val="%10.%2.%3.%4.%5 "/>
      <w:lvlJc w:val="left"/>
      <w:pPr>
        <w:ind w:left="0" w:firstLine="0"/>
      </w:pPr>
      <w:rPr>
        <w:rFonts w:hint="eastAsia" w:ascii="黑体" w:eastAsia="黑体" w:hAnsiTheme="minorHAnsi"/>
        <w:b w:val="0"/>
        <w:i w:val="0"/>
        <w:sz w:val="21"/>
      </w:rPr>
    </w:lvl>
    <w:lvl w:ilvl="5" w:tentative="0">
      <w:start w:val="1"/>
      <w:numFmt w:val="decimal"/>
      <w:pStyle w:val="20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4"/>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0"/>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3"/>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8"/>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5"/>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5"/>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0"/>
      <w:lvlText w:val=""/>
      <w:lvlJc w:val="left"/>
      <w:pPr>
        <w:ind w:left="851" w:hanging="431"/>
      </w:pPr>
      <w:rPr>
        <w:rFonts w:hint="default" w:ascii="Symbol" w:hAnsi="Symbol"/>
        <w:sz w:val="21"/>
      </w:rPr>
    </w:lvl>
    <w:lvl w:ilvl="2" w:tentative="0">
      <w:start w:val="1"/>
      <w:numFmt w:val="bullet"/>
      <w:pStyle w:val="175"/>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4"/>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7"/>
      <w:lvlText w:val="%1)"/>
      <w:lvlJc w:val="left"/>
      <w:pPr>
        <w:tabs>
          <w:tab w:val="left" w:pos="851"/>
        </w:tabs>
        <w:ind w:left="851" w:hanging="426"/>
      </w:pPr>
      <w:rPr>
        <w:rFonts w:hint="eastAsia" w:ascii="宋体" w:hAnsi="Times New Roman" w:eastAsia="宋体"/>
        <w:sz w:val="21"/>
      </w:rPr>
    </w:lvl>
    <w:lvl w:ilvl="1" w:tentative="0">
      <w:start w:val="1"/>
      <w:numFmt w:val="decimal"/>
      <w:pStyle w:val="112"/>
      <w:lvlText w:val="%2)"/>
      <w:lvlJc w:val="left"/>
      <w:pPr>
        <w:tabs>
          <w:tab w:val="left" w:pos="1276"/>
        </w:tabs>
        <w:ind w:left="1276" w:hanging="425"/>
      </w:pPr>
      <w:rPr>
        <w:rFonts w:hint="eastAsia" w:ascii="宋体" w:hAnsi="Times New Roman" w:eastAsia="宋体"/>
        <w:sz w:val="21"/>
      </w:rPr>
    </w:lvl>
    <w:lvl w:ilvl="2" w:tentative="0">
      <w:start w:val="1"/>
      <w:numFmt w:val="decimal"/>
      <w:pStyle w:val="120"/>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1"/>
      <w:lvlText w:val="%1"/>
      <w:lvlJc w:val="left"/>
      <w:pPr>
        <w:ind w:left="420" w:hanging="420"/>
      </w:pPr>
      <w:rPr>
        <w:rFonts w:hint="eastAsia"/>
      </w:rPr>
    </w:lvl>
    <w:lvl w:ilvl="1" w:tentative="0">
      <w:start w:val="1"/>
      <w:numFmt w:val="decimal"/>
      <w:pStyle w:val="86"/>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6"/>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9"/>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6"/>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7"/>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2"/>
      <w:suff w:val="space"/>
      <w:lvlText w:val="%1"/>
      <w:lvlJc w:val="left"/>
      <w:pPr>
        <w:ind w:left="425" w:hanging="425"/>
      </w:pPr>
      <w:rPr>
        <w:rFonts w:hint="eastAsia"/>
      </w:rPr>
    </w:lvl>
    <w:lvl w:ilvl="1" w:tentative="0">
      <w:start w:val="1"/>
      <w:numFmt w:val="decimal"/>
      <w:pStyle w:val="80"/>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4"/>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1"/>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5"/>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2"/>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9"/>
      <w:suff w:val="nothing"/>
      <w:lvlText w:val="附录%1"/>
      <w:lvlJc w:val="left"/>
      <w:pPr>
        <w:ind w:left="0" w:firstLine="0"/>
      </w:pPr>
      <w:rPr>
        <w:rFonts w:hint="eastAsia"/>
        <w:spacing w:val="100"/>
      </w:rPr>
    </w:lvl>
    <w:lvl w:ilvl="1" w:tentative="0">
      <w:start w:val="1"/>
      <w:numFmt w:val="decimal"/>
      <w:pStyle w:val="81"/>
      <w:suff w:val="nothing"/>
      <w:lvlText w:val="%1.%2　"/>
      <w:lvlJc w:val="left"/>
      <w:pPr>
        <w:ind w:left="0" w:firstLine="0"/>
      </w:pPr>
      <w:rPr>
        <w:rFonts w:hint="eastAsia" w:ascii="黑体" w:eastAsia="黑体"/>
        <w:b w:val="0"/>
        <w:i w:val="0"/>
        <w:sz w:val="21"/>
      </w:rPr>
    </w:lvl>
    <w:lvl w:ilvl="2" w:tentative="0">
      <w:start w:val="1"/>
      <w:numFmt w:val="decimal"/>
      <w:pStyle w:val="82"/>
      <w:suff w:val="nothing"/>
      <w:lvlText w:val="%1.%2.%3　"/>
      <w:lvlJc w:val="left"/>
      <w:pPr>
        <w:ind w:left="0" w:firstLine="0"/>
      </w:pPr>
      <w:rPr>
        <w:rFonts w:hint="eastAsia" w:ascii="黑体" w:eastAsia="黑体"/>
        <w:b w:val="0"/>
        <w:i w:val="0"/>
        <w:sz w:val="21"/>
      </w:rPr>
    </w:lvl>
    <w:lvl w:ilvl="3" w:tentative="0">
      <w:start w:val="1"/>
      <w:numFmt w:val="decimal"/>
      <w:pStyle w:val="84"/>
      <w:suff w:val="nothing"/>
      <w:lvlText w:val="%1.%2.%3.%4　"/>
      <w:lvlJc w:val="left"/>
      <w:pPr>
        <w:ind w:left="0" w:firstLine="0"/>
      </w:pPr>
      <w:rPr>
        <w:rFonts w:hint="eastAsia" w:ascii="黑体" w:eastAsia="黑体"/>
        <w:b w:val="0"/>
        <w:i w:val="0"/>
        <w:sz w:val="21"/>
      </w:rPr>
    </w:lvl>
    <w:lvl w:ilvl="4" w:tentative="0">
      <w:start w:val="1"/>
      <w:numFmt w:val="decimal"/>
      <w:pStyle w:val="85"/>
      <w:suff w:val="nothing"/>
      <w:lvlText w:val="%1.%2.%3.%4.%5　"/>
      <w:lvlJc w:val="left"/>
      <w:pPr>
        <w:ind w:left="0" w:firstLine="0"/>
      </w:pPr>
      <w:rPr>
        <w:rFonts w:hint="eastAsia" w:ascii="黑体" w:eastAsia="黑体"/>
        <w:b w:val="0"/>
        <w:i w:val="0"/>
        <w:sz w:val="21"/>
      </w:rPr>
    </w:lvl>
    <w:lvl w:ilvl="5" w:tentative="0">
      <w:start w:val="1"/>
      <w:numFmt w:val="decimal"/>
      <w:pStyle w:val="87"/>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1"/>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0"/>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6"/>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5"/>
      <w:suff w:val="nothing"/>
      <w:lvlText w:val="%1"/>
      <w:lvlJc w:val="left"/>
      <w:pPr>
        <w:ind w:left="0" w:firstLine="0"/>
      </w:pPr>
      <w:rPr>
        <w:rFonts w:hint="eastAsia"/>
      </w:rPr>
    </w:lvl>
    <w:lvl w:ilvl="1" w:tentative="0">
      <w:start w:val="1"/>
      <w:numFmt w:val="decimal"/>
      <w:pStyle w:val="107"/>
      <w:suff w:val="nothing"/>
      <w:lvlText w:val="%1%2　"/>
      <w:lvlJc w:val="left"/>
      <w:pPr>
        <w:ind w:left="0" w:firstLine="0"/>
      </w:pPr>
      <w:rPr>
        <w:rFonts w:hint="eastAsia" w:ascii="黑体" w:eastAsia="黑体"/>
        <w:b w:val="0"/>
        <w:i w:val="0"/>
        <w:sz w:val="21"/>
      </w:rPr>
    </w:lvl>
    <w:lvl w:ilvl="2" w:tentative="0">
      <w:start w:val="1"/>
      <w:numFmt w:val="decimal"/>
      <w:pStyle w:val="108"/>
      <w:suff w:val="nothing"/>
      <w:lvlText w:val="%1%2.%3　"/>
      <w:lvlJc w:val="left"/>
      <w:pPr>
        <w:ind w:left="142"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3" w:tentative="0">
      <w:start w:val="1"/>
      <w:numFmt w:val="decimal"/>
      <w:pStyle w:val="68"/>
      <w:suff w:val="nothing"/>
      <w:lvlText w:val="%1%2.%3.%4　"/>
      <w:lvlJc w:val="left"/>
      <w:pPr>
        <w:ind w:left="0" w:firstLine="0"/>
      </w:pPr>
      <w:rPr>
        <w:rFonts w:hint="eastAsia" w:ascii="黑体" w:eastAsia="黑体"/>
        <w:b w:val="0"/>
        <w:i w:val="0"/>
        <w:sz w:val="21"/>
      </w:rPr>
    </w:lvl>
    <w:lvl w:ilvl="4" w:tentative="0">
      <w:start w:val="1"/>
      <w:numFmt w:val="decimal"/>
      <w:pStyle w:val="97"/>
      <w:suff w:val="nothing"/>
      <w:lvlText w:val="%1%2.%3.%4.%5　"/>
      <w:lvlJc w:val="left"/>
      <w:pPr>
        <w:ind w:left="0" w:firstLine="0"/>
      </w:pPr>
      <w:rPr>
        <w:rFonts w:hint="eastAsia" w:ascii="黑体" w:eastAsia="黑体"/>
        <w:b w:val="0"/>
        <w:i w:val="0"/>
        <w:sz w:val="21"/>
      </w:rPr>
    </w:lvl>
    <w:lvl w:ilvl="5" w:tentative="0">
      <w:start w:val="1"/>
      <w:numFmt w:val="decimal"/>
      <w:pStyle w:val="101"/>
      <w:suff w:val="nothing"/>
      <w:lvlText w:val="%1%2.%3.%4.%5.%6　"/>
      <w:lvlJc w:val="left"/>
      <w:pPr>
        <w:ind w:left="0" w:firstLine="0"/>
      </w:pPr>
      <w:rPr>
        <w:rFonts w:hint="eastAsia" w:ascii="黑体" w:eastAsia="黑体"/>
        <w:b w:val="0"/>
        <w:i w:val="0"/>
        <w:sz w:val="21"/>
      </w:rPr>
    </w:lvl>
    <w:lvl w:ilvl="6" w:tentative="0">
      <w:start w:val="1"/>
      <w:numFmt w:val="decimal"/>
      <w:pStyle w:val="106"/>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2"/>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8"/>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2"/>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7CA9A482"/>
    <w:multiLevelType w:val="singleLevel"/>
    <w:tmpl w:val="7CA9A482"/>
    <w:lvl w:ilvl="0" w:tentative="0">
      <w:start w:val="1"/>
      <w:numFmt w:val="decimal"/>
      <w:suff w:val="space"/>
      <w:lvlText w:val="[%1]"/>
      <w:lvlJc w:val="left"/>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dit="forms" w:enforcement="1" w:cryptProviderType="rsaAES" w:cryptAlgorithmClass="hash" w:cryptAlgorithmType="typeAny" w:cryptAlgorithmSid="14" w:cryptSpinCount="100000" w:hash="foZhTrWNxtDr/zCRGmKhdSo4nbPm9HAIRpW5gVFVA9h1P+bXpEGyG30R/sMAFn8in2sfxFQTQiDwIyblnFR/QA==" w:salt="98+X6UhnyDGXNd3XNV67+g=="/>
  <w:defaultTabStop w:val="420"/>
  <w:drawingGridHorizontalSpacing w:val="105"/>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ACD"/>
    <w:rsid w:val="0000040A"/>
    <w:rsid w:val="00000A94"/>
    <w:rsid w:val="00001972"/>
    <w:rsid w:val="00001D9A"/>
    <w:rsid w:val="0000666E"/>
    <w:rsid w:val="00007B3A"/>
    <w:rsid w:val="000107E0"/>
    <w:rsid w:val="00011FDE"/>
    <w:rsid w:val="00012F39"/>
    <w:rsid w:val="00012FFD"/>
    <w:rsid w:val="00014162"/>
    <w:rsid w:val="00014340"/>
    <w:rsid w:val="00014650"/>
    <w:rsid w:val="00014F1A"/>
    <w:rsid w:val="00016A9C"/>
    <w:rsid w:val="000205EE"/>
    <w:rsid w:val="00022184"/>
    <w:rsid w:val="00022762"/>
    <w:rsid w:val="000238E0"/>
    <w:rsid w:val="000249DB"/>
    <w:rsid w:val="00025483"/>
    <w:rsid w:val="0002595E"/>
    <w:rsid w:val="000303C3"/>
    <w:rsid w:val="000331D3"/>
    <w:rsid w:val="000346A5"/>
    <w:rsid w:val="000359C3"/>
    <w:rsid w:val="00035A7D"/>
    <w:rsid w:val="000365ED"/>
    <w:rsid w:val="0004249A"/>
    <w:rsid w:val="00043282"/>
    <w:rsid w:val="00044286"/>
    <w:rsid w:val="000447A0"/>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63"/>
    <w:rsid w:val="00071CC0"/>
    <w:rsid w:val="00071CFC"/>
    <w:rsid w:val="00073C8C"/>
    <w:rsid w:val="00076B87"/>
    <w:rsid w:val="00077B64"/>
    <w:rsid w:val="000808C5"/>
    <w:rsid w:val="00080A1C"/>
    <w:rsid w:val="00082317"/>
    <w:rsid w:val="00083D2C"/>
    <w:rsid w:val="00085582"/>
    <w:rsid w:val="00086AA1"/>
    <w:rsid w:val="00087A77"/>
    <w:rsid w:val="00090CA6"/>
    <w:rsid w:val="00092B8A"/>
    <w:rsid w:val="00092FB0"/>
    <w:rsid w:val="000934C5"/>
    <w:rsid w:val="00093D25"/>
    <w:rsid w:val="00093DAB"/>
    <w:rsid w:val="00094D73"/>
    <w:rsid w:val="00096355"/>
    <w:rsid w:val="00096D63"/>
    <w:rsid w:val="000A0066"/>
    <w:rsid w:val="000A0B60"/>
    <w:rsid w:val="000A0EB8"/>
    <w:rsid w:val="000A19FC"/>
    <w:rsid w:val="000A1C54"/>
    <w:rsid w:val="000A254D"/>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3EA"/>
    <w:rsid w:val="000D0724"/>
    <w:rsid w:val="000D0A9C"/>
    <w:rsid w:val="000D1795"/>
    <w:rsid w:val="000D1E05"/>
    <w:rsid w:val="000D329A"/>
    <w:rsid w:val="000D4A42"/>
    <w:rsid w:val="000D4B9C"/>
    <w:rsid w:val="000D4EB6"/>
    <w:rsid w:val="000D753B"/>
    <w:rsid w:val="000E2A47"/>
    <w:rsid w:val="000E4C9E"/>
    <w:rsid w:val="000E6FD7"/>
    <w:rsid w:val="000E7144"/>
    <w:rsid w:val="000F06E1"/>
    <w:rsid w:val="000F0E3C"/>
    <w:rsid w:val="000F19D5"/>
    <w:rsid w:val="000F4050"/>
    <w:rsid w:val="000F4AEA"/>
    <w:rsid w:val="000F67E9"/>
    <w:rsid w:val="00104926"/>
    <w:rsid w:val="00113B1E"/>
    <w:rsid w:val="001151E1"/>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7E7"/>
    <w:rsid w:val="00145D9D"/>
    <w:rsid w:val="00146388"/>
    <w:rsid w:val="001529E5"/>
    <w:rsid w:val="00152FB3"/>
    <w:rsid w:val="00153C7E"/>
    <w:rsid w:val="0015419E"/>
    <w:rsid w:val="00156B25"/>
    <w:rsid w:val="00156E1A"/>
    <w:rsid w:val="00157894"/>
    <w:rsid w:val="00157B55"/>
    <w:rsid w:val="001642FA"/>
    <w:rsid w:val="001649EB"/>
    <w:rsid w:val="00164BAF"/>
    <w:rsid w:val="00164FA8"/>
    <w:rsid w:val="00165065"/>
    <w:rsid w:val="00165434"/>
    <w:rsid w:val="0016580B"/>
    <w:rsid w:val="00165F49"/>
    <w:rsid w:val="001664B2"/>
    <w:rsid w:val="00166B88"/>
    <w:rsid w:val="0016770A"/>
    <w:rsid w:val="00170804"/>
    <w:rsid w:val="001708E9"/>
    <w:rsid w:val="001717EC"/>
    <w:rsid w:val="0017340B"/>
    <w:rsid w:val="00173B29"/>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42B"/>
    <w:rsid w:val="001A6696"/>
    <w:rsid w:val="001B06E8"/>
    <w:rsid w:val="001B71D0"/>
    <w:rsid w:val="001B71EE"/>
    <w:rsid w:val="001B7706"/>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6C34"/>
    <w:rsid w:val="001E73AB"/>
    <w:rsid w:val="001F092D"/>
    <w:rsid w:val="001F0D9D"/>
    <w:rsid w:val="001F143A"/>
    <w:rsid w:val="001F1605"/>
    <w:rsid w:val="001F2508"/>
    <w:rsid w:val="001F4816"/>
    <w:rsid w:val="001F69B4"/>
    <w:rsid w:val="001F6DA4"/>
    <w:rsid w:val="001F77C7"/>
    <w:rsid w:val="00200183"/>
    <w:rsid w:val="00200333"/>
    <w:rsid w:val="0020107D"/>
    <w:rsid w:val="00202AA4"/>
    <w:rsid w:val="002031F7"/>
    <w:rsid w:val="002040E6"/>
    <w:rsid w:val="0020527B"/>
    <w:rsid w:val="00205F2C"/>
    <w:rsid w:val="00210B15"/>
    <w:rsid w:val="002142EA"/>
    <w:rsid w:val="00215ADD"/>
    <w:rsid w:val="00215E05"/>
    <w:rsid w:val="002204BB"/>
    <w:rsid w:val="00220F1D"/>
    <w:rsid w:val="00221B79"/>
    <w:rsid w:val="00221C6B"/>
    <w:rsid w:val="002253A1"/>
    <w:rsid w:val="00225CF8"/>
    <w:rsid w:val="0022794E"/>
    <w:rsid w:val="0023295D"/>
    <w:rsid w:val="00232C89"/>
    <w:rsid w:val="00233D64"/>
    <w:rsid w:val="0023482A"/>
    <w:rsid w:val="002359CB"/>
    <w:rsid w:val="00236EC8"/>
    <w:rsid w:val="00240AFB"/>
    <w:rsid w:val="00243540"/>
    <w:rsid w:val="002438C3"/>
    <w:rsid w:val="0024497B"/>
    <w:rsid w:val="0024515B"/>
    <w:rsid w:val="00246021"/>
    <w:rsid w:val="0024666E"/>
    <w:rsid w:val="00247F52"/>
    <w:rsid w:val="00250B25"/>
    <w:rsid w:val="00250BBE"/>
    <w:rsid w:val="002515C2"/>
    <w:rsid w:val="002516A2"/>
    <w:rsid w:val="0025194F"/>
    <w:rsid w:val="0026148A"/>
    <w:rsid w:val="00262696"/>
    <w:rsid w:val="00263D25"/>
    <w:rsid w:val="00263EF5"/>
    <w:rsid w:val="002643C3"/>
    <w:rsid w:val="00264A0C"/>
    <w:rsid w:val="00266EEB"/>
    <w:rsid w:val="00267EF4"/>
    <w:rsid w:val="00270CB8"/>
    <w:rsid w:val="00272123"/>
    <w:rsid w:val="00272B08"/>
    <w:rsid w:val="00272F2B"/>
    <w:rsid w:val="00273C4F"/>
    <w:rsid w:val="00275870"/>
    <w:rsid w:val="00281BB8"/>
    <w:rsid w:val="00281CAD"/>
    <w:rsid w:val="00281E9E"/>
    <w:rsid w:val="00282405"/>
    <w:rsid w:val="00285170"/>
    <w:rsid w:val="00285361"/>
    <w:rsid w:val="0028692B"/>
    <w:rsid w:val="00286BE5"/>
    <w:rsid w:val="00287381"/>
    <w:rsid w:val="00292D60"/>
    <w:rsid w:val="00293B30"/>
    <w:rsid w:val="00294D34"/>
    <w:rsid w:val="00294E3B"/>
    <w:rsid w:val="00295786"/>
    <w:rsid w:val="00295E1C"/>
    <w:rsid w:val="00296193"/>
    <w:rsid w:val="00296C66"/>
    <w:rsid w:val="00296EBE"/>
    <w:rsid w:val="002974E3"/>
    <w:rsid w:val="002A084B"/>
    <w:rsid w:val="002A1260"/>
    <w:rsid w:val="002A1589"/>
    <w:rsid w:val="002A1608"/>
    <w:rsid w:val="002A25DC"/>
    <w:rsid w:val="002A3AA2"/>
    <w:rsid w:val="002A3AAB"/>
    <w:rsid w:val="002A4CEA"/>
    <w:rsid w:val="002A5977"/>
    <w:rsid w:val="002A5A13"/>
    <w:rsid w:val="002A757F"/>
    <w:rsid w:val="002A7F44"/>
    <w:rsid w:val="002B0419"/>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4DF1"/>
    <w:rsid w:val="002E61D9"/>
    <w:rsid w:val="002E6326"/>
    <w:rsid w:val="002F30E0"/>
    <w:rsid w:val="002F35E4"/>
    <w:rsid w:val="002F3730"/>
    <w:rsid w:val="002F38E1"/>
    <w:rsid w:val="002F5225"/>
    <w:rsid w:val="002F7AF6"/>
    <w:rsid w:val="00300E63"/>
    <w:rsid w:val="00302F5F"/>
    <w:rsid w:val="00303C1A"/>
    <w:rsid w:val="0030441D"/>
    <w:rsid w:val="00306063"/>
    <w:rsid w:val="0030641D"/>
    <w:rsid w:val="00313B85"/>
    <w:rsid w:val="00313F0B"/>
    <w:rsid w:val="00317988"/>
    <w:rsid w:val="003221B4"/>
    <w:rsid w:val="003222D4"/>
    <w:rsid w:val="0032258D"/>
    <w:rsid w:val="00322E62"/>
    <w:rsid w:val="00324D13"/>
    <w:rsid w:val="00324EDD"/>
    <w:rsid w:val="00331C06"/>
    <w:rsid w:val="00331E28"/>
    <w:rsid w:val="003331E4"/>
    <w:rsid w:val="00336C64"/>
    <w:rsid w:val="00337162"/>
    <w:rsid w:val="0034194F"/>
    <w:rsid w:val="00341982"/>
    <w:rsid w:val="0034442E"/>
    <w:rsid w:val="00344605"/>
    <w:rsid w:val="003474AA"/>
    <w:rsid w:val="00350D1D"/>
    <w:rsid w:val="00352C83"/>
    <w:rsid w:val="00352F1A"/>
    <w:rsid w:val="00355EFF"/>
    <w:rsid w:val="0036107C"/>
    <w:rsid w:val="003615D2"/>
    <w:rsid w:val="0036429C"/>
    <w:rsid w:val="00364A53"/>
    <w:rsid w:val="003654CB"/>
    <w:rsid w:val="00365AA9"/>
    <w:rsid w:val="00365F86"/>
    <w:rsid w:val="00365F87"/>
    <w:rsid w:val="00366DCF"/>
    <w:rsid w:val="00366E89"/>
    <w:rsid w:val="003705F4"/>
    <w:rsid w:val="00370D58"/>
    <w:rsid w:val="00371316"/>
    <w:rsid w:val="00371783"/>
    <w:rsid w:val="00376713"/>
    <w:rsid w:val="00381815"/>
    <w:rsid w:val="003819AF"/>
    <w:rsid w:val="003820E9"/>
    <w:rsid w:val="00382DE7"/>
    <w:rsid w:val="00384FFC"/>
    <w:rsid w:val="003868AA"/>
    <w:rsid w:val="00387093"/>
    <w:rsid w:val="003872FC"/>
    <w:rsid w:val="00387ADC"/>
    <w:rsid w:val="00390020"/>
    <w:rsid w:val="003903D6"/>
    <w:rsid w:val="00390EE6"/>
    <w:rsid w:val="0039118F"/>
    <w:rsid w:val="00392AD7"/>
    <w:rsid w:val="003938D9"/>
    <w:rsid w:val="00394376"/>
    <w:rsid w:val="003943FF"/>
    <w:rsid w:val="0039729F"/>
    <w:rsid w:val="003974EB"/>
    <w:rsid w:val="00397CC5"/>
    <w:rsid w:val="003A11D1"/>
    <w:rsid w:val="003A1582"/>
    <w:rsid w:val="003A3D9C"/>
    <w:rsid w:val="003A4077"/>
    <w:rsid w:val="003A4AA7"/>
    <w:rsid w:val="003B09AD"/>
    <w:rsid w:val="003B1F18"/>
    <w:rsid w:val="003B5BF0"/>
    <w:rsid w:val="003B60BF"/>
    <w:rsid w:val="003B6BE3"/>
    <w:rsid w:val="003B7745"/>
    <w:rsid w:val="003C010C"/>
    <w:rsid w:val="003C0A6C"/>
    <w:rsid w:val="003C14F8"/>
    <w:rsid w:val="003C59CF"/>
    <w:rsid w:val="003C5A43"/>
    <w:rsid w:val="003D0519"/>
    <w:rsid w:val="003D0FF6"/>
    <w:rsid w:val="003D262C"/>
    <w:rsid w:val="003D6D61"/>
    <w:rsid w:val="003E019F"/>
    <w:rsid w:val="003E091D"/>
    <w:rsid w:val="003E1C53"/>
    <w:rsid w:val="003E2A69"/>
    <w:rsid w:val="003E2D49"/>
    <w:rsid w:val="003E2FD4"/>
    <w:rsid w:val="003E49F6"/>
    <w:rsid w:val="003E4D61"/>
    <w:rsid w:val="003E660F"/>
    <w:rsid w:val="003E714C"/>
    <w:rsid w:val="003F0841"/>
    <w:rsid w:val="003F23D3"/>
    <w:rsid w:val="003F3F08"/>
    <w:rsid w:val="003F49F1"/>
    <w:rsid w:val="003F6272"/>
    <w:rsid w:val="00400E72"/>
    <w:rsid w:val="00401400"/>
    <w:rsid w:val="00402403"/>
    <w:rsid w:val="0040280D"/>
    <w:rsid w:val="00404025"/>
    <w:rsid w:val="00404869"/>
    <w:rsid w:val="00405884"/>
    <w:rsid w:val="00407445"/>
    <w:rsid w:val="00407D39"/>
    <w:rsid w:val="00413AD3"/>
    <w:rsid w:val="00413C2B"/>
    <w:rsid w:val="0041477A"/>
    <w:rsid w:val="004167A3"/>
    <w:rsid w:val="00432DAA"/>
    <w:rsid w:val="00434305"/>
    <w:rsid w:val="00435DF7"/>
    <w:rsid w:val="0043741A"/>
    <w:rsid w:val="0044083F"/>
    <w:rsid w:val="00441AE7"/>
    <w:rsid w:val="00445574"/>
    <w:rsid w:val="004467FB"/>
    <w:rsid w:val="00452D6B"/>
    <w:rsid w:val="00454484"/>
    <w:rsid w:val="0045517B"/>
    <w:rsid w:val="00463137"/>
    <w:rsid w:val="0046345A"/>
    <w:rsid w:val="00463B77"/>
    <w:rsid w:val="00463C7B"/>
    <w:rsid w:val="004644A6"/>
    <w:rsid w:val="004659BD"/>
    <w:rsid w:val="00470775"/>
    <w:rsid w:val="004746B1"/>
    <w:rsid w:val="0047583F"/>
    <w:rsid w:val="00475DE8"/>
    <w:rsid w:val="00481C44"/>
    <w:rsid w:val="00484936"/>
    <w:rsid w:val="00485C89"/>
    <w:rsid w:val="00486BE3"/>
    <w:rsid w:val="004905E4"/>
    <w:rsid w:val="00490A89"/>
    <w:rsid w:val="00490AB4"/>
    <w:rsid w:val="00492F02"/>
    <w:rsid w:val="004939AE"/>
    <w:rsid w:val="00494321"/>
    <w:rsid w:val="00494C59"/>
    <w:rsid w:val="004A12DF"/>
    <w:rsid w:val="004A1BA8"/>
    <w:rsid w:val="004A4B57"/>
    <w:rsid w:val="004A6092"/>
    <w:rsid w:val="004A63FA"/>
    <w:rsid w:val="004A6A3D"/>
    <w:rsid w:val="004B0272"/>
    <w:rsid w:val="004B2701"/>
    <w:rsid w:val="004B2E1B"/>
    <w:rsid w:val="004B3AA8"/>
    <w:rsid w:val="004B3E93"/>
    <w:rsid w:val="004B5048"/>
    <w:rsid w:val="004C1FBC"/>
    <w:rsid w:val="004C25A2"/>
    <w:rsid w:val="004C3F1D"/>
    <w:rsid w:val="004C458D"/>
    <w:rsid w:val="004C7556"/>
    <w:rsid w:val="004C7E8B"/>
    <w:rsid w:val="004C7E9D"/>
    <w:rsid w:val="004C7F67"/>
    <w:rsid w:val="004D076D"/>
    <w:rsid w:val="004D0EF1"/>
    <w:rsid w:val="004D2253"/>
    <w:rsid w:val="004D4406"/>
    <w:rsid w:val="004D5C65"/>
    <w:rsid w:val="004D7C42"/>
    <w:rsid w:val="004E0465"/>
    <w:rsid w:val="004E127B"/>
    <w:rsid w:val="004E1C0A"/>
    <w:rsid w:val="004E30C5"/>
    <w:rsid w:val="004E4AA5"/>
    <w:rsid w:val="004E4AEE"/>
    <w:rsid w:val="004E50F5"/>
    <w:rsid w:val="004E59E3"/>
    <w:rsid w:val="004E67C0"/>
    <w:rsid w:val="004E7899"/>
    <w:rsid w:val="004F391A"/>
    <w:rsid w:val="004F3CFB"/>
    <w:rsid w:val="004F6456"/>
    <w:rsid w:val="004F696E"/>
    <w:rsid w:val="004F6C71"/>
    <w:rsid w:val="00501139"/>
    <w:rsid w:val="0050363E"/>
    <w:rsid w:val="005039BC"/>
    <w:rsid w:val="005043BB"/>
    <w:rsid w:val="00504A3D"/>
    <w:rsid w:val="00505767"/>
    <w:rsid w:val="005062D9"/>
    <w:rsid w:val="005073F0"/>
    <w:rsid w:val="00510A7B"/>
    <w:rsid w:val="005112DD"/>
    <w:rsid w:val="00512F6E"/>
    <w:rsid w:val="00513038"/>
    <w:rsid w:val="00514174"/>
    <w:rsid w:val="00515F35"/>
    <w:rsid w:val="00516088"/>
    <w:rsid w:val="00516B0B"/>
    <w:rsid w:val="005220EC"/>
    <w:rsid w:val="00523F95"/>
    <w:rsid w:val="00524D65"/>
    <w:rsid w:val="00525B16"/>
    <w:rsid w:val="00533425"/>
    <w:rsid w:val="00533D04"/>
    <w:rsid w:val="00534804"/>
    <w:rsid w:val="00534BDF"/>
    <w:rsid w:val="005354EA"/>
    <w:rsid w:val="0053585F"/>
    <w:rsid w:val="00535EC4"/>
    <w:rsid w:val="00535ED9"/>
    <w:rsid w:val="0053692B"/>
    <w:rsid w:val="00541853"/>
    <w:rsid w:val="00543BDA"/>
    <w:rsid w:val="005441CC"/>
    <w:rsid w:val="005479DA"/>
    <w:rsid w:val="00547BCC"/>
    <w:rsid w:val="0055013B"/>
    <w:rsid w:val="00551F6F"/>
    <w:rsid w:val="00553709"/>
    <w:rsid w:val="00555044"/>
    <w:rsid w:val="00555325"/>
    <w:rsid w:val="00561475"/>
    <w:rsid w:val="00562308"/>
    <w:rsid w:val="005644B4"/>
    <w:rsid w:val="0056487B"/>
    <w:rsid w:val="00564FB9"/>
    <w:rsid w:val="0057202F"/>
    <w:rsid w:val="00573D9E"/>
    <w:rsid w:val="00573F03"/>
    <w:rsid w:val="005801E3"/>
    <w:rsid w:val="00581802"/>
    <w:rsid w:val="005836A8"/>
    <w:rsid w:val="0058409C"/>
    <w:rsid w:val="00584262"/>
    <w:rsid w:val="00586630"/>
    <w:rsid w:val="00587ADD"/>
    <w:rsid w:val="00592835"/>
    <w:rsid w:val="00593A49"/>
    <w:rsid w:val="00596160"/>
    <w:rsid w:val="005966E2"/>
    <w:rsid w:val="00597007"/>
    <w:rsid w:val="005A0966"/>
    <w:rsid w:val="005A11B7"/>
    <w:rsid w:val="005A1367"/>
    <w:rsid w:val="005A260B"/>
    <w:rsid w:val="005A3555"/>
    <w:rsid w:val="005A4A1B"/>
    <w:rsid w:val="005A7830"/>
    <w:rsid w:val="005A7FCE"/>
    <w:rsid w:val="005B0F3F"/>
    <w:rsid w:val="005B191C"/>
    <w:rsid w:val="005B4903"/>
    <w:rsid w:val="005B51CE"/>
    <w:rsid w:val="005B5885"/>
    <w:rsid w:val="005B5CD7"/>
    <w:rsid w:val="005B6CF6"/>
    <w:rsid w:val="005B7422"/>
    <w:rsid w:val="005C29B8"/>
    <w:rsid w:val="005C5F21"/>
    <w:rsid w:val="005C5F8D"/>
    <w:rsid w:val="005C7156"/>
    <w:rsid w:val="005D0C75"/>
    <w:rsid w:val="005D4171"/>
    <w:rsid w:val="005D5233"/>
    <w:rsid w:val="005D6A95"/>
    <w:rsid w:val="005D6B2C"/>
    <w:rsid w:val="005D6D9C"/>
    <w:rsid w:val="005E2335"/>
    <w:rsid w:val="005E34CA"/>
    <w:rsid w:val="005E3C18"/>
    <w:rsid w:val="005E4250"/>
    <w:rsid w:val="005E6812"/>
    <w:rsid w:val="005E7881"/>
    <w:rsid w:val="005E78E0"/>
    <w:rsid w:val="005F07D0"/>
    <w:rsid w:val="005F07ED"/>
    <w:rsid w:val="005F0D9C"/>
    <w:rsid w:val="005F171A"/>
    <w:rsid w:val="005F284E"/>
    <w:rsid w:val="006015CE"/>
    <w:rsid w:val="00604784"/>
    <w:rsid w:val="00606419"/>
    <w:rsid w:val="0060682D"/>
    <w:rsid w:val="00607D29"/>
    <w:rsid w:val="00612952"/>
    <w:rsid w:val="00614CC1"/>
    <w:rsid w:val="00614E8C"/>
    <w:rsid w:val="00615A9D"/>
    <w:rsid w:val="00617387"/>
    <w:rsid w:val="006205D6"/>
    <w:rsid w:val="00624124"/>
    <w:rsid w:val="006252D8"/>
    <w:rsid w:val="006259BC"/>
    <w:rsid w:val="0062636B"/>
    <w:rsid w:val="00632182"/>
    <w:rsid w:val="00632AE0"/>
    <w:rsid w:val="00633C17"/>
    <w:rsid w:val="00634D9E"/>
    <w:rsid w:val="00636E3E"/>
    <w:rsid w:val="006379F7"/>
    <w:rsid w:val="00637E4D"/>
    <w:rsid w:val="00640620"/>
    <w:rsid w:val="00641A1F"/>
    <w:rsid w:val="006426A0"/>
    <w:rsid w:val="00645904"/>
    <w:rsid w:val="00651ACB"/>
    <w:rsid w:val="00651C47"/>
    <w:rsid w:val="00652AB2"/>
    <w:rsid w:val="00653C9D"/>
    <w:rsid w:val="00653FED"/>
    <w:rsid w:val="00654EC0"/>
    <w:rsid w:val="0065525B"/>
    <w:rsid w:val="00655D4F"/>
    <w:rsid w:val="00656D29"/>
    <w:rsid w:val="00661139"/>
    <w:rsid w:val="006640E5"/>
    <w:rsid w:val="006646F1"/>
    <w:rsid w:val="00664929"/>
    <w:rsid w:val="00664F62"/>
    <w:rsid w:val="006655E1"/>
    <w:rsid w:val="00672060"/>
    <w:rsid w:val="00672BFD"/>
    <w:rsid w:val="006770F4"/>
    <w:rsid w:val="00677156"/>
    <w:rsid w:val="00677781"/>
    <w:rsid w:val="00677A84"/>
    <w:rsid w:val="0068026D"/>
    <w:rsid w:val="00680A27"/>
    <w:rsid w:val="006816A4"/>
    <w:rsid w:val="006819B8"/>
    <w:rsid w:val="006840A6"/>
    <w:rsid w:val="006850CD"/>
    <w:rsid w:val="00685AAB"/>
    <w:rsid w:val="00693583"/>
    <w:rsid w:val="00693962"/>
    <w:rsid w:val="00694985"/>
    <w:rsid w:val="0069615A"/>
    <w:rsid w:val="006A07AA"/>
    <w:rsid w:val="006A25E5"/>
    <w:rsid w:val="006A2B46"/>
    <w:rsid w:val="006A336D"/>
    <w:rsid w:val="006A37B9"/>
    <w:rsid w:val="006A7693"/>
    <w:rsid w:val="006A7EBB"/>
    <w:rsid w:val="006B2672"/>
    <w:rsid w:val="006B54BF"/>
    <w:rsid w:val="006B5F44"/>
    <w:rsid w:val="006B5F90"/>
    <w:rsid w:val="006B62E4"/>
    <w:rsid w:val="006C0282"/>
    <w:rsid w:val="006C1BBA"/>
    <w:rsid w:val="006C2079"/>
    <w:rsid w:val="006C2A0F"/>
    <w:rsid w:val="006C5A62"/>
    <w:rsid w:val="006C5D68"/>
    <w:rsid w:val="006C6976"/>
    <w:rsid w:val="006C6DD0"/>
    <w:rsid w:val="006D04EA"/>
    <w:rsid w:val="006D16C4"/>
    <w:rsid w:val="006D1E3B"/>
    <w:rsid w:val="006D3E96"/>
    <w:rsid w:val="006D4515"/>
    <w:rsid w:val="006D4BB1"/>
    <w:rsid w:val="006D6593"/>
    <w:rsid w:val="006D7DB2"/>
    <w:rsid w:val="006E1089"/>
    <w:rsid w:val="006F03A8"/>
    <w:rsid w:val="006F2ACA"/>
    <w:rsid w:val="006F2ADC"/>
    <w:rsid w:val="006F2BFE"/>
    <w:rsid w:val="006F30FF"/>
    <w:rsid w:val="006F31E9"/>
    <w:rsid w:val="006F6284"/>
    <w:rsid w:val="007002C5"/>
    <w:rsid w:val="00702ACC"/>
    <w:rsid w:val="00704387"/>
    <w:rsid w:val="00705AB4"/>
    <w:rsid w:val="00707669"/>
    <w:rsid w:val="00711CBA"/>
    <w:rsid w:val="00711FB5"/>
    <w:rsid w:val="00712A01"/>
    <w:rsid w:val="00714F58"/>
    <w:rsid w:val="00722FBF"/>
    <w:rsid w:val="00722FC2"/>
    <w:rsid w:val="00722FD6"/>
    <w:rsid w:val="00724E1B"/>
    <w:rsid w:val="00725949"/>
    <w:rsid w:val="00727FA2"/>
    <w:rsid w:val="00730090"/>
    <w:rsid w:val="007322D9"/>
    <w:rsid w:val="00732BC0"/>
    <w:rsid w:val="0073720F"/>
    <w:rsid w:val="00737528"/>
    <w:rsid w:val="00737796"/>
    <w:rsid w:val="0074165C"/>
    <w:rsid w:val="00742C35"/>
    <w:rsid w:val="007432CA"/>
    <w:rsid w:val="007439EB"/>
    <w:rsid w:val="00743CB4"/>
    <w:rsid w:val="00743F0A"/>
    <w:rsid w:val="00743F3A"/>
    <w:rsid w:val="007444E8"/>
    <w:rsid w:val="0074548E"/>
    <w:rsid w:val="00745773"/>
    <w:rsid w:val="00746800"/>
    <w:rsid w:val="007501A8"/>
    <w:rsid w:val="00750623"/>
    <w:rsid w:val="00750D61"/>
    <w:rsid w:val="00750EE1"/>
    <w:rsid w:val="00752B4D"/>
    <w:rsid w:val="00755402"/>
    <w:rsid w:val="00756A50"/>
    <w:rsid w:val="00756B26"/>
    <w:rsid w:val="00756E08"/>
    <w:rsid w:val="00756EDF"/>
    <w:rsid w:val="007578CB"/>
    <w:rsid w:val="007600E3"/>
    <w:rsid w:val="0076223C"/>
    <w:rsid w:val="00765C43"/>
    <w:rsid w:val="00765EFB"/>
    <w:rsid w:val="007671CA"/>
    <w:rsid w:val="00767C61"/>
    <w:rsid w:val="0077008A"/>
    <w:rsid w:val="00773C1F"/>
    <w:rsid w:val="00774DA4"/>
    <w:rsid w:val="00776599"/>
    <w:rsid w:val="0078114B"/>
    <w:rsid w:val="00781DD2"/>
    <w:rsid w:val="00783ECF"/>
    <w:rsid w:val="0078413A"/>
    <w:rsid w:val="00784AE5"/>
    <w:rsid w:val="007959E8"/>
    <w:rsid w:val="00795E9C"/>
    <w:rsid w:val="007960C6"/>
    <w:rsid w:val="007A0521"/>
    <w:rsid w:val="007A08E0"/>
    <w:rsid w:val="007A2E12"/>
    <w:rsid w:val="007A3475"/>
    <w:rsid w:val="007A41C8"/>
    <w:rsid w:val="007A54CE"/>
    <w:rsid w:val="007A5D3A"/>
    <w:rsid w:val="007A6FD9"/>
    <w:rsid w:val="007A7FFA"/>
    <w:rsid w:val="007B04EB"/>
    <w:rsid w:val="007B0D4F"/>
    <w:rsid w:val="007B3F24"/>
    <w:rsid w:val="007B518C"/>
    <w:rsid w:val="007B5A3D"/>
    <w:rsid w:val="007B5B95"/>
    <w:rsid w:val="007B6032"/>
    <w:rsid w:val="007B68EA"/>
    <w:rsid w:val="007B7453"/>
    <w:rsid w:val="007C2D89"/>
    <w:rsid w:val="007C4593"/>
    <w:rsid w:val="007C5309"/>
    <w:rsid w:val="007C6069"/>
    <w:rsid w:val="007C6DC4"/>
    <w:rsid w:val="007D06C4"/>
    <w:rsid w:val="007D1352"/>
    <w:rsid w:val="007D2508"/>
    <w:rsid w:val="007D346A"/>
    <w:rsid w:val="007D63B6"/>
    <w:rsid w:val="007D6518"/>
    <w:rsid w:val="007D76BD"/>
    <w:rsid w:val="007E032E"/>
    <w:rsid w:val="007E0BF1"/>
    <w:rsid w:val="007E2165"/>
    <w:rsid w:val="007E758B"/>
    <w:rsid w:val="007F0ED8"/>
    <w:rsid w:val="007F0F63"/>
    <w:rsid w:val="007F75CE"/>
    <w:rsid w:val="008013A4"/>
    <w:rsid w:val="008027CE"/>
    <w:rsid w:val="00802F42"/>
    <w:rsid w:val="00803BAE"/>
    <w:rsid w:val="00804383"/>
    <w:rsid w:val="00804BB7"/>
    <w:rsid w:val="00804D41"/>
    <w:rsid w:val="00810257"/>
    <w:rsid w:val="008104F5"/>
    <w:rsid w:val="00811072"/>
    <w:rsid w:val="00811369"/>
    <w:rsid w:val="00811635"/>
    <w:rsid w:val="00813009"/>
    <w:rsid w:val="00815419"/>
    <w:rsid w:val="008163C8"/>
    <w:rsid w:val="008164A1"/>
    <w:rsid w:val="00817325"/>
    <w:rsid w:val="008209E6"/>
    <w:rsid w:val="00821D19"/>
    <w:rsid w:val="00823303"/>
    <w:rsid w:val="008233B2"/>
    <w:rsid w:val="00823A9F"/>
    <w:rsid w:val="00823C85"/>
    <w:rsid w:val="00824703"/>
    <w:rsid w:val="00825138"/>
    <w:rsid w:val="008269DD"/>
    <w:rsid w:val="00830621"/>
    <w:rsid w:val="008307D4"/>
    <w:rsid w:val="0083236A"/>
    <w:rsid w:val="0083348C"/>
    <w:rsid w:val="00833563"/>
    <w:rsid w:val="008373D3"/>
    <w:rsid w:val="00840617"/>
    <w:rsid w:val="00840F84"/>
    <w:rsid w:val="00842A47"/>
    <w:rsid w:val="00843C13"/>
    <w:rsid w:val="00843DEF"/>
    <w:rsid w:val="008454F8"/>
    <w:rsid w:val="0085173A"/>
    <w:rsid w:val="00852E2C"/>
    <w:rsid w:val="00856AA8"/>
    <w:rsid w:val="008603CE"/>
    <w:rsid w:val="008620FC"/>
    <w:rsid w:val="00862503"/>
    <w:rsid w:val="008627A5"/>
    <w:rsid w:val="00863E05"/>
    <w:rsid w:val="00865ACA"/>
    <w:rsid w:val="00865D28"/>
    <w:rsid w:val="00865F85"/>
    <w:rsid w:val="00867C10"/>
    <w:rsid w:val="00870439"/>
    <w:rsid w:val="00870DA1"/>
    <w:rsid w:val="00883639"/>
    <w:rsid w:val="00883F93"/>
    <w:rsid w:val="00884DB3"/>
    <w:rsid w:val="008856F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4F72"/>
    <w:rsid w:val="008A57E6"/>
    <w:rsid w:val="008A6F81"/>
    <w:rsid w:val="008A769A"/>
    <w:rsid w:val="008B0C9C"/>
    <w:rsid w:val="008B166D"/>
    <w:rsid w:val="008B17F4"/>
    <w:rsid w:val="008B2AC3"/>
    <w:rsid w:val="008B3615"/>
    <w:rsid w:val="008B4AC4"/>
    <w:rsid w:val="008B50C8"/>
    <w:rsid w:val="008B5281"/>
    <w:rsid w:val="008B6ACD"/>
    <w:rsid w:val="008B7E05"/>
    <w:rsid w:val="008C1797"/>
    <w:rsid w:val="008C219C"/>
    <w:rsid w:val="008C475E"/>
    <w:rsid w:val="008C5108"/>
    <w:rsid w:val="008C6031"/>
    <w:rsid w:val="008C619A"/>
    <w:rsid w:val="008C61F9"/>
    <w:rsid w:val="008C78ED"/>
    <w:rsid w:val="008D0CE8"/>
    <w:rsid w:val="008D2D1D"/>
    <w:rsid w:val="008D3162"/>
    <w:rsid w:val="008D453D"/>
    <w:rsid w:val="008D53AD"/>
    <w:rsid w:val="008D562B"/>
    <w:rsid w:val="008D5733"/>
    <w:rsid w:val="008D622B"/>
    <w:rsid w:val="008D666C"/>
    <w:rsid w:val="008D7B54"/>
    <w:rsid w:val="008E0C9D"/>
    <w:rsid w:val="008E1648"/>
    <w:rsid w:val="008E1B3E"/>
    <w:rsid w:val="008E1F47"/>
    <w:rsid w:val="008E2319"/>
    <w:rsid w:val="008E3268"/>
    <w:rsid w:val="008E4BB6"/>
    <w:rsid w:val="008E5518"/>
    <w:rsid w:val="008E6A84"/>
    <w:rsid w:val="008F0CDC"/>
    <w:rsid w:val="008F17A3"/>
    <w:rsid w:val="008F1ED3"/>
    <w:rsid w:val="008F4C29"/>
    <w:rsid w:val="008F70BD"/>
    <w:rsid w:val="008F788F"/>
    <w:rsid w:val="008F7EA2"/>
    <w:rsid w:val="00902722"/>
    <w:rsid w:val="009027BC"/>
    <w:rsid w:val="009062E6"/>
    <w:rsid w:val="009063A4"/>
    <w:rsid w:val="00910A69"/>
    <w:rsid w:val="00911BE5"/>
    <w:rsid w:val="00913A41"/>
    <w:rsid w:val="00913CA9"/>
    <w:rsid w:val="009145AE"/>
    <w:rsid w:val="009146CE"/>
    <w:rsid w:val="00914CA7"/>
    <w:rsid w:val="00915C3E"/>
    <w:rsid w:val="009161A8"/>
    <w:rsid w:val="0091692E"/>
    <w:rsid w:val="009245AE"/>
    <w:rsid w:val="009245F5"/>
    <w:rsid w:val="009249EC"/>
    <w:rsid w:val="009273B3"/>
    <w:rsid w:val="009305B5"/>
    <w:rsid w:val="00931DE7"/>
    <w:rsid w:val="009378DD"/>
    <w:rsid w:val="00937FF4"/>
    <w:rsid w:val="009429D5"/>
    <w:rsid w:val="00942BF1"/>
    <w:rsid w:val="00944120"/>
    <w:rsid w:val="00945180"/>
    <w:rsid w:val="00945428"/>
    <w:rsid w:val="0094607B"/>
    <w:rsid w:val="009501D7"/>
    <w:rsid w:val="00953604"/>
    <w:rsid w:val="0095496B"/>
    <w:rsid w:val="00954BAF"/>
    <w:rsid w:val="009605C7"/>
    <w:rsid w:val="00960F1E"/>
    <w:rsid w:val="009610DC"/>
    <w:rsid w:val="00961490"/>
    <w:rsid w:val="00961E72"/>
    <w:rsid w:val="0096381A"/>
    <w:rsid w:val="00965E04"/>
    <w:rsid w:val="00966551"/>
    <w:rsid w:val="009674AD"/>
    <w:rsid w:val="00970145"/>
    <w:rsid w:val="00970CDC"/>
    <w:rsid w:val="00975727"/>
    <w:rsid w:val="00977010"/>
    <w:rsid w:val="00977D02"/>
    <w:rsid w:val="00977FF9"/>
    <w:rsid w:val="009809BB"/>
    <w:rsid w:val="0098364B"/>
    <w:rsid w:val="00986EA9"/>
    <w:rsid w:val="009908A3"/>
    <w:rsid w:val="009911AF"/>
    <w:rsid w:val="00991875"/>
    <w:rsid w:val="00991F92"/>
    <w:rsid w:val="00992985"/>
    <w:rsid w:val="00993889"/>
    <w:rsid w:val="0099551B"/>
    <w:rsid w:val="00996BD2"/>
    <w:rsid w:val="00997BF1"/>
    <w:rsid w:val="009A089C"/>
    <w:rsid w:val="009A118E"/>
    <w:rsid w:val="009A2010"/>
    <w:rsid w:val="009A21CD"/>
    <w:rsid w:val="009A278C"/>
    <w:rsid w:val="009A2BC2"/>
    <w:rsid w:val="009A3C44"/>
    <w:rsid w:val="009A42C1"/>
    <w:rsid w:val="009A5429"/>
    <w:rsid w:val="009A72AD"/>
    <w:rsid w:val="009B09E0"/>
    <w:rsid w:val="009B0BC5"/>
    <w:rsid w:val="009B1247"/>
    <w:rsid w:val="009B6029"/>
    <w:rsid w:val="009B6971"/>
    <w:rsid w:val="009C27F1"/>
    <w:rsid w:val="009C3152"/>
    <w:rsid w:val="009C3257"/>
    <w:rsid w:val="009C4CFA"/>
    <w:rsid w:val="009C5070"/>
    <w:rsid w:val="009C7CA9"/>
    <w:rsid w:val="009D112C"/>
    <w:rsid w:val="009D1385"/>
    <w:rsid w:val="009D2F1F"/>
    <w:rsid w:val="009D3E61"/>
    <w:rsid w:val="009D47FA"/>
    <w:rsid w:val="009D4C5B"/>
    <w:rsid w:val="009D50D2"/>
    <w:rsid w:val="009D69FF"/>
    <w:rsid w:val="009D6BCA"/>
    <w:rsid w:val="009E0F62"/>
    <w:rsid w:val="009E3564"/>
    <w:rsid w:val="009E4A58"/>
    <w:rsid w:val="009E5A2D"/>
    <w:rsid w:val="009E5AB2"/>
    <w:rsid w:val="009E6219"/>
    <w:rsid w:val="009F03B3"/>
    <w:rsid w:val="009F0BCF"/>
    <w:rsid w:val="00A0096C"/>
    <w:rsid w:val="00A01757"/>
    <w:rsid w:val="00A019EB"/>
    <w:rsid w:val="00A028C0"/>
    <w:rsid w:val="00A02BAE"/>
    <w:rsid w:val="00A05D76"/>
    <w:rsid w:val="00A06A6B"/>
    <w:rsid w:val="00A07E47"/>
    <w:rsid w:val="00A1280B"/>
    <w:rsid w:val="00A129D0"/>
    <w:rsid w:val="00A12C33"/>
    <w:rsid w:val="00A138BA"/>
    <w:rsid w:val="00A14C8E"/>
    <w:rsid w:val="00A153D9"/>
    <w:rsid w:val="00A15C9C"/>
    <w:rsid w:val="00A15F09"/>
    <w:rsid w:val="00A169B6"/>
    <w:rsid w:val="00A2271D"/>
    <w:rsid w:val="00A237D5"/>
    <w:rsid w:val="00A24EDF"/>
    <w:rsid w:val="00A30EFC"/>
    <w:rsid w:val="00A31984"/>
    <w:rsid w:val="00A320D7"/>
    <w:rsid w:val="00A32D73"/>
    <w:rsid w:val="00A3367B"/>
    <w:rsid w:val="00A33C67"/>
    <w:rsid w:val="00A3597D"/>
    <w:rsid w:val="00A36DD1"/>
    <w:rsid w:val="00A4006C"/>
    <w:rsid w:val="00A40091"/>
    <w:rsid w:val="00A4030F"/>
    <w:rsid w:val="00A41C79"/>
    <w:rsid w:val="00A41CB5"/>
    <w:rsid w:val="00A42CDF"/>
    <w:rsid w:val="00A4452E"/>
    <w:rsid w:val="00A4472C"/>
    <w:rsid w:val="00A44ABE"/>
    <w:rsid w:val="00A44E69"/>
    <w:rsid w:val="00A45227"/>
    <w:rsid w:val="00A4661E"/>
    <w:rsid w:val="00A47C04"/>
    <w:rsid w:val="00A529F7"/>
    <w:rsid w:val="00A55BD6"/>
    <w:rsid w:val="00A55D50"/>
    <w:rsid w:val="00A56CAE"/>
    <w:rsid w:val="00A57142"/>
    <w:rsid w:val="00A618AD"/>
    <w:rsid w:val="00A648CD"/>
    <w:rsid w:val="00A6537A"/>
    <w:rsid w:val="00A67866"/>
    <w:rsid w:val="00A70B07"/>
    <w:rsid w:val="00A723F8"/>
    <w:rsid w:val="00A77CCB"/>
    <w:rsid w:val="00A83D8D"/>
    <w:rsid w:val="00A8446B"/>
    <w:rsid w:val="00A8473F"/>
    <w:rsid w:val="00A84B04"/>
    <w:rsid w:val="00A862D6"/>
    <w:rsid w:val="00A8715E"/>
    <w:rsid w:val="00A9295B"/>
    <w:rsid w:val="00A93B09"/>
    <w:rsid w:val="00A940E3"/>
    <w:rsid w:val="00A952D7"/>
    <w:rsid w:val="00A963F7"/>
    <w:rsid w:val="00A96AD8"/>
    <w:rsid w:val="00AA052C"/>
    <w:rsid w:val="00AA1E45"/>
    <w:rsid w:val="00AA4286"/>
    <w:rsid w:val="00AA456B"/>
    <w:rsid w:val="00AA57F5"/>
    <w:rsid w:val="00AA672E"/>
    <w:rsid w:val="00AA6EC9"/>
    <w:rsid w:val="00AB4DD5"/>
    <w:rsid w:val="00AB6309"/>
    <w:rsid w:val="00AB6C5F"/>
    <w:rsid w:val="00AB7129"/>
    <w:rsid w:val="00AB7856"/>
    <w:rsid w:val="00AC27A6"/>
    <w:rsid w:val="00AC30F7"/>
    <w:rsid w:val="00AC3192"/>
    <w:rsid w:val="00AC3A5A"/>
    <w:rsid w:val="00AC4D95"/>
    <w:rsid w:val="00AC5DF4"/>
    <w:rsid w:val="00AC64E7"/>
    <w:rsid w:val="00AD0AEF"/>
    <w:rsid w:val="00AD11B7"/>
    <w:rsid w:val="00AD1A94"/>
    <w:rsid w:val="00AD1C05"/>
    <w:rsid w:val="00AD4126"/>
    <w:rsid w:val="00AD421C"/>
    <w:rsid w:val="00AD44FA"/>
    <w:rsid w:val="00AD6402"/>
    <w:rsid w:val="00AE070A"/>
    <w:rsid w:val="00AE101C"/>
    <w:rsid w:val="00AE2A69"/>
    <w:rsid w:val="00AE37E5"/>
    <w:rsid w:val="00AE5EB4"/>
    <w:rsid w:val="00AE6C3B"/>
    <w:rsid w:val="00AF0C18"/>
    <w:rsid w:val="00AF47C5"/>
    <w:rsid w:val="00AF5398"/>
    <w:rsid w:val="00B0298D"/>
    <w:rsid w:val="00B049AF"/>
    <w:rsid w:val="00B07242"/>
    <w:rsid w:val="00B0756B"/>
    <w:rsid w:val="00B10534"/>
    <w:rsid w:val="00B113DB"/>
    <w:rsid w:val="00B11D8A"/>
    <w:rsid w:val="00B124B8"/>
    <w:rsid w:val="00B12981"/>
    <w:rsid w:val="00B147DD"/>
    <w:rsid w:val="00B156FD"/>
    <w:rsid w:val="00B21F61"/>
    <w:rsid w:val="00B22858"/>
    <w:rsid w:val="00B23780"/>
    <w:rsid w:val="00B261F1"/>
    <w:rsid w:val="00B265BC"/>
    <w:rsid w:val="00B31FB1"/>
    <w:rsid w:val="00B3380D"/>
    <w:rsid w:val="00B33952"/>
    <w:rsid w:val="00B33C5E"/>
    <w:rsid w:val="00B342F4"/>
    <w:rsid w:val="00B34369"/>
    <w:rsid w:val="00B34DC2"/>
    <w:rsid w:val="00B378E5"/>
    <w:rsid w:val="00B41891"/>
    <w:rsid w:val="00B4346D"/>
    <w:rsid w:val="00B43518"/>
    <w:rsid w:val="00B437B7"/>
    <w:rsid w:val="00B440F4"/>
    <w:rsid w:val="00B447A5"/>
    <w:rsid w:val="00B4654C"/>
    <w:rsid w:val="00B47293"/>
    <w:rsid w:val="00B50E50"/>
    <w:rsid w:val="00B52120"/>
    <w:rsid w:val="00B54ABC"/>
    <w:rsid w:val="00B56CAB"/>
    <w:rsid w:val="00B56FBE"/>
    <w:rsid w:val="00B60ACF"/>
    <w:rsid w:val="00B62B58"/>
    <w:rsid w:val="00B65149"/>
    <w:rsid w:val="00B66567"/>
    <w:rsid w:val="00B66F52"/>
    <w:rsid w:val="00B66FE5"/>
    <w:rsid w:val="00B70B16"/>
    <w:rsid w:val="00B72880"/>
    <w:rsid w:val="00B758BF"/>
    <w:rsid w:val="00B77775"/>
    <w:rsid w:val="00B77EC8"/>
    <w:rsid w:val="00B827A6"/>
    <w:rsid w:val="00B831CE"/>
    <w:rsid w:val="00B84994"/>
    <w:rsid w:val="00B86677"/>
    <w:rsid w:val="00B87131"/>
    <w:rsid w:val="00B9370D"/>
    <w:rsid w:val="00B939B1"/>
    <w:rsid w:val="00B94B88"/>
    <w:rsid w:val="00B95A74"/>
    <w:rsid w:val="00B96D40"/>
    <w:rsid w:val="00B97386"/>
    <w:rsid w:val="00BA263B"/>
    <w:rsid w:val="00BA42B2"/>
    <w:rsid w:val="00BA58D4"/>
    <w:rsid w:val="00BA5B9E"/>
    <w:rsid w:val="00BA7C9A"/>
    <w:rsid w:val="00BB4754"/>
    <w:rsid w:val="00BB5F8F"/>
    <w:rsid w:val="00BB657A"/>
    <w:rsid w:val="00BB749F"/>
    <w:rsid w:val="00BC1A4E"/>
    <w:rsid w:val="00BC2C9C"/>
    <w:rsid w:val="00BC3BD9"/>
    <w:rsid w:val="00BC5DC7"/>
    <w:rsid w:val="00BC6B8B"/>
    <w:rsid w:val="00BC73D8"/>
    <w:rsid w:val="00BD52D7"/>
    <w:rsid w:val="00BD5AD2"/>
    <w:rsid w:val="00BE0C87"/>
    <w:rsid w:val="00BE22F3"/>
    <w:rsid w:val="00BE46CE"/>
    <w:rsid w:val="00BE5B52"/>
    <w:rsid w:val="00BE7B8D"/>
    <w:rsid w:val="00BF0993"/>
    <w:rsid w:val="00BF10A9"/>
    <w:rsid w:val="00BF1703"/>
    <w:rsid w:val="00BF231C"/>
    <w:rsid w:val="00BF51E5"/>
    <w:rsid w:val="00BF74A6"/>
    <w:rsid w:val="00C013AD"/>
    <w:rsid w:val="00C04904"/>
    <w:rsid w:val="00C056B3"/>
    <w:rsid w:val="00C05D46"/>
    <w:rsid w:val="00C103E5"/>
    <w:rsid w:val="00C129B2"/>
    <w:rsid w:val="00C13319"/>
    <w:rsid w:val="00C13EE9"/>
    <w:rsid w:val="00C17FB2"/>
    <w:rsid w:val="00C206B4"/>
    <w:rsid w:val="00C20B06"/>
    <w:rsid w:val="00C21540"/>
    <w:rsid w:val="00C21906"/>
    <w:rsid w:val="00C21BFA"/>
    <w:rsid w:val="00C23CAE"/>
    <w:rsid w:val="00C24C8D"/>
    <w:rsid w:val="00C25FE2"/>
    <w:rsid w:val="00C26B53"/>
    <w:rsid w:val="00C2715B"/>
    <w:rsid w:val="00C279B2"/>
    <w:rsid w:val="00C31C5D"/>
    <w:rsid w:val="00C33E50"/>
    <w:rsid w:val="00C34C20"/>
    <w:rsid w:val="00C35215"/>
    <w:rsid w:val="00C35A3E"/>
    <w:rsid w:val="00C35F2E"/>
    <w:rsid w:val="00C369C0"/>
    <w:rsid w:val="00C42130"/>
    <w:rsid w:val="00C423A4"/>
    <w:rsid w:val="00C423E3"/>
    <w:rsid w:val="00C42B44"/>
    <w:rsid w:val="00C44BF5"/>
    <w:rsid w:val="00C46EB7"/>
    <w:rsid w:val="00C521D6"/>
    <w:rsid w:val="00C55232"/>
    <w:rsid w:val="00C553A4"/>
    <w:rsid w:val="00C55542"/>
    <w:rsid w:val="00C55A06"/>
    <w:rsid w:val="00C55D03"/>
    <w:rsid w:val="00C56672"/>
    <w:rsid w:val="00C601BC"/>
    <w:rsid w:val="00C6329F"/>
    <w:rsid w:val="00C63340"/>
    <w:rsid w:val="00C643F9"/>
    <w:rsid w:val="00C64E95"/>
    <w:rsid w:val="00C70327"/>
    <w:rsid w:val="00C71372"/>
    <w:rsid w:val="00C71714"/>
    <w:rsid w:val="00C72410"/>
    <w:rsid w:val="00C7287F"/>
    <w:rsid w:val="00C80CB8"/>
    <w:rsid w:val="00C819F8"/>
    <w:rsid w:val="00C8248C"/>
    <w:rsid w:val="00C84E33"/>
    <w:rsid w:val="00C86D6F"/>
    <w:rsid w:val="00C905FC"/>
    <w:rsid w:val="00C92D03"/>
    <w:rsid w:val="00C9319C"/>
    <w:rsid w:val="00C9435D"/>
    <w:rsid w:val="00C94DF2"/>
    <w:rsid w:val="00C96741"/>
    <w:rsid w:val="00C97163"/>
    <w:rsid w:val="00CA2D1B"/>
    <w:rsid w:val="00CA375D"/>
    <w:rsid w:val="00CA4D84"/>
    <w:rsid w:val="00CA662A"/>
    <w:rsid w:val="00CA7AFD"/>
    <w:rsid w:val="00CA7C3C"/>
    <w:rsid w:val="00CB0189"/>
    <w:rsid w:val="00CB03E2"/>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3772"/>
    <w:rsid w:val="00CD4092"/>
    <w:rsid w:val="00CD4A20"/>
    <w:rsid w:val="00CD50A1"/>
    <w:rsid w:val="00CD519E"/>
    <w:rsid w:val="00CE0C4F"/>
    <w:rsid w:val="00CE30EA"/>
    <w:rsid w:val="00CF048A"/>
    <w:rsid w:val="00CF155A"/>
    <w:rsid w:val="00CF2947"/>
    <w:rsid w:val="00CF599D"/>
    <w:rsid w:val="00CF686F"/>
    <w:rsid w:val="00CF6E60"/>
    <w:rsid w:val="00CF7BCA"/>
    <w:rsid w:val="00D008FD"/>
    <w:rsid w:val="00D01D10"/>
    <w:rsid w:val="00D0321C"/>
    <w:rsid w:val="00D035EC"/>
    <w:rsid w:val="00D06AB1"/>
    <w:rsid w:val="00D06FC1"/>
    <w:rsid w:val="00D072ED"/>
    <w:rsid w:val="00D07A16"/>
    <w:rsid w:val="00D1067E"/>
    <w:rsid w:val="00D10F50"/>
    <w:rsid w:val="00D11272"/>
    <w:rsid w:val="00D126F5"/>
    <w:rsid w:val="00D1489E"/>
    <w:rsid w:val="00D17EBB"/>
    <w:rsid w:val="00D20737"/>
    <w:rsid w:val="00D21E81"/>
    <w:rsid w:val="00D223DE"/>
    <w:rsid w:val="00D24B53"/>
    <w:rsid w:val="00D25E37"/>
    <w:rsid w:val="00D2661A"/>
    <w:rsid w:val="00D27582"/>
    <w:rsid w:val="00D27EC4"/>
    <w:rsid w:val="00D31AAF"/>
    <w:rsid w:val="00D32719"/>
    <w:rsid w:val="00D3272F"/>
    <w:rsid w:val="00D33333"/>
    <w:rsid w:val="00D352A2"/>
    <w:rsid w:val="00D4162B"/>
    <w:rsid w:val="00D4514F"/>
    <w:rsid w:val="00D451E2"/>
    <w:rsid w:val="00D45E89"/>
    <w:rsid w:val="00D45E8D"/>
    <w:rsid w:val="00D466AE"/>
    <w:rsid w:val="00D4734F"/>
    <w:rsid w:val="00D50237"/>
    <w:rsid w:val="00D51BF3"/>
    <w:rsid w:val="00D61DF5"/>
    <w:rsid w:val="00D66846"/>
    <w:rsid w:val="00D675FB"/>
    <w:rsid w:val="00D71F25"/>
    <w:rsid w:val="00D72A9C"/>
    <w:rsid w:val="00D77031"/>
    <w:rsid w:val="00D84941"/>
    <w:rsid w:val="00D84FA1"/>
    <w:rsid w:val="00D851F0"/>
    <w:rsid w:val="00D8524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4E46"/>
    <w:rsid w:val="00DA64F8"/>
    <w:rsid w:val="00DA6C15"/>
    <w:rsid w:val="00DB0258"/>
    <w:rsid w:val="00DB38EE"/>
    <w:rsid w:val="00DB498B"/>
    <w:rsid w:val="00DB66CA"/>
    <w:rsid w:val="00DB6BCA"/>
    <w:rsid w:val="00DB6F54"/>
    <w:rsid w:val="00DB73F7"/>
    <w:rsid w:val="00DB787D"/>
    <w:rsid w:val="00DC0321"/>
    <w:rsid w:val="00DC0550"/>
    <w:rsid w:val="00DC3067"/>
    <w:rsid w:val="00DC370B"/>
    <w:rsid w:val="00DC5874"/>
    <w:rsid w:val="00DC5B90"/>
    <w:rsid w:val="00DD00FF"/>
    <w:rsid w:val="00DD0619"/>
    <w:rsid w:val="00DD07FB"/>
    <w:rsid w:val="00DD25C6"/>
    <w:rsid w:val="00DD4FE5"/>
    <w:rsid w:val="00DD51DA"/>
    <w:rsid w:val="00DD54B0"/>
    <w:rsid w:val="00DD57EE"/>
    <w:rsid w:val="00DD6BCC"/>
    <w:rsid w:val="00DE0A4B"/>
    <w:rsid w:val="00DE2410"/>
    <w:rsid w:val="00DE2939"/>
    <w:rsid w:val="00DE6E81"/>
    <w:rsid w:val="00DE703F"/>
    <w:rsid w:val="00DE7595"/>
    <w:rsid w:val="00DE79FC"/>
    <w:rsid w:val="00DF07B4"/>
    <w:rsid w:val="00DF1961"/>
    <w:rsid w:val="00DF19D7"/>
    <w:rsid w:val="00DF44DE"/>
    <w:rsid w:val="00DF7D83"/>
    <w:rsid w:val="00E01138"/>
    <w:rsid w:val="00E02DFB"/>
    <w:rsid w:val="00E030F9"/>
    <w:rsid w:val="00E0311A"/>
    <w:rsid w:val="00E03138"/>
    <w:rsid w:val="00E06404"/>
    <w:rsid w:val="00E11A85"/>
    <w:rsid w:val="00E12495"/>
    <w:rsid w:val="00E15CCD"/>
    <w:rsid w:val="00E1776D"/>
    <w:rsid w:val="00E202EF"/>
    <w:rsid w:val="00E210B5"/>
    <w:rsid w:val="00E24485"/>
    <w:rsid w:val="00E24E73"/>
    <w:rsid w:val="00E2552F"/>
    <w:rsid w:val="00E3137A"/>
    <w:rsid w:val="00E31EFF"/>
    <w:rsid w:val="00E32CCF"/>
    <w:rsid w:val="00E34A98"/>
    <w:rsid w:val="00E35D1E"/>
    <w:rsid w:val="00E364F9"/>
    <w:rsid w:val="00E365FA"/>
    <w:rsid w:val="00E36789"/>
    <w:rsid w:val="00E4317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46C8"/>
    <w:rsid w:val="00E84957"/>
    <w:rsid w:val="00E84A55"/>
    <w:rsid w:val="00E85BFF"/>
    <w:rsid w:val="00E90391"/>
    <w:rsid w:val="00E906C2"/>
    <w:rsid w:val="00E9311F"/>
    <w:rsid w:val="00E934D1"/>
    <w:rsid w:val="00E94AF0"/>
    <w:rsid w:val="00E95D13"/>
    <w:rsid w:val="00E95DD3"/>
    <w:rsid w:val="00E969D5"/>
    <w:rsid w:val="00E97FB3"/>
    <w:rsid w:val="00EA58D1"/>
    <w:rsid w:val="00EA5E5E"/>
    <w:rsid w:val="00EA61BC"/>
    <w:rsid w:val="00EA681A"/>
    <w:rsid w:val="00EA735B"/>
    <w:rsid w:val="00EB11A1"/>
    <w:rsid w:val="00EB1E69"/>
    <w:rsid w:val="00EB2086"/>
    <w:rsid w:val="00EB31ED"/>
    <w:rsid w:val="00EB5EDF"/>
    <w:rsid w:val="00EB60FE"/>
    <w:rsid w:val="00EB63AC"/>
    <w:rsid w:val="00EB74DB"/>
    <w:rsid w:val="00EC5359"/>
    <w:rsid w:val="00EC562A"/>
    <w:rsid w:val="00ED067A"/>
    <w:rsid w:val="00ED2B50"/>
    <w:rsid w:val="00EE0350"/>
    <w:rsid w:val="00EE0719"/>
    <w:rsid w:val="00EE0E80"/>
    <w:rsid w:val="00EE613F"/>
    <w:rsid w:val="00EE7295"/>
    <w:rsid w:val="00EE7869"/>
    <w:rsid w:val="00EF054A"/>
    <w:rsid w:val="00EF3235"/>
    <w:rsid w:val="00EF7E72"/>
    <w:rsid w:val="00F06D37"/>
    <w:rsid w:val="00F07B9D"/>
    <w:rsid w:val="00F11586"/>
    <w:rsid w:val="00F116D0"/>
    <w:rsid w:val="00F1183B"/>
    <w:rsid w:val="00F11C9F"/>
    <w:rsid w:val="00F12207"/>
    <w:rsid w:val="00F12263"/>
    <w:rsid w:val="00F1409D"/>
    <w:rsid w:val="00F14214"/>
    <w:rsid w:val="00F157A9"/>
    <w:rsid w:val="00F16F00"/>
    <w:rsid w:val="00F204D3"/>
    <w:rsid w:val="00F20541"/>
    <w:rsid w:val="00F25B20"/>
    <w:rsid w:val="00F25BB6"/>
    <w:rsid w:val="00F26B7E"/>
    <w:rsid w:val="00F27A3B"/>
    <w:rsid w:val="00F31771"/>
    <w:rsid w:val="00F32780"/>
    <w:rsid w:val="00F33817"/>
    <w:rsid w:val="00F3391E"/>
    <w:rsid w:val="00F358C4"/>
    <w:rsid w:val="00F420D5"/>
    <w:rsid w:val="00F451EA"/>
    <w:rsid w:val="00F45447"/>
    <w:rsid w:val="00F456C6"/>
    <w:rsid w:val="00F4577B"/>
    <w:rsid w:val="00F46496"/>
    <w:rsid w:val="00F474D0"/>
    <w:rsid w:val="00F50179"/>
    <w:rsid w:val="00F515EE"/>
    <w:rsid w:val="00F53C98"/>
    <w:rsid w:val="00F54C5D"/>
    <w:rsid w:val="00F56511"/>
    <w:rsid w:val="00F6194E"/>
    <w:rsid w:val="00F623AC"/>
    <w:rsid w:val="00F6412A"/>
    <w:rsid w:val="00F65893"/>
    <w:rsid w:val="00F66A4A"/>
    <w:rsid w:val="00F71E22"/>
    <w:rsid w:val="00F72142"/>
    <w:rsid w:val="00F72AE7"/>
    <w:rsid w:val="00F75A37"/>
    <w:rsid w:val="00F833BA"/>
    <w:rsid w:val="00F84FD0"/>
    <w:rsid w:val="00F859A8"/>
    <w:rsid w:val="00F86D87"/>
    <w:rsid w:val="00F9108B"/>
    <w:rsid w:val="00F91349"/>
    <w:rsid w:val="00F92CB5"/>
    <w:rsid w:val="00F93A8A"/>
    <w:rsid w:val="00F95248"/>
    <w:rsid w:val="00F956A9"/>
    <w:rsid w:val="00F963ED"/>
    <w:rsid w:val="00F966CF"/>
    <w:rsid w:val="00F96CAE"/>
    <w:rsid w:val="00F97C99"/>
    <w:rsid w:val="00FA0CC7"/>
    <w:rsid w:val="00FA57F1"/>
    <w:rsid w:val="00FA662D"/>
    <w:rsid w:val="00FA73B1"/>
    <w:rsid w:val="00FB0CB9"/>
    <w:rsid w:val="00FB231D"/>
    <w:rsid w:val="00FB2EF0"/>
    <w:rsid w:val="00FB45F1"/>
    <w:rsid w:val="00FB4A72"/>
    <w:rsid w:val="00FB54E8"/>
    <w:rsid w:val="00FB7054"/>
    <w:rsid w:val="00FC17B7"/>
    <w:rsid w:val="00FC2CB7"/>
    <w:rsid w:val="00FC3FE6"/>
    <w:rsid w:val="00FC4090"/>
    <w:rsid w:val="00FC55B4"/>
    <w:rsid w:val="00FC59A8"/>
    <w:rsid w:val="00FD00E6"/>
    <w:rsid w:val="00FD09A1"/>
    <w:rsid w:val="00FD2A7C"/>
    <w:rsid w:val="00FD4BFC"/>
    <w:rsid w:val="00FD59EB"/>
    <w:rsid w:val="00FD7299"/>
    <w:rsid w:val="00FE1FBE"/>
    <w:rsid w:val="00FE2FFC"/>
    <w:rsid w:val="00FE3901"/>
    <w:rsid w:val="00FE39D3"/>
    <w:rsid w:val="00FE3B73"/>
    <w:rsid w:val="00FE45A2"/>
    <w:rsid w:val="00FE4BCE"/>
    <w:rsid w:val="00FE54AE"/>
    <w:rsid w:val="00FE576A"/>
    <w:rsid w:val="00FE7E79"/>
    <w:rsid w:val="00FF3E7D"/>
    <w:rsid w:val="00FF5B99"/>
    <w:rsid w:val="00FF730C"/>
    <w:rsid w:val="00FF73F4"/>
    <w:rsid w:val="00FF7CE4"/>
    <w:rsid w:val="00FF7E39"/>
    <w:rsid w:val="017D6DEF"/>
    <w:rsid w:val="03555A65"/>
    <w:rsid w:val="03A754EF"/>
    <w:rsid w:val="042C71E8"/>
    <w:rsid w:val="04612D71"/>
    <w:rsid w:val="04E13436"/>
    <w:rsid w:val="050D4546"/>
    <w:rsid w:val="052E656D"/>
    <w:rsid w:val="059341B1"/>
    <w:rsid w:val="06875D43"/>
    <w:rsid w:val="07215F41"/>
    <w:rsid w:val="072510C4"/>
    <w:rsid w:val="07447FE0"/>
    <w:rsid w:val="079106EB"/>
    <w:rsid w:val="08444BA1"/>
    <w:rsid w:val="08CB5177"/>
    <w:rsid w:val="09410B3D"/>
    <w:rsid w:val="0A1B3564"/>
    <w:rsid w:val="0AAC240E"/>
    <w:rsid w:val="0AE40A87"/>
    <w:rsid w:val="0BA04B75"/>
    <w:rsid w:val="0CDB1482"/>
    <w:rsid w:val="0DB46187"/>
    <w:rsid w:val="0DD04666"/>
    <w:rsid w:val="0DEC0AE2"/>
    <w:rsid w:val="0E02141C"/>
    <w:rsid w:val="0EDB5948"/>
    <w:rsid w:val="0F582B65"/>
    <w:rsid w:val="0F6901A4"/>
    <w:rsid w:val="0FE05083"/>
    <w:rsid w:val="10022AD1"/>
    <w:rsid w:val="11322CFD"/>
    <w:rsid w:val="11721CF1"/>
    <w:rsid w:val="12B87865"/>
    <w:rsid w:val="141F00F5"/>
    <w:rsid w:val="14506500"/>
    <w:rsid w:val="14A23D33"/>
    <w:rsid w:val="14D013EF"/>
    <w:rsid w:val="15693F0C"/>
    <w:rsid w:val="161F43DC"/>
    <w:rsid w:val="165A3666"/>
    <w:rsid w:val="166127C6"/>
    <w:rsid w:val="16ED171E"/>
    <w:rsid w:val="17052A2C"/>
    <w:rsid w:val="17A448DD"/>
    <w:rsid w:val="187E735A"/>
    <w:rsid w:val="18FF2F2C"/>
    <w:rsid w:val="198A7DBF"/>
    <w:rsid w:val="198B6C2E"/>
    <w:rsid w:val="19B068E7"/>
    <w:rsid w:val="19DD25E4"/>
    <w:rsid w:val="1A9E2B3B"/>
    <w:rsid w:val="1AB175CD"/>
    <w:rsid w:val="1AD12CB7"/>
    <w:rsid w:val="1BEA548C"/>
    <w:rsid w:val="1BF146D2"/>
    <w:rsid w:val="1DAA6C81"/>
    <w:rsid w:val="1EF936C1"/>
    <w:rsid w:val="1F36174A"/>
    <w:rsid w:val="1F3957CF"/>
    <w:rsid w:val="1F824402"/>
    <w:rsid w:val="1F8A79C7"/>
    <w:rsid w:val="201D3351"/>
    <w:rsid w:val="204333BD"/>
    <w:rsid w:val="20D12777"/>
    <w:rsid w:val="21667C35"/>
    <w:rsid w:val="22BE5BBD"/>
    <w:rsid w:val="231F31B7"/>
    <w:rsid w:val="240115C5"/>
    <w:rsid w:val="242258D5"/>
    <w:rsid w:val="24E707BB"/>
    <w:rsid w:val="24F35FAE"/>
    <w:rsid w:val="2552283D"/>
    <w:rsid w:val="256266D7"/>
    <w:rsid w:val="26F9507E"/>
    <w:rsid w:val="274839FF"/>
    <w:rsid w:val="274D7DF2"/>
    <w:rsid w:val="27892580"/>
    <w:rsid w:val="2A1F3C51"/>
    <w:rsid w:val="2A9E1028"/>
    <w:rsid w:val="2AF6240B"/>
    <w:rsid w:val="2BA17C45"/>
    <w:rsid w:val="2BD75860"/>
    <w:rsid w:val="2C444745"/>
    <w:rsid w:val="2C890B22"/>
    <w:rsid w:val="2D59344E"/>
    <w:rsid w:val="2D735D4C"/>
    <w:rsid w:val="2DAC3BFD"/>
    <w:rsid w:val="2DB522F0"/>
    <w:rsid w:val="2DB77BDA"/>
    <w:rsid w:val="2ECA07D2"/>
    <w:rsid w:val="2F537C66"/>
    <w:rsid w:val="2F577DDB"/>
    <w:rsid w:val="2F9F6325"/>
    <w:rsid w:val="30DD0CC4"/>
    <w:rsid w:val="30FA6B04"/>
    <w:rsid w:val="323808A8"/>
    <w:rsid w:val="33A06705"/>
    <w:rsid w:val="33A855B9"/>
    <w:rsid w:val="342402DD"/>
    <w:rsid w:val="34916523"/>
    <w:rsid w:val="349B5C30"/>
    <w:rsid w:val="352D65CC"/>
    <w:rsid w:val="355A76BE"/>
    <w:rsid w:val="359B6AF0"/>
    <w:rsid w:val="36E15C2C"/>
    <w:rsid w:val="36F75539"/>
    <w:rsid w:val="37AB38CA"/>
    <w:rsid w:val="37AD6B92"/>
    <w:rsid w:val="38404012"/>
    <w:rsid w:val="388F52AD"/>
    <w:rsid w:val="39283036"/>
    <w:rsid w:val="39890999"/>
    <w:rsid w:val="39946335"/>
    <w:rsid w:val="39B23209"/>
    <w:rsid w:val="3A16128C"/>
    <w:rsid w:val="3A4A007A"/>
    <w:rsid w:val="3A4F01E1"/>
    <w:rsid w:val="3A915FFB"/>
    <w:rsid w:val="3B3B0ABC"/>
    <w:rsid w:val="3B471B5C"/>
    <w:rsid w:val="3CBE0B6F"/>
    <w:rsid w:val="3DEF0FAA"/>
    <w:rsid w:val="3E7A3FF6"/>
    <w:rsid w:val="3E82598F"/>
    <w:rsid w:val="3EC028AF"/>
    <w:rsid w:val="3F632CDC"/>
    <w:rsid w:val="3FB94F9A"/>
    <w:rsid w:val="4079618D"/>
    <w:rsid w:val="41867DA5"/>
    <w:rsid w:val="42263B92"/>
    <w:rsid w:val="42F374A7"/>
    <w:rsid w:val="42F50C2A"/>
    <w:rsid w:val="43454BD3"/>
    <w:rsid w:val="442E1445"/>
    <w:rsid w:val="44B71B00"/>
    <w:rsid w:val="44D1569D"/>
    <w:rsid w:val="458204E5"/>
    <w:rsid w:val="45972DB1"/>
    <w:rsid w:val="460C19D8"/>
    <w:rsid w:val="46767799"/>
    <w:rsid w:val="46833DA8"/>
    <w:rsid w:val="46AE7B45"/>
    <w:rsid w:val="47CF43B2"/>
    <w:rsid w:val="49451A76"/>
    <w:rsid w:val="494A14EE"/>
    <w:rsid w:val="4A1D2CEC"/>
    <w:rsid w:val="4B486639"/>
    <w:rsid w:val="4BA9468D"/>
    <w:rsid w:val="4BFE579A"/>
    <w:rsid w:val="4D386DDA"/>
    <w:rsid w:val="4D7F46B4"/>
    <w:rsid w:val="4D9258D3"/>
    <w:rsid w:val="4EB3158A"/>
    <w:rsid w:val="4F295A4A"/>
    <w:rsid w:val="4F6B031B"/>
    <w:rsid w:val="50B443BB"/>
    <w:rsid w:val="510D2AA8"/>
    <w:rsid w:val="513370D3"/>
    <w:rsid w:val="51405FD9"/>
    <w:rsid w:val="51654692"/>
    <w:rsid w:val="52D07AD9"/>
    <w:rsid w:val="530733C6"/>
    <w:rsid w:val="53310CD0"/>
    <w:rsid w:val="53346A12"/>
    <w:rsid w:val="55050666"/>
    <w:rsid w:val="55D342C0"/>
    <w:rsid w:val="55E96D02"/>
    <w:rsid w:val="568C52C8"/>
    <w:rsid w:val="5737529D"/>
    <w:rsid w:val="58086CFC"/>
    <w:rsid w:val="58817B73"/>
    <w:rsid w:val="58E32A6C"/>
    <w:rsid w:val="59163627"/>
    <w:rsid w:val="59424B8F"/>
    <w:rsid w:val="5A2739C7"/>
    <w:rsid w:val="5A3C1FAB"/>
    <w:rsid w:val="5A824004"/>
    <w:rsid w:val="5ACB03C0"/>
    <w:rsid w:val="5BDB7A2A"/>
    <w:rsid w:val="5BFB5E7D"/>
    <w:rsid w:val="5CBF637D"/>
    <w:rsid w:val="5CE67688"/>
    <w:rsid w:val="5CF54B1C"/>
    <w:rsid w:val="5D000F56"/>
    <w:rsid w:val="5DA126C9"/>
    <w:rsid w:val="5DCE5013"/>
    <w:rsid w:val="5E1C4F9F"/>
    <w:rsid w:val="5E330691"/>
    <w:rsid w:val="5E6B2810"/>
    <w:rsid w:val="605C1FD8"/>
    <w:rsid w:val="60C458D1"/>
    <w:rsid w:val="60F85B2C"/>
    <w:rsid w:val="62083AA5"/>
    <w:rsid w:val="621636E7"/>
    <w:rsid w:val="62535753"/>
    <w:rsid w:val="62A44F1A"/>
    <w:rsid w:val="62E4338E"/>
    <w:rsid w:val="635F53E5"/>
    <w:rsid w:val="642B109B"/>
    <w:rsid w:val="64367476"/>
    <w:rsid w:val="64520AA6"/>
    <w:rsid w:val="64AF414A"/>
    <w:rsid w:val="64B97A50"/>
    <w:rsid w:val="64F63B27"/>
    <w:rsid w:val="64FC2C96"/>
    <w:rsid w:val="65081D2F"/>
    <w:rsid w:val="66012783"/>
    <w:rsid w:val="660364FC"/>
    <w:rsid w:val="663D0916"/>
    <w:rsid w:val="667903D2"/>
    <w:rsid w:val="66E94ACA"/>
    <w:rsid w:val="66FD73EF"/>
    <w:rsid w:val="679B4048"/>
    <w:rsid w:val="68525518"/>
    <w:rsid w:val="68D71876"/>
    <w:rsid w:val="69006D41"/>
    <w:rsid w:val="69AB33AB"/>
    <w:rsid w:val="6AE57B4E"/>
    <w:rsid w:val="6B43039C"/>
    <w:rsid w:val="6B882AFB"/>
    <w:rsid w:val="6D2F7BD6"/>
    <w:rsid w:val="6D747CDF"/>
    <w:rsid w:val="6D88378A"/>
    <w:rsid w:val="6D910891"/>
    <w:rsid w:val="6E8C1058"/>
    <w:rsid w:val="6FD3402E"/>
    <w:rsid w:val="6FFE6E86"/>
    <w:rsid w:val="707D50FC"/>
    <w:rsid w:val="71470D84"/>
    <w:rsid w:val="719B6815"/>
    <w:rsid w:val="725C5B22"/>
    <w:rsid w:val="742F6424"/>
    <w:rsid w:val="74375FC5"/>
    <w:rsid w:val="74542618"/>
    <w:rsid w:val="757C028F"/>
    <w:rsid w:val="75AF588C"/>
    <w:rsid w:val="76DA5057"/>
    <w:rsid w:val="77117455"/>
    <w:rsid w:val="771522A8"/>
    <w:rsid w:val="778A313F"/>
    <w:rsid w:val="77961DE8"/>
    <w:rsid w:val="785C6F2C"/>
    <w:rsid w:val="794762A8"/>
    <w:rsid w:val="7A6D7EA9"/>
    <w:rsid w:val="7B580C40"/>
    <w:rsid w:val="7B921514"/>
    <w:rsid w:val="7BCA4C09"/>
    <w:rsid w:val="7C2B54C3"/>
    <w:rsid w:val="7D3C0CA5"/>
    <w:rsid w:val="7DBA1C4D"/>
    <w:rsid w:val="7DDA1987"/>
    <w:rsid w:val="7F211349"/>
    <w:rsid w:val="7F631961"/>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8"/>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9"/>
    <w:qFormat/>
    <w:uiPriority w:val="0"/>
    <w:pPr>
      <w:keepNext/>
      <w:keepLines/>
      <w:spacing w:before="260" w:after="260" w:line="416" w:lineRule="auto"/>
      <w:outlineLvl w:val="2"/>
    </w:pPr>
    <w:rPr>
      <w:b/>
      <w:bCs/>
      <w:sz w:val="32"/>
      <w:szCs w:val="32"/>
    </w:rPr>
  </w:style>
  <w:style w:type="paragraph" w:styleId="5">
    <w:name w:val="heading 4"/>
    <w:basedOn w:val="1"/>
    <w:next w:val="1"/>
    <w:link w:val="4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1"/>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2"/>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3"/>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4"/>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5"/>
    <w:qFormat/>
    <w:uiPriority w:val="0"/>
    <w:pPr>
      <w:keepNext/>
      <w:keepLines/>
      <w:adjustRightInd/>
      <w:spacing w:before="240" w:after="64" w:line="320" w:lineRule="auto"/>
      <w:outlineLvl w:val="8"/>
    </w:pPr>
    <w:rPr>
      <w:rFonts w:ascii="Arial" w:hAnsi="Arial" w:eastAsia="黑体"/>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3"/>
    <w:semiHidden/>
    <w:unhideWhenUsed/>
    <w:qFormat/>
    <w:uiPriority w:val="0"/>
    <w:pPr>
      <w:adjustRightInd/>
      <w:spacing w:line="240" w:lineRule="auto"/>
      <w:ind w:firstLine="200" w:firstLineChars="200"/>
      <w:jc w:val="left"/>
    </w:pPr>
    <w:rPr>
      <w:rFonts w:ascii="Times New Roman" w:hAnsi="Times New Roman"/>
      <w:szCs w:val="24"/>
    </w:rPr>
  </w:style>
  <w:style w:type="paragraph" w:styleId="14">
    <w:name w:val="Body Text"/>
    <w:basedOn w:val="1"/>
    <w:link w:val="89"/>
    <w:qFormat/>
    <w:uiPriority w:val="0"/>
    <w:pPr>
      <w:spacing w:after="120"/>
    </w:pPr>
  </w:style>
  <w:style w:type="paragraph" w:styleId="15">
    <w:name w:val="toc 5"/>
    <w:basedOn w:val="1"/>
    <w:next w:val="1"/>
    <w:autoRedefine/>
    <w:unhideWhenUsed/>
    <w:qFormat/>
    <w:uiPriority w:val="39"/>
    <w:pPr>
      <w:ind w:left="839"/>
    </w:pPr>
    <w:rPr>
      <w:rFonts w:ascii="宋体"/>
    </w:rPr>
  </w:style>
  <w:style w:type="paragraph" w:styleId="16">
    <w:name w:val="toc 3"/>
    <w:basedOn w:val="1"/>
    <w:next w:val="1"/>
    <w:autoRedefine/>
    <w:unhideWhenUsed/>
    <w:qFormat/>
    <w:uiPriority w:val="39"/>
    <w:pPr>
      <w:spacing w:line="300" w:lineRule="exact"/>
      <w:ind w:left="420"/>
    </w:pPr>
    <w:rPr>
      <w:rFonts w:ascii="宋体"/>
    </w:rPr>
  </w:style>
  <w:style w:type="paragraph" w:styleId="17">
    <w:name w:val="Balloon Text"/>
    <w:basedOn w:val="1"/>
    <w:link w:val="48"/>
    <w:semiHidden/>
    <w:unhideWhenUsed/>
    <w:qFormat/>
    <w:uiPriority w:val="99"/>
    <w:rPr>
      <w:sz w:val="18"/>
      <w:szCs w:val="18"/>
    </w:rPr>
  </w:style>
  <w:style w:type="paragraph" w:styleId="18">
    <w:name w:val="footer"/>
    <w:basedOn w:val="1"/>
    <w:link w:val="47"/>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6"/>
    <w:qFormat/>
    <w:uiPriority w:val="99"/>
    <w:pPr>
      <w:tabs>
        <w:tab w:val="center" w:pos="4153"/>
        <w:tab w:val="right" w:pos="8306"/>
      </w:tabs>
      <w:adjustRightInd/>
      <w:snapToGrid w:val="0"/>
      <w:jc w:val="center"/>
    </w:pPr>
    <w:rPr>
      <w:sz w:val="18"/>
      <w:szCs w:val="18"/>
    </w:rPr>
  </w:style>
  <w:style w:type="paragraph" w:styleId="20">
    <w:name w:val="toc 1"/>
    <w:basedOn w:val="1"/>
    <w:next w:val="1"/>
    <w:autoRedefine/>
    <w:unhideWhenUsed/>
    <w:qFormat/>
    <w:uiPriority w:val="39"/>
    <w:pPr>
      <w:tabs>
        <w:tab w:val="right" w:leader="dot" w:pos="9344"/>
      </w:tabs>
    </w:pPr>
    <w:rPr>
      <w:rFonts w:ascii="宋体"/>
    </w:rPr>
  </w:style>
  <w:style w:type="paragraph" w:styleId="21">
    <w:name w:val="toc 4"/>
    <w:basedOn w:val="1"/>
    <w:next w:val="1"/>
    <w:autoRedefine/>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2"/>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autoRedefine/>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autoRedefine/>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spacing w:beforeAutospacing="1" w:afterAutospacing="1"/>
      <w:jc w:val="left"/>
    </w:pPr>
    <w:rPr>
      <w:kern w:val="0"/>
      <w:sz w:val="24"/>
    </w:rPr>
  </w:style>
  <w:style w:type="paragraph" w:styleId="27">
    <w:name w:val="Title"/>
    <w:basedOn w:val="1"/>
    <w:link w:val="51"/>
    <w:qFormat/>
    <w:uiPriority w:val="0"/>
    <w:pPr>
      <w:spacing w:before="240" w:after="60"/>
      <w:jc w:val="center"/>
      <w:outlineLvl w:val="0"/>
    </w:pPr>
    <w:rPr>
      <w:rFonts w:ascii="Arial" w:hAnsi="Arial" w:cs="Arial"/>
      <w:b/>
      <w:bCs/>
      <w:sz w:val="32"/>
      <w:szCs w:val="32"/>
    </w:r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b/>
      <w:bCs/>
    </w:rPr>
  </w:style>
  <w:style w:type="character" w:styleId="32">
    <w:name w:val="page number"/>
    <w:qFormat/>
    <w:uiPriority w:val="0"/>
    <w:rPr>
      <w:rFonts w:ascii="宋体" w:hAnsi="Times New Roman" w:eastAsia="宋体"/>
      <w:sz w:val="18"/>
    </w:rPr>
  </w:style>
  <w:style w:type="character" w:styleId="33">
    <w:name w:val="Emphasis"/>
    <w:qFormat/>
    <w:uiPriority w:val="20"/>
    <w:rPr>
      <w:i/>
      <w:iCs/>
    </w:rPr>
  </w:style>
  <w:style w:type="character" w:styleId="34">
    <w:name w:val="Hyperlink"/>
    <w:qFormat/>
    <w:uiPriority w:val="99"/>
    <w:rPr>
      <w:rFonts w:ascii="宋体" w:hAnsi="Times New Roman" w:eastAsia="宋体"/>
      <w:color w:val="auto"/>
      <w:spacing w:val="0"/>
      <w:w w:val="100"/>
      <w:position w:val="0"/>
      <w:sz w:val="21"/>
      <w:u w:val="none"/>
      <w:vertAlign w:val="baseline"/>
    </w:rPr>
  </w:style>
  <w:style w:type="character" w:styleId="35">
    <w:name w:val="annotation reference"/>
    <w:semiHidden/>
    <w:unhideWhenUsed/>
    <w:qFormat/>
    <w:uiPriority w:val="0"/>
    <w:rPr>
      <w:sz w:val="21"/>
      <w:szCs w:val="21"/>
    </w:rPr>
  </w:style>
  <w:style w:type="character" w:styleId="36">
    <w:name w:val="footnote reference"/>
    <w:semiHidden/>
    <w:qFormat/>
    <w:uiPriority w:val="0"/>
    <w:rPr>
      <w:rFonts w:ascii="宋体" w:hAnsi="宋体" w:eastAsia="宋体" w:cs="Times New Roman"/>
      <w:spacing w:val="0"/>
      <w:sz w:val="18"/>
      <w:vertAlign w:val="superscript"/>
    </w:rPr>
  </w:style>
  <w:style w:type="character" w:customStyle="1" w:styleId="37">
    <w:name w:val="标题 1 字符"/>
    <w:link w:val="2"/>
    <w:qFormat/>
    <w:uiPriority w:val="0"/>
    <w:rPr>
      <w:b/>
      <w:bCs/>
      <w:kern w:val="44"/>
      <w:sz w:val="44"/>
      <w:szCs w:val="44"/>
    </w:rPr>
  </w:style>
  <w:style w:type="character" w:customStyle="1" w:styleId="38">
    <w:name w:val="标题 2 字符"/>
    <w:link w:val="3"/>
    <w:qFormat/>
    <w:uiPriority w:val="0"/>
    <w:rPr>
      <w:rFonts w:ascii="Arial" w:hAnsi="Arial" w:eastAsia="黑体"/>
      <w:b/>
      <w:bCs/>
      <w:kern w:val="2"/>
      <w:sz w:val="32"/>
      <w:szCs w:val="32"/>
    </w:rPr>
  </w:style>
  <w:style w:type="character" w:customStyle="1" w:styleId="39">
    <w:name w:val="标题 3 字符"/>
    <w:link w:val="4"/>
    <w:qFormat/>
    <w:uiPriority w:val="0"/>
    <w:rPr>
      <w:b/>
      <w:bCs/>
      <w:kern w:val="2"/>
      <w:sz w:val="32"/>
      <w:szCs w:val="32"/>
    </w:rPr>
  </w:style>
  <w:style w:type="character" w:customStyle="1" w:styleId="40">
    <w:name w:val="标题 4 字符"/>
    <w:link w:val="5"/>
    <w:qFormat/>
    <w:uiPriority w:val="0"/>
    <w:rPr>
      <w:rFonts w:ascii="Arial" w:hAnsi="Arial" w:eastAsia="黑体"/>
      <w:b/>
      <w:bCs/>
      <w:kern w:val="2"/>
      <w:sz w:val="28"/>
      <w:szCs w:val="28"/>
    </w:rPr>
  </w:style>
  <w:style w:type="character" w:customStyle="1" w:styleId="41">
    <w:name w:val="标题 5 字符"/>
    <w:link w:val="6"/>
    <w:qFormat/>
    <w:uiPriority w:val="0"/>
    <w:rPr>
      <w:b/>
      <w:bCs/>
      <w:kern w:val="2"/>
      <w:sz w:val="28"/>
      <w:szCs w:val="28"/>
    </w:rPr>
  </w:style>
  <w:style w:type="character" w:customStyle="1" w:styleId="42">
    <w:name w:val="标题 6 字符"/>
    <w:link w:val="7"/>
    <w:qFormat/>
    <w:uiPriority w:val="0"/>
    <w:rPr>
      <w:rFonts w:ascii="Arial" w:hAnsi="Arial" w:eastAsia="黑体"/>
      <w:b/>
      <w:bCs/>
      <w:kern w:val="2"/>
      <w:sz w:val="24"/>
      <w:szCs w:val="24"/>
    </w:rPr>
  </w:style>
  <w:style w:type="character" w:customStyle="1" w:styleId="43">
    <w:name w:val="标题 7 字符"/>
    <w:link w:val="8"/>
    <w:qFormat/>
    <w:uiPriority w:val="0"/>
    <w:rPr>
      <w:b/>
      <w:bCs/>
      <w:kern w:val="2"/>
      <w:sz w:val="24"/>
      <w:szCs w:val="24"/>
    </w:rPr>
  </w:style>
  <w:style w:type="character" w:customStyle="1" w:styleId="44">
    <w:name w:val="标题 8 字符"/>
    <w:link w:val="9"/>
    <w:qFormat/>
    <w:uiPriority w:val="0"/>
    <w:rPr>
      <w:rFonts w:ascii="Arial" w:hAnsi="Arial" w:eastAsia="黑体"/>
      <w:kern w:val="2"/>
      <w:sz w:val="24"/>
      <w:szCs w:val="24"/>
    </w:rPr>
  </w:style>
  <w:style w:type="character" w:customStyle="1" w:styleId="45">
    <w:name w:val="标题 9 字符"/>
    <w:link w:val="10"/>
    <w:qFormat/>
    <w:uiPriority w:val="0"/>
    <w:rPr>
      <w:rFonts w:ascii="Arial" w:hAnsi="Arial" w:eastAsia="黑体"/>
      <w:kern w:val="2"/>
      <w:sz w:val="21"/>
      <w:szCs w:val="21"/>
    </w:rPr>
  </w:style>
  <w:style w:type="character" w:customStyle="1" w:styleId="46">
    <w:name w:val="页眉 字符"/>
    <w:link w:val="19"/>
    <w:qFormat/>
    <w:uiPriority w:val="99"/>
    <w:rPr>
      <w:kern w:val="2"/>
      <w:sz w:val="18"/>
      <w:szCs w:val="18"/>
    </w:rPr>
  </w:style>
  <w:style w:type="character" w:customStyle="1" w:styleId="47">
    <w:name w:val="页脚 字符"/>
    <w:link w:val="18"/>
    <w:qFormat/>
    <w:uiPriority w:val="99"/>
    <w:rPr>
      <w:rFonts w:ascii="宋体"/>
      <w:kern w:val="2"/>
      <w:sz w:val="18"/>
      <w:szCs w:val="18"/>
    </w:rPr>
  </w:style>
  <w:style w:type="character" w:customStyle="1" w:styleId="48">
    <w:name w:val="批注框文本 字符"/>
    <w:link w:val="17"/>
    <w:semiHidden/>
    <w:qFormat/>
    <w:uiPriority w:val="99"/>
    <w:rPr>
      <w:kern w:val="2"/>
      <w:sz w:val="18"/>
      <w:szCs w:val="18"/>
    </w:rPr>
  </w:style>
  <w:style w:type="paragraph" w:styleId="49">
    <w:name w:val="Quote"/>
    <w:basedOn w:val="1"/>
    <w:next w:val="1"/>
    <w:link w:val="50"/>
    <w:qFormat/>
    <w:uiPriority w:val="29"/>
    <w:rPr>
      <w:i/>
      <w:iCs/>
      <w:color w:val="000000"/>
    </w:rPr>
  </w:style>
  <w:style w:type="character" w:customStyle="1" w:styleId="50">
    <w:name w:val="引用 字符"/>
    <w:link w:val="49"/>
    <w:qFormat/>
    <w:uiPriority w:val="29"/>
    <w:rPr>
      <w:i/>
      <w:iCs/>
      <w:color w:val="000000"/>
      <w:kern w:val="2"/>
      <w:sz w:val="21"/>
      <w:szCs w:val="21"/>
    </w:rPr>
  </w:style>
  <w:style w:type="character" w:customStyle="1" w:styleId="51">
    <w:name w:val="标题 字符"/>
    <w:link w:val="27"/>
    <w:qFormat/>
    <w:uiPriority w:val="0"/>
    <w:rPr>
      <w:rFonts w:ascii="Arial" w:hAnsi="Arial" w:cs="Arial"/>
      <w:b/>
      <w:bCs/>
      <w:kern w:val="2"/>
      <w:sz w:val="32"/>
      <w:szCs w:val="32"/>
    </w:rPr>
  </w:style>
  <w:style w:type="paragraph" w:customStyle="1" w:styleId="52">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3">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4">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5">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6">
    <w:name w:val="标准书眉一"/>
    <w:qFormat/>
    <w:uiPriority w:val="0"/>
    <w:pPr>
      <w:jc w:val="both"/>
    </w:pPr>
    <w:rPr>
      <w:rFonts w:ascii="Times New Roman" w:hAnsi="Times New Roman" w:eastAsia="宋体" w:cs="Times New Roman"/>
      <w:lang w:val="en-US" w:eastAsia="zh-CN" w:bidi="ar-SA"/>
    </w:rPr>
  </w:style>
  <w:style w:type="paragraph" w:customStyle="1" w:styleId="57">
    <w:name w:val="标准文件_ICS"/>
    <w:basedOn w:val="1"/>
    <w:qFormat/>
    <w:uiPriority w:val="0"/>
    <w:pPr>
      <w:spacing w:line="0" w:lineRule="atLeast"/>
    </w:pPr>
    <w:rPr>
      <w:rFonts w:ascii="黑体" w:hAnsi="宋体" w:eastAsia="黑体"/>
    </w:rPr>
  </w:style>
  <w:style w:type="paragraph" w:customStyle="1" w:styleId="58">
    <w:name w:val="标准文件_标准正文"/>
    <w:basedOn w:val="1"/>
    <w:next w:val="59"/>
    <w:qFormat/>
    <w:uiPriority w:val="0"/>
    <w:pPr>
      <w:snapToGrid w:val="0"/>
      <w:ind w:firstLine="200" w:firstLineChars="200"/>
    </w:pPr>
    <w:rPr>
      <w:kern w:val="0"/>
    </w:rPr>
  </w:style>
  <w:style w:type="paragraph" w:customStyle="1" w:styleId="59">
    <w:name w:val="标准文件_段"/>
    <w:link w:val="187"/>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0">
    <w:name w:val="标准文件_版本"/>
    <w:basedOn w:val="58"/>
    <w:qFormat/>
    <w:uiPriority w:val="0"/>
    <w:pPr>
      <w:adjustRightInd/>
      <w:snapToGrid/>
      <w:ind w:firstLine="0" w:firstLineChars="0"/>
    </w:pPr>
    <w:rPr>
      <w:rFonts w:ascii="宋体" w:hAnsi="宋体"/>
      <w:kern w:val="2"/>
    </w:rPr>
  </w:style>
  <w:style w:type="paragraph" w:customStyle="1" w:styleId="61">
    <w:name w:val="标准文件_标准部门"/>
    <w:basedOn w:val="1"/>
    <w:qFormat/>
    <w:uiPriority w:val="0"/>
    <w:pPr>
      <w:jc w:val="center"/>
    </w:pPr>
    <w:rPr>
      <w:rFonts w:ascii="黑体" w:eastAsia="黑体"/>
      <w:kern w:val="0"/>
      <w:sz w:val="44"/>
    </w:rPr>
  </w:style>
  <w:style w:type="paragraph" w:customStyle="1" w:styleId="62">
    <w:name w:val="标准文件_标准代替"/>
    <w:basedOn w:val="1"/>
    <w:next w:val="1"/>
    <w:qFormat/>
    <w:uiPriority w:val="0"/>
    <w:pPr>
      <w:spacing w:line="310" w:lineRule="exact"/>
      <w:jc w:val="right"/>
    </w:pPr>
    <w:rPr>
      <w:rFonts w:ascii="宋体" w:hAnsi="宋体"/>
      <w:kern w:val="0"/>
    </w:rPr>
  </w:style>
  <w:style w:type="paragraph" w:customStyle="1" w:styleId="63">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4">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5">
    <w:name w:val="标准文件_页眉偶数页"/>
    <w:basedOn w:val="64"/>
    <w:next w:val="1"/>
    <w:qFormat/>
    <w:uiPriority w:val="0"/>
    <w:pPr>
      <w:jc w:val="left"/>
    </w:pPr>
  </w:style>
  <w:style w:type="paragraph" w:customStyle="1" w:styleId="66">
    <w:name w:val="标准文件_参考文献标题"/>
    <w:basedOn w:val="1"/>
    <w:next w:val="1"/>
    <w:qFormat/>
    <w:uiPriority w:val="0"/>
    <w:pPr>
      <w:widowControl/>
      <w:shd w:val="clear" w:color="FFFFFF" w:fill="FFFFFF"/>
      <w:adjustRightInd/>
      <w:spacing w:before="560" w:after="50" w:afterLines="50" w:line="240" w:lineRule="auto"/>
      <w:jc w:val="center"/>
      <w:outlineLvl w:val="0"/>
    </w:pPr>
    <w:rPr>
      <w:rFonts w:ascii="黑体" w:eastAsia="黑体"/>
      <w:kern w:val="0"/>
    </w:rPr>
  </w:style>
  <w:style w:type="paragraph" w:customStyle="1" w:styleId="67">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8">
    <w:name w:val="标准文件_二级条标题"/>
    <w:next w:val="5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9">
    <w:name w:val="标准文件_发布"/>
    <w:qFormat/>
    <w:uiPriority w:val="0"/>
    <w:rPr>
      <w:rFonts w:ascii="黑体" w:eastAsia="黑体"/>
      <w:spacing w:val="0"/>
      <w:w w:val="100"/>
      <w:position w:val="3"/>
      <w:sz w:val="28"/>
    </w:rPr>
  </w:style>
  <w:style w:type="paragraph" w:customStyle="1" w:styleId="70">
    <w:name w:val="标准文件_方框数字列项"/>
    <w:basedOn w:val="59"/>
    <w:qFormat/>
    <w:uiPriority w:val="0"/>
    <w:pPr>
      <w:numPr>
        <w:ilvl w:val="0"/>
        <w:numId w:val="3"/>
      </w:numPr>
      <w:ind w:firstLine="0" w:firstLineChars="0"/>
    </w:pPr>
  </w:style>
  <w:style w:type="paragraph" w:customStyle="1" w:styleId="71">
    <w:name w:val="标准文件_封面标准编号"/>
    <w:basedOn w:val="1"/>
    <w:next w:val="62"/>
    <w:qFormat/>
    <w:uiPriority w:val="0"/>
    <w:pPr>
      <w:spacing w:line="310" w:lineRule="exact"/>
      <w:jc w:val="right"/>
    </w:pPr>
    <w:rPr>
      <w:rFonts w:ascii="黑体" w:eastAsia="黑体"/>
      <w:kern w:val="0"/>
      <w:sz w:val="28"/>
    </w:rPr>
  </w:style>
  <w:style w:type="paragraph" w:customStyle="1" w:styleId="72">
    <w:name w:val="标准文件_封面标准分类号"/>
    <w:basedOn w:val="1"/>
    <w:qFormat/>
    <w:uiPriority w:val="0"/>
    <w:rPr>
      <w:rFonts w:ascii="黑体" w:eastAsia="黑体"/>
      <w:b/>
      <w:kern w:val="0"/>
      <w:sz w:val="28"/>
    </w:rPr>
  </w:style>
  <w:style w:type="paragraph" w:customStyle="1" w:styleId="73">
    <w:name w:val="标准文件_封面标准名称"/>
    <w:basedOn w:val="1"/>
    <w:qFormat/>
    <w:uiPriority w:val="0"/>
    <w:pPr>
      <w:spacing w:line="240" w:lineRule="auto"/>
      <w:jc w:val="center"/>
    </w:pPr>
    <w:rPr>
      <w:rFonts w:ascii="黑体" w:eastAsia="黑体"/>
      <w:kern w:val="0"/>
      <w:sz w:val="52"/>
    </w:rPr>
  </w:style>
  <w:style w:type="paragraph" w:customStyle="1" w:styleId="74">
    <w:name w:val="标准文件_封面标准英文名称"/>
    <w:basedOn w:val="1"/>
    <w:qFormat/>
    <w:uiPriority w:val="0"/>
    <w:pPr>
      <w:spacing w:line="240" w:lineRule="auto"/>
      <w:jc w:val="center"/>
    </w:pPr>
    <w:rPr>
      <w:rFonts w:ascii="黑体" w:eastAsia="黑体"/>
      <w:b/>
      <w:sz w:val="28"/>
    </w:rPr>
  </w:style>
  <w:style w:type="paragraph" w:customStyle="1" w:styleId="75">
    <w:name w:val="标准文件_封面发布日期"/>
    <w:basedOn w:val="1"/>
    <w:qFormat/>
    <w:uiPriority w:val="0"/>
    <w:pPr>
      <w:spacing w:line="310" w:lineRule="exact"/>
    </w:pPr>
    <w:rPr>
      <w:rFonts w:ascii="黑体" w:eastAsia="黑体"/>
      <w:kern w:val="0"/>
      <w:sz w:val="28"/>
    </w:rPr>
  </w:style>
  <w:style w:type="paragraph" w:customStyle="1" w:styleId="76">
    <w:name w:val="标准文件_封面密级"/>
    <w:basedOn w:val="1"/>
    <w:qFormat/>
    <w:uiPriority w:val="0"/>
    <w:rPr>
      <w:rFonts w:eastAsia="黑体"/>
      <w:sz w:val="32"/>
    </w:rPr>
  </w:style>
  <w:style w:type="paragraph" w:customStyle="1" w:styleId="77">
    <w:name w:val="标准文件_封面实施日期"/>
    <w:basedOn w:val="1"/>
    <w:qFormat/>
    <w:uiPriority w:val="0"/>
    <w:pPr>
      <w:spacing w:line="310" w:lineRule="exact"/>
      <w:jc w:val="right"/>
    </w:pPr>
    <w:rPr>
      <w:rFonts w:ascii="黑体" w:eastAsia="黑体"/>
      <w:sz w:val="28"/>
    </w:rPr>
  </w:style>
  <w:style w:type="paragraph" w:customStyle="1" w:styleId="78">
    <w:name w:val="标准文件_封面抬头"/>
    <w:basedOn w:val="59"/>
    <w:qFormat/>
    <w:uiPriority w:val="0"/>
    <w:pPr>
      <w:adjustRightInd w:val="0"/>
      <w:spacing w:line="800" w:lineRule="exact"/>
      <w:ind w:firstLine="0" w:firstLineChars="0"/>
      <w:jc w:val="distribute"/>
    </w:pPr>
    <w:rPr>
      <w:rFonts w:ascii="黑体" w:eastAsia="黑体"/>
      <w:b/>
      <w:sz w:val="64"/>
    </w:rPr>
  </w:style>
  <w:style w:type="paragraph" w:customStyle="1" w:styleId="79">
    <w:name w:val="标准文件_附录标识"/>
    <w:next w:val="59"/>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80">
    <w:name w:val="标准文件_附录表标题"/>
    <w:next w:val="59"/>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81">
    <w:name w:val="标准文件_附录一级条标题"/>
    <w:next w:val="59"/>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2">
    <w:name w:val="标准文件_附录二级条标题"/>
    <w:basedOn w:val="81"/>
    <w:next w:val="59"/>
    <w:qFormat/>
    <w:uiPriority w:val="0"/>
    <w:pPr>
      <w:widowControl/>
      <w:numPr>
        <w:ilvl w:val="2"/>
      </w:numPr>
      <w:wordWrap w:val="0"/>
      <w:overflowPunct w:val="0"/>
      <w:autoSpaceDE w:val="0"/>
      <w:autoSpaceDN w:val="0"/>
      <w:textAlignment w:val="baseline"/>
      <w:outlineLvl w:val="3"/>
    </w:pPr>
  </w:style>
  <w:style w:type="paragraph" w:customStyle="1" w:styleId="83">
    <w:name w:val="标准文件_附录公式"/>
    <w:basedOn w:val="58"/>
    <w:next w:val="58"/>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4">
    <w:name w:val="标准文件_附录三级条标题"/>
    <w:next w:val="59"/>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5">
    <w:name w:val="标准文件_附录四级条标题"/>
    <w:next w:val="59"/>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6">
    <w:name w:val="标准文件_附录图标题"/>
    <w:next w:val="59"/>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7">
    <w:name w:val="标准文件_附录五级条标题"/>
    <w:next w:val="59"/>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8">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9">
    <w:name w:val="正文文本 字符"/>
    <w:link w:val="14"/>
    <w:qFormat/>
    <w:uiPriority w:val="0"/>
    <w:rPr>
      <w:kern w:val="2"/>
      <w:sz w:val="21"/>
      <w:szCs w:val="21"/>
    </w:rPr>
  </w:style>
  <w:style w:type="paragraph" w:customStyle="1" w:styleId="90">
    <w:name w:val="标准文件_附录章标题"/>
    <w:next w:val="59"/>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1">
    <w:name w:val="标准文件_公式后的破折号"/>
    <w:basedOn w:val="59"/>
    <w:next w:val="59"/>
    <w:qFormat/>
    <w:uiPriority w:val="0"/>
    <w:pPr>
      <w:ind w:left="488" w:leftChars="200" w:hanging="289" w:hangingChars="290"/>
    </w:pPr>
  </w:style>
  <w:style w:type="paragraph" w:customStyle="1" w:styleId="92">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3">
    <w:name w:val="标准文件_目次、标准名称标题"/>
    <w:basedOn w:val="92"/>
    <w:next w:val="59"/>
    <w:qFormat/>
    <w:uiPriority w:val="0"/>
    <w:pPr>
      <w:spacing w:line="460" w:lineRule="exact"/>
      <w:ind w:left="0" w:firstLine="0"/>
    </w:pPr>
  </w:style>
  <w:style w:type="paragraph" w:customStyle="1" w:styleId="94">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5">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6">
    <w:name w:val="标准文件_破折号列项（二级）"/>
    <w:basedOn w:val="95"/>
    <w:qFormat/>
    <w:uiPriority w:val="0"/>
    <w:pPr>
      <w:numPr>
        <w:numId w:val="10"/>
      </w:numPr>
    </w:pPr>
  </w:style>
  <w:style w:type="paragraph" w:customStyle="1" w:styleId="97">
    <w:name w:val="标准文件_三级条标题"/>
    <w:basedOn w:val="68"/>
    <w:next w:val="59"/>
    <w:qFormat/>
    <w:uiPriority w:val="0"/>
    <w:pPr>
      <w:widowControl/>
      <w:numPr>
        <w:ilvl w:val="4"/>
      </w:numPr>
      <w:outlineLvl w:val="3"/>
    </w:pPr>
  </w:style>
  <w:style w:type="character" w:customStyle="1" w:styleId="98">
    <w:name w:val="不明显参考1"/>
    <w:qFormat/>
    <w:uiPriority w:val="31"/>
    <w:rPr>
      <w:smallCaps/>
      <w:color w:val="C0504D"/>
      <w:u w:val="single"/>
    </w:rPr>
  </w:style>
  <w:style w:type="paragraph" w:customStyle="1" w:styleId="99">
    <w:name w:val="标准文件_示例后续"/>
    <w:basedOn w:val="1"/>
    <w:qFormat/>
    <w:uiPriority w:val="0"/>
    <w:pPr>
      <w:adjustRightInd/>
      <w:spacing w:line="240" w:lineRule="auto"/>
      <w:ind w:firstLine="200" w:firstLineChars="200"/>
    </w:pPr>
    <w:rPr>
      <w:sz w:val="18"/>
      <w:szCs w:val="24"/>
    </w:rPr>
  </w:style>
  <w:style w:type="paragraph" w:customStyle="1" w:styleId="100">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1">
    <w:name w:val="标准文件_四级条标题"/>
    <w:next w:val="59"/>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2">
    <w:name w:val="脚注文本 字符"/>
    <w:link w:val="22"/>
    <w:semiHidden/>
    <w:qFormat/>
    <w:uiPriority w:val="0"/>
    <w:rPr>
      <w:rFonts w:ascii="宋体"/>
      <w:kern w:val="2"/>
      <w:sz w:val="18"/>
      <w:szCs w:val="18"/>
    </w:rPr>
  </w:style>
  <w:style w:type="paragraph" w:customStyle="1" w:styleId="103">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4">
    <w:name w:val="标准文件_图表脚注"/>
    <w:basedOn w:val="1"/>
    <w:next w:val="59"/>
    <w:qFormat/>
    <w:uiPriority w:val="0"/>
    <w:pPr>
      <w:numPr>
        <w:ilvl w:val="0"/>
        <w:numId w:val="12"/>
      </w:numPr>
      <w:spacing w:line="240" w:lineRule="auto"/>
      <w:jc w:val="left"/>
    </w:pPr>
    <w:rPr>
      <w:rFonts w:ascii="宋体" w:hAnsi="宋体"/>
      <w:sz w:val="18"/>
    </w:rPr>
  </w:style>
  <w:style w:type="character" w:customStyle="1" w:styleId="105">
    <w:name w:val="标准文件_图表脚注内容"/>
    <w:qFormat/>
    <w:uiPriority w:val="0"/>
    <w:rPr>
      <w:rFonts w:ascii="宋体" w:hAnsi="宋体" w:eastAsia="宋体" w:cs="Times New Roman"/>
      <w:spacing w:val="0"/>
      <w:sz w:val="18"/>
      <w:vertAlign w:val="superscript"/>
    </w:rPr>
  </w:style>
  <w:style w:type="paragraph" w:customStyle="1" w:styleId="106">
    <w:name w:val="标准文件_五级条标题"/>
    <w:next w:val="59"/>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7">
    <w:name w:val="标准文件_章标题"/>
    <w:next w:val="59"/>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8">
    <w:name w:val="标准文件_一级条标题"/>
    <w:basedOn w:val="107"/>
    <w:next w:val="59"/>
    <w:qFormat/>
    <w:uiPriority w:val="0"/>
    <w:pPr>
      <w:numPr>
        <w:ilvl w:val="2"/>
      </w:numPr>
      <w:spacing w:before="50" w:beforeLines="50" w:after="50" w:afterLines="50"/>
      <w:outlineLvl w:val="1"/>
    </w:pPr>
  </w:style>
  <w:style w:type="paragraph" w:customStyle="1" w:styleId="109">
    <w:name w:val="标准文件_一致程度"/>
    <w:basedOn w:val="1"/>
    <w:qFormat/>
    <w:uiPriority w:val="0"/>
    <w:pPr>
      <w:spacing w:line="440" w:lineRule="exact"/>
      <w:jc w:val="center"/>
    </w:pPr>
    <w:rPr>
      <w:sz w:val="28"/>
    </w:rPr>
  </w:style>
  <w:style w:type="paragraph" w:customStyle="1" w:styleId="110">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1">
    <w:name w:val="标准文件_英文图表脚注"/>
    <w:basedOn w:val="58"/>
    <w:qFormat/>
    <w:uiPriority w:val="0"/>
    <w:pPr>
      <w:widowControl/>
      <w:adjustRightInd/>
      <w:snapToGrid/>
      <w:spacing w:line="240" w:lineRule="auto"/>
      <w:ind w:left="79" w:hanging="79" w:hangingChars="80"/>
    </w:pPr>
    <w:rPr>
      <w:rFonts w:ascii="宋体" w:hAnsi="宋体"/>
    </w:rPr>
  </w:style>
  <w:style w:type="paragraph" w:customStyle="1" w:styleId="112">
    <w:name w:val="标准文件_数字编号列项（二级）"/>
    <w:qFormat/>
    <w:uiPriority w:val="0"/>
    <w:pPr>
      <w:numPr>
        <w:ilvl w:val="1"/>
        <w:numId w:val="13"/>
      </w:numPr>
      <w:tabs>
        <w:tab w:val="left" w:pos="851"/>
      </w:tabs>
      <w:jc w:val="both"/>
    </w:pPr>
    <w:rPr>
      <w:rFonts w:ascii="宋体" w:hAnsi="Times New Roman" w:eastAsia="宋体" w:cs="Times New Roman"/>
      <w:sz w:val="21"/>
      <w:lang w:val="en-US" w:eastAsia="zh-CN" w:bidi="ar-SA"/>
    </w:rPr>
  </w:style>
  <w:style w:type="paragraph" w:customStyle="1" w:styleId="113">
    <w:name w:val="标准文件_英文注："/>
    <w:basedOn w:val="1"/>
    <w:next w:val="59"/>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4">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5">
    <w:name w:val="标准文件_正文表标题"/>
    <w:next w:val="59"/>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6">
    <w:name w:val="标准文件_正文公式"/>
    <w:basedOn w:val="1"/>
    <w:next w:val="58"/>
    <w:qFormat/>
    <w:uiPriority w:val="0"/>
    <w:pPr>
      <w:tabs>
        <w:tab w:val="center" w:pos="4678"/>
        <w:tab w:val="right" w:leader="middleDot" w:pos="9356"/>
      </w:tabs>
      <w:spacing w:line="240" w:lineRule="auto"/>
    </w:pPr>
    <w:rPr>
      <w:rFonts w:ascii="宋体" w:hAnsi="宋体"/>
    </w:rPr>
  </w:style>
  <w:style w:type="paragraph" w:customStyle="1" w:styleId="117">
    <w:name w:val="标准文件_正文图标题"/>
    <w:next w:val="59"/>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8">
    <w:name w:val="标准文件_正文英文表标题"/>
    <w:next w:val="59"/>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9">
    <w:name w:val="标准文件_正文英文图标题"/>
    <w:next w:val="59"/>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0">
    <w:name w:val="标准文件_编号列项（三级）"/>
    <w:qFormat/>
    <w:uiPriority w:val="0"/>
    <w:pPr>
      <w:numPr>
        <w:ilvl w:val="2"/>
        <w:numId w:val="13"/>
      </w:numPr>
      <w:tabs>
        <w:tab w:val="left" w:pos="851"/>
      </w:tabs>
    </w:pPr>
    <w:rPr>
      <w:rFonts w:ascii="宋体" w:hAnsi="Times New Roman" w:eastAsia="宋体" w:cs="Times New Roman"/>
      <w:sz w:val="21"/>
      <w:lang w:val="en-US" w:eastAsia="zh-CN" w:bidi="ar-SA"/>
    </w:rPr>
  </w:style>
  <w:style w:type="paragraph" w:customStyle="1" w:styleId="121">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2">
    <w:name w:val="发布部门"/>
    <w:next w:val="59"/>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3">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4">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5">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6">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7">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8">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9">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0">
    <w:name w:val="封面正文"/>
    <w:qFormat/>
    <w:uiPriority w:val="0"/>
    <w:pPr>
      <w:jc w:val="both"/>
    </w:pPr>
    <w:rPr>
      <w:rFonts w:ascii="Times New Roman" w:hAnsi="Times New Roman" w:eastAsia="宋体" w:cs="Times New Roman"/>
      <w:lang w:val="en-US" w:eastAsia="zh-CN" w:bidi="ar-SA"/>
    </w:rPr>
  </w:style>
  <w:style w:type="paragraph" w:customStyle="1" w:styleId="131">
    <w:name w:val="附录二级无标题条"/>
    <w:basedOn w:val="1"/>
    <w:next w:val="59"/>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2">
    <w:name w:val="附录三级无标题条"/>
    <w:basedOn w:val="131"/>
    <w:next w:val="59"/>
    <w:qFormat/>
    <w:uiPriority w:val="0"/>
    <w:pPr>
      <w:outlineLvl w:val="4"/>
    </w:pPr>
  </w:style>
  <w:style w:type="paragraph" w:customStyle="1" w:styleId="133">
    <w:name w:val="附录四级无标题条"/>
    <w:basedOn w:val="132"/>
    <w:next w:val="59"/>
    <w:qFormat/>
    <w:uiPriority w:val="0"/>
    <w:pPr>
      <w:outlineLvl w:val="5"/>
    </w:pPr>
  </w:style>
  <w:style w:type="paragraph" w:customStyle="1" w:styleId="134">
    <w:name w:val="附录图"/>
    <w:next w:val="59"/>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5">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6">
    <w:name w:val="附录五级无标题条"/>
    <w:basedOn w:val="133"/>
    <w:next w:val="59"/>
    <w:qFormat/>
    <w:uiPriority w:val="0"/>
    <w:pPr>
      <w:outlineLvl w:val="6"/>
    </w:pPr>
  </w:style>
  <w:style w:type="paragraph" w:customStyle="1" w:styleId="137">
    <w:name w:val="附录性质"/>
    <w:basedOn w:val="1"/>
    <w:qFormat/>
    <w:uiPriority w:val="0"/>
    <w:pPr>
      <w:widowControl/>
      <w:adjustRightInd/>
      <w:jc w:val="center"/>
    </w:pPr>
    <w:rPr>
      <w:rFonts w:ascii="黑体" w:eastAsia="黑体"/>
    </w:rPr>
  </w:style>
  <w:style w:type="paragraph" w:customStyle="1" w:styleId="138">
    <w:name w:val="附录一级无标题条"/>
    <w:basedOn w:val="90"/>
    <w:next w:val="59"/>
    <w:qFormat/>
    <w:uiPriority w:val="0"/>
    <w:pPr>
      <w:autoSpaceDN w:val="0"/>
      <w:outlineLvl w:val="2"/>
    </w:pPr>
    <w:rPr>
      <w:rFonts w:ascii="宋体" w:hAnsi="宋体" w:eastAsia="宋体"/>
    </w:rPr>
  </w:style>
  <w:style w:type="character" w:customStyle="1" w:styleId="139">
    <w:name w:val="个人答复风格"/>
    <w:qFormat/>
    <w:uiPriority w:val="0"/>
    <w:rPr>
      <w:rFonts w:ascii="Arial" w:hAnsi="Arial" w:eastAsia="宋体" w:cs="Arial"/>
      <w:color w:val="auto"/>
      <w:spacing w:val="0"/>
      <w:sz w:val="20"/>
    </w:rPr>
  </w:style>
  <w:style w:type="character" w:customStyle="1" w:styleId="140">
    <w:name w:val="个人撰写风格"/>
    <w:qFormat/>
    <w:uiPriority w:val="0"/>
    <w:rPr>
      <w:rFonts w:ascii="Arial" w:hAnsi="Arial" w:eastAsia="宋体" w:cs="Arial"/>
      <w:color w:val="auto"/>
      <w:spacing w:val="0"/>
      <w:sz w:val="20"/>
    </w:rPr>
  </w:style>
  <w:style w:type="paragraph" w:customStyle="1" w:styleId="141">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2">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3">
    <w:name w:val="列项·"/>
    <w:basedOn w:val="59"/>
    <w:qFormat/>
    <w:uiPriority w:val="0"/>
    <w:pPr>
      <w:tabs>
        <w:tab w:val="left" w:pos="840"/>
      </w:tabs>
    </w:pPr>
  </w:style>
  <w:style w:type="paragraph" w:customStyle="1" w:styleId="144">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5">
    <w:name w:val="目录 21"/>
    <w:basedOn w:val="1"/>
    <w:next w:val="1"/>
    <w:autoRedefine/>
    <w:semiHidden/>
    <w:qFormat/>
    <w:uiPriority w:val="0"/>
    <w:pPr>
      <w:adjustRightInd/>
      <w:spacing w:line="240" w:lineRule="auto"/>
      <w:jc w:val="left"/>
    </w:pPr>
    <w:rPr>
      <w:bCs/>
      <w:iCs/>
    </w:rPr>
  </w:style>
  <w:style w:type="paragraph" w:customStyle="1" w:styleId="146">
    <w:name w:val="目录 31"/>
    <w:basedOn w:val="1"/>
    <w:next w:val="1"/>
    <w:autoRedefine/>
    <w:semiHidden/>
    <w:qFormat/>
    <w:uiPriority w:val="0"/>
    <w:pPr>
      <w:spacing w:line="240" w:lineRule="auto"/>
    </w:pPr>
    <w:rPr>
      <w:rFonts w:ascii="宋体" w:hAnsi="宋体"/>
      <w:iCs/>
    </w:rPr>
  </w:style>
  <w:style w:type="paragraph" w:customStyle="1" w:styleId="147">
    <w:name w:val="目录 41"/>
    <w:basedOn w:val="1"/>
    <w:next w:val="1"/>
    <w:autoRedefine/>
    <w:semiHidden/>
    <w:qFormat/>
    <w:uiPriority w:val="0"/>
    <w:pPr>
      <w:adjustRightInd/>
      <w:spacing w:line="240" w:lineRule="auto"/>
      <w:jc w:val="left"/>
    </w:pPr>
  </w:style>
  <w:style w:type="paragraph" w:customStyle="1" w:styleId="148">
    <w:name w:val="目录 51"/>
    <w:basedOn w:val="1"/>
    <w:next w:val="1"/>
    <w:autoRedefine/>
    <w:semiHidden/>
    <w:qFormat/>
    <w:uiPriority w:val="0"/>
    <w:pPr>
      <w:spacing w:line="240" w:lineRule="auto"/>
    </w:pPr>
    <w:rPr>
      <w:rFonts w:ascii="宋体" w:hAnsi="宋体"/>
    </w:rPr>
  </w:style>
  <w:style w:type="paragraph" w:customStyle="1" w:styleId="149">
    <w:name w:val="目录 61"/>
    <w:basedOn w:val="1"/>
    <w:next w:val="1"/>
    <w:autoRedefine/>
    <w:semiHidden/>
    <w:qFormat/>
    <w:uiPriority w:val="0"/>
    <w:pPr>
      <w:adjustRightInd/>
      <w:spacing w:line="240" w:lineRule="auto"/>
      <w:jc w:val="left"/>
    </w:pPr>
  </w:style>
  <w:style w:type="paragraph" w:customStyle="1" w:styleId="150">
    <w:name w:val="目录 71"/>
    <w:basedOn w:val="149"/>
    <w:autoRedefine/>
    <w:semiHidden/>
    <w:qFormat/>
    <w:uiPriority w:val="0"/>
    <w:pPr>
      <w:ind w:left="1260"/>
    </w:pPr>
  </w:style>
  <w:style w:type="paragraph" w:customStyle="1" w:styleId="151">
    <w:name w:val="目录 81"/>
    <w:basedOn w:val="150"/>
    <w:autoRedefine/>
    <w:semiHidden/>
    <w:qFormat/>
    <w:uiPriority w:val="0"/>
    <w:pPr>
      <w:ind w:left="1470"/>
    </w:pPr>
  </w:style>
  <w:style w:type="paragraph" w:customStyle="1" w:styleId="152">
    <w:name w:val="目录 91"/>
    <w:basedOn w:val="151"/>
    <w:autoRedefine/>
    <w:semiHidden/>
    <w:qFormat/>
    <w:uiPriority w:val="0"/>
    <w:pPr>
      <w:ind w:left="1680"/>
    </w:pPr>
  </w:style>
  <w:style w:type="paragraph" w:customStyle="1" w:styleId="15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4">
    <w:name w:val="其他发布部门"/>
    <w:basedOn w:val="122"/>
    <w:qFormat/>
    <w:uiPriority w:val="0"/>
    <w:pPr>
      <w:framePr w:wrap="around"/>
      <w:spacing w:line="0" w:lineRule="atLeast"/>
    </w:pPr>
    <w:rPr>
      <w:rFonts w:ascii="黑体" w:eastAsia="黑体"/>
      <w:b w:val="0"/>
    </w:rPr>
  </w:style>
  <w:style w:type="paragraph" w:customStyle="1" w:styleId="155">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6">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7">
    <w:name w:val="实施日期"/>
    <w:basedOn w:val="123"/>
    <w:qFormat/>
    <w:uiPriority w:val="0"/>
    <w:pPr>
      <w:framePr w:hSpace="0" w:wrap="around" w:xAlign="right"/>
      <w:jc w:val="right"/>
    </w:pPr>
  </w:style>
  <w:style w:type="paragraph" w:customStyle="1" w:styleId="158">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9">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0">
    <w:name w:val="无标题条"/>
    <w:next w:val="59"/>
    <w:qFormat/>
    <w:uiPriority w:val="0"/>
    <w:pPr>
      <w:jc w:val="both"/>
    </w:pPr>
    <w:rPr>
      <w:rFonts w:ascii="宋体" w:hAnsi="宋体" w:eastAsia="宋体" w:cs="Times New Roman"/>
      <w:sz w:val="21"/>
      <w:lang w:val="en-US" w:eastAsia="zh-CN" w:bidi="ar-SA"/>
    </w:rPr>
  </w:style>
  <w:style w:type="paragraph" w:customStyle="1" w:styleId="161">
    <w:name w:val="五级无标题条"/>
    <w:basedOn w:val="1"/>
    <w:qFormat/>
    <w:uiPriority w:val="0"/>
    <w:pPr>
      <w:numPr>
        <w:ilvl w:val="6"/>
        <w:numId w:val="20"/>
      </w:numPr>
      <w:adjustRightInd/>
    </w:pPr>
    <w:rPr>
      <w:szCs w:val="24"/>
    </w:rPr>
  </w:style>
  <w:style w:type="paragraph" w:customStyle="1" w:styleId="162">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3">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4">
    <w:name w:val="注×:后续"/>
    <w:basedOn w:val="163"/>
    <w:qFormat/>
    <w:uiPriority w:val="0"/>
    <w:pPr>
      <w:ind w:left="1406" w:leftChars="0" w:hanging="499" w:firstLineChars="0"/>
    </w:pPr>
  </w:style>
  <w:style w:type="paragraph" w:customStyle="1" w:styleId="165">
    <w:name w:val="标准文件_一级无标题"/>
    <w:basedOn w:val="108"/>
    <w:qFormat/>
    <w:uiPriority w:val="0"/>
    <w:pPr>
      <w:spacing w:before="0" w:beforeLines="0" w:after="0" w:afterLines="0"/>
      <w:outlineLvl w:val="9"/>
    </w:pPr>
    <w:rPr>
      <w:rFonts w:ascii="宋体" w:eastAsia="宋体"/>
    </w:rPr>
  </w:style>
  <w:style w:type="paragraph" w:customStyle="1" w:styleId="166">
    <w:name w:val="标准文件_五级无标题"/>
    <w:basedOn w:val="106"/>
    <w:qFormat/>
    <w:uiPriority w:val="0"/>
    <w:pPr>
      <w:spacing w:before="0" w:beforeLines="0" w:after="0" w:afterLines="0"/>
      <w:outlineLvl w:val="9"/>
    </w:pPr>
    <w:rPr>
      <w:rFonts w:ascii="宋体" w:eastAsia="宋体"/>
    </w:rPr>
  </w:style>
  <w:style w:type="paragraph" w:customStyle="1" w:styleId="167">
    <w:name w:val="标准文件_三级无标题"/>
    <w:basedOn w:val="97"/>
    <w:qFormat/>
    <w:uiPriority w:val="0"/>
    <w:pPr>
      <w:spacing w:before="0" w:beforeLines="0" w:after="0" w:afterLines="0"/>
      <w:outlineLvl w:val="9"/>
    </w:pPr>
    <w:rPr>
      <w:rFonts w:ascii="宋体" w:eastAsia="宋体"/>
    </w:rPr>
  </w:style>
  <w:style w:type="paragraph" w:customStyle="1" w:styleId="168">
    <w:name w:val="标准文件_二级无标题"/>
    <w:basedOn w:val="68"/>
    <w:qFormat/>
    <w:uiPriority w:val="0"/>
    <w:pPr>
      <w:spacing w:before="0" w:beforeLines="0" w:after="0" w:afterLines="0"/>
      <w:outlineLvl w:val="9"/>
    </w:pPr>
    <w:rPr>
      <w:rFonts w:ascii="宋体" w:eastAsia="宋体"/>
    </w:rPr>
  </w:style>
  <w:style w:type="paragraph" w:customStyle="1" w:styleId="169">
    <w:name w:val="标准_四级无标题"/>
    <w:basedOn w:val="101"/>
    <w:next w:val="59"/>
    <w:qFormat/>
    <w:uiPriority w:val="0"/>
    <w:rPr>
      <w:rFonts w:eastAsia="宋体"/>
    </w:rPr>
  </w:style>
  <w:style w:type="paragraph" w:customStyle="1" w:styleId="170">
    <w:name w:val="标准文件_四级无标题"/>
    <w:basedOn w:val="101"/>
    <w:qFormat/>
    <w:uiPriority w:val="0"/>
    <w:pPr>
      <w:spacing w:before="0" w:beforeLines="0" w:after="0" w:afterLines="0"/>
      <w:outlineLvl w:val="9"/>
    </w:pPr>
    <w:rPr>
      <w:rFonts w:ascii="宋体" w:hAnsi="黑体" w:eastAsia="宋体"/>
      <w:szCs w:val="52"/>
    </w:rPr>
  </w:style>
  <w:style w:type="paragraph" w:customStyle="1" w:styleId="171">
    <w:name w:val="标准文件_大写罗马数字编号列项"/>
    <w:basedOn w:val="59"/>
    <w:qFormat/>
    <w:uiPriority w:val="0"/>
    <w:pPr>
      <w:numPr>
        <w:ilvl w:val="0"/>
        <w:numId w:val="23"/>
      </w:numPr>
      <w:ind w:firstLine="0" w:firstLineChars="0"/>
    </w:pPr>
    <w:rPr>
      <w:rFonts w:ascii="Times New Roman" w:cs="Arial"/>
      <w:szCs w:val="28"/>
    </w:rPr>
  </w:style>
  <w:style w:type="paragraph" w:customStyle="1" w:styleId="172">
    <w:name w:val="标准文件_小写罗马数字编号列项"/>
    <w:basedOn w:val="59"/>
    <w:qFormat/>
    <w:uiPriority w:val="0"/>
    <w:pPr>
      <w:numPr>
        <w:ilvl w:val="0"/>
        <w:numId w:val="24"/>
      </w:numPr>
      <w:ind w:firstLine="0" w:firstLineChars="0"/>
    </w:pPr>
    <w:rPr>
      <w:rFonts w:cs="Arial"/>
      <w:szCs w:val="28"/>
    </w:rPr>
  </w:style>
  <w:style w:type="paragraph" w:customStyle="1" w:styleId="173">
    <w:name w:val="标准文件_附录标题"/>
    <w:basedOn w:val="79"/>
    <w:qFormat/>
    <w:uiPriority w:val="0"/>
    <w:pPr>
      <w:numPr>
        <w:numId w:val="0"/>
      </w:numPr>
      <w:spacing w:after="280"/>
      <w:outlineLvl w:val="9"/>
    </w:pPr>
  </w:style>
  <w:style w:type="paragraph" w:customStyle="1" w:styleId="174">
    <w:name w:val="标准文件_二级项"/>
    <w:qFormat/>
    <w:uiPriority w:val="0"/>
    <w:rPr>
      <w:rFonts w:ascii="宋体" w:hAnsi="Times New Roman" w:eastAsia="宋体" w:cs="Times New Roman"/>
      <w:sz w:val="21"/>
      <w:lang w:val="en-US" w:eastAsia="zh-CN" w:bidi="ar-SA"/>
    </w:rPr>
  </w:style>
  <w:style w:type="paragraph" w:customStyle="1" w:styleId="175">
    <w:name w:val="标准文件_三级项"/>
    <w:basedOn w:val="1"/>
    <w:qFormat/>
    <w:uiPriority w:val="0"/>
    <w:pPr>
      <w:numPr>
        <w:ilvl w:val="2"/>
        <w:numId w:val="21"/>
      </w:numPr>
      <w:spacing w:line="536870612" w:lineRule="auto"/>
    </w:pPr>
    <w:rPr>
      <w:rFonts w:ascii="Times New Roman" w:hAnsi="Times New Roman"/>
    </w:rPr>
  </w:style>
  <w:style w:type="paragraph" w:customStyle="1" w:styleId="176">
    <w:name w:val="图表脚注说明"/>
    <w:basedOn w:val="1"/>
    <w:next w:val="59"/>
    <w:qFormat/>
    <w:uiPriority w:val="0"/>
    <w:pPr>
      <w:numPr>
        <w:ilvl w:val="0"/>
        <w:numId w:val="25"/>
      </w:numPr>
      <w:adjustRightInd/>
      <w:spacing w:line="240" w:lineRule="auto"/>
    </w:pPr>
    <w:rPr>
      <w:rFonts w:ascii="宋体" w:hAnsi="Times New Roman"/>
      <w:sz w:val="18"/>
      <w:szCs w:val="18"/>
    </w:rPr>
  </w:style>
  <w:style w:type="paragraph" w:customStyle="1" w:styleId="177">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8">
    <w:name w:val="标准文件_索引字母"/>
    <w:next w:val="59"/>
    <w:qFormat/>
    <w:uiPriority w:val="0"/>
    <w:pPr>
      <w:jc w:val="center"/>
    </w:pPr>
    <w:rPr>
      <w:rFonts w:ascii="宋体" w:hAnsi="宋体" w:eastAsia="Times New Roman" w:cs="Times New Roman"/>
      <w:b/>
      <w:kern w:val="2"/>
      <w:sz w:val="21"/>
      <w:lang w:val="en-US" w:eastAsia="zh-CN" w:bidi="ar-SA"/>
    </w:rPr>
  </w:style>
  <w:style w:type="paragraph" w:customStyle="1" w:styleId="179">
    <w:name w:val="标准文件_附录前"/>
    <w:next w:val="59"/>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0">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81">
    <w:name w:val="标准文件_表格"/>
    <w:basedOn w:val="59"/>
    <w:qFormat/>
    <w:uiPriority w:val="0"/>
    <w:pPr>
      <w:ind w:firstLine="0" w:firstLineChars="0"/>
      <w:jc w:val="center"/>
    </w:pPr>
    <w:rPr>
      <w:sz w:val="18"/>
    </w:rPr>
  </w:style>
  <w:style w:type="paragraph" w:customStyle="1" w:styleId="182">
    <w:name w:val="标准文件_注："/>
    <w:next w:val="59"/>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3">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示例："/>
    <w:next w:val="185"/>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5">
    <w:name w:val="标准文件_示例内容"/>
    <w:basedOn w:val="59"/>
    <w:qFormat/>
    <w:uiPriority w:val="0"/>
    <w:pPr>
      <w:ind w:firstLine="420"/>
    </w:pPr>
    <w:rPr>
      <w:sz w:val="18"/>
    </w:rPr>
  </w:style>
  <w:style w:type="paragraph" w:customStyle="1" w:styleId="186">
    <w:name w:val="标准文件_示例×："/>
    <w:basedOn w:val="1"/>
    <w:next w:val="185"/>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7">
    <w:name w:val="标准文件_段 Char"/>
    <w:link w:val="59"/>
    <w:qFormat/>
    <w:uiPriority w:val="0"/>
    <w:rPr>
      <w:rFonts w:ascii="宋体" w:hAnsi="Times New Roman"/>
      <w:sz w:val="21"/>
    </w:rPr>
  </w:style>
  <w:style w:type="paragraph" w:customStyle="1" w:styleId="188">
    <w:name w:val="标准文件_表格续"/>
    <w:basedOn w:val="59"/>
    <w:next w:val="59"/>
    <w:qFormat/>
    <w:uiPriority w:val="0"/>
    <w:pPr>
      <w:jc w:val="center"/>
    </w:pPr>
    <w:rPr>
      <w:rFonts w:ascii="黑体" w:hAnsi="黑体" w:eastAsia="黑体"/>
    </w:rPr>
  </w:style>
  <w:style w:type="character" w:styleId="189">
    <w:name w:val="Placeholder Text"/>
    <w:basedOn w:val="30"/>
    <w:semiHidden/>
    <w:qFormat/>
    <w:uiPriority w:val="99"/>
    <w:rPr>
      <w:color w:val="808080"/>
    </w:rPr>
  </w:style>
  <w:style w:type="paragraph" w:customStyle="1" w:styleId="190">
    <w:name w:val="标准文件_二级项2"/>
    <w:basedOn w:val="59"/>
    <w:qFormat/>
    <w:uiPriority w:val="0"/>
    <w:pPr>
      <w:numPr>
        <w:ilvl w:val="1"/>
        <w:numId w:val="21"/>
      </w:numPr>
      <w:ind w:firstLine="0" w:firstLineChars="0"/>
    </w:pPr>
  </w:style>
  <w:style w:type="paragraph" w:customStyle="1" w:styleId="191">
    <w:name w:val="标准文件_三级项2"/>
    <w:basedOn w:val="59"/>
    <w:qFormat/>
    <w:uiPriority w:val="0"/>
    <w:pPr>
      <w:numPr>
        <w:ilvl w:val="0"/>
        <w:numId w:val="30"/>
      </w:numPr>
      <w:spacing w:line="300" w:lineRule="exact"/>
      <w:ind w:firstLineChars="0"/>
    </w:pPr>
    <w:rPr>
      <w:rFonts w:ascii="Times New Roman"/>
    </w:rPr>
  </w:style>
  <w:style w:type="paragraph" w:customStyle="1" w:styleId="192">
    <w:name w:val="标准文件_一级项2"/>
    <w:basedOn w:val="59"/>
    <w:qFormat/>
    <w:uiPriority w:val="0"/>
    <w:pPr>
      <w:numPr>
        <w:ilvl w:val="0"/>
        <w:numId w:val="31"/>
      </w:numPr>
      <w:spacing w:line="300" w:lineRule="exact"/>
      <w:ind w:firstLineChars="0"/>
    </w:pPr>
    <w:rPr>
      <w:rFonts w:ascii="Times New Roman"/>
    </w:rPr>
  </w:style>
  <w:style w:type="paragraph" w:customStyle="1" w:styleId="193">
    <w:name w:val="标准文件_提示"/>
    <w:basedOn w:val="59"/>
    <w:next w:val="59"/>
    <w:qFormat/>
    <w:uiPriority w:val="0"/>
    <w:pPr>
      <w:ind w:firstLine="420"/>
    </w:pPr>
    <w:rPr>
      <w:rFonts w:ascii="黑体" w:eastAsia="黑体"/>
    </w:rPr>
  </w:style>
  <w:style w:type="character" w:customStyle="1" w:styleId="194">
    <w:name w:val="标准文件_来源"/>
    <w:basedOn w:val="30"/>
    <w:qFormat/>
    <w:uiPriority w:val="1"/>
    <w:rPr>
      <w:rFonts w:eastAsia="宋体"/>
      <w:sz w:val="21"/>
    </w:rPr>
  </w:style>
  <w:style w:type="paragraph" w:customStyle="1" w:styleId="195">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6">
    <w:name w:val="其他发布日期"/>
    <w:basedOn w:val="123"/>
    <w:qFormat/>
    <w:uiPriority w:val="0"/>
    <w:pPr>
      <w:framePr w:w="3997" w:h="471" w:hRule="exact" w:hSpace="0" w:vSpace="181" w:wrap="around" w:vAnchor="page" w:hAnchor="page" w:x="1419" w:y="14097"/>
    </w:pPr>
  </w:style>
  <w:style w:type="paragraph" w:customStyle="1" w:styleId="197">
    <w:name w:val="其他实施日期"/>
    <w:basedOn w:val="157"/>
    <w:qFormat/>
    <w:uiPriority w:val="0"/>
    <w:pPr>
      <w:framePr w:w="3997" w:h="471" w:hRule="exact" w:vSpace="181" w:wrap="around" w:vAnchor="page" w:hAnchor="page" w:x="7089" w:y="14097"/>
    </w:pPr>
  </w:style>
  <w:style w:type="paragraph" w:customStyle="1" w:styleId="198">
    <w:name w:val="标准文件_文件编号"/>
    <w:basedOn w:val="59"/>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9">
    <w:name w:val="标准文件_替换文件编号"/>
    <w:basedOn w:val="198"/>
    <w:qFormat/>
    <w:uiPriority w:val="0"/>
    <w:pPr>
      <w:framePr/>
      <w:spacing w:before="57"/>
    </w:pPr>
    <w:rPr>
      <w:sz w:val="21"/>
    </w:rPr>
  </w:style>
  <w:style w:type="paragraph" w:customStyle="1" w:styleId="200">
    <w:name w:val="标准文件_文件名称"/>
    <w:basedOn w:val="59"/>
    <w:next w:val="59"/>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1">
    <w:name w:val="标准文件_附录图标号"/>
    <w:basedOn w:val="59"/>
    <w:next w:val="59"/>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2">
    <w:name w:val="标准文件_附录表标号"/>
    <w:basedOn w:val="59"/>
    <w:next w:val="59"/>
    <w:qFormat/>
    <w:uiPriority w:val="0"/>
    <w:pPr>
      <w:numPr>
        <w:ilvl w:val="0"/>
        <w:numId w:val="5"/>
      </w:numPr>
      <w:spacing w:line="14" w:lineRule="exact"/>
      <w:ind w:firstLine="0" w:firstLineChars="0"/>
      <w:jc w:val="center"/>
    </w:pPr>
    <w:rPr>
      <w:rFonts w:eastAsia="黑体"/>
      <w:vanish/>
      <w:sz w:val="2"/>
    </w:rPr>
  </w:style>
  <w:style w:type="paragraph" w:customStyle="1" w:styleId="203">
    <w:name w:val="标准文件_引言一级条标题"/>
    <w:basedOn w:val="59"/>
    <w:next w:val="59"/>
    <w:qFormat/>
    <w:uiPriority w:val="0"/>
    <w:pPr>
      <w:numPr>
        <w:ilvl w:val="1"/>
        <w:numId w:val="8"/>
      </w:numPr>
      <w:spacing w:before="50" w:beforeLines="50" w:after="50" w:afterLines="50"/>
      <w:ind w:firstLineChars="0"/>
    </w:pPr>
    <w:rPr>
      <w:rFonts w:ascii="黑体" w:eastAsia="黑体"/>
    </w:rPr>
  </w:style>
  <w:style w:type="paragraph" w:customStyle="1" w:styleId="204">
    <w:name w:val="标准文件_引言二级条标题"/>
    <w:basedOn w:val="59"/>
    <w:next w:val="59"/>
    <w:qFormat/>
    <w:uiPriority w:val="0"/>
    <w:pPr>
      <w:numPr>
        <w:ilvl w:val="2"/>
        <w:numId w:val="8"/>
      </w:numPr>
      <w:spacing w:before="50" w:beforeLines="50" w:after="50" w:afterLines="50"/>
      <w:ind w:firstLineChars="0"/>
    </w:pPr>
    <w:rPr>
      <w:rFonts w:ascii="黑体" w:eastAsia="黑体"/>
    </w:rPr>
  </w:style>
  <w:style w:type="paragraph" w:customStyle="1" w:styleId="205">
    <w:name w:val="标准文件_引言三级条标题"/>
    <w:basedOn w:val="59"/>
    <w:next w:val="59"/>
    <w:qFormat/>
    <w:uiPriority w:val="0"/>
    <w:pPr>
      <w:numPr>
        <w:ilvl w:val="3"/>
        <w:numId w:val="8"/>
      </w:numPr>
      <w:spacing w:before="50" w:beforeLines="50" w:after="50" w:afterLines="50"/>
      <w:ind w:firstLineChars="0"/>
    </w:pPr>
    <w:rPr>
      <w:rFonts w:ascii="黑体" w:eastAsia="黑体"/>
    </w:rPr>
  </w:style>
  <w:style w:type="paragraph" w:customStyle="1" w:styleId="206">
    <w:name w:val="标准文件_引言四级条标题"/>
    <w:basedOn w:val="59"/>
    <w:next w:val="59"/>
    <w:qFormat/>
    <w:uiPriority w:val="0"/>
    <w:pPr>
      <w:numPr>
        <w:ilvl w:val="4"/>
        <w:numId w:val="8"/>
      </w:numPr>
      <w:spacing w:before="50" w:beforeLines="50" w:after="50" w:afterLines="50"/>
      <w:ind w:firstLineChars="0"/>
    </w:pPr>
    <w:rPr>
      <w:rFonts w:ascii="黑体" w:eastAsia="黑体"/>
    </w:rPr>
  </w:style>
  <w:style w:type="paragraph" w:customStyle="1" w:styleId="207">
    <w:name w:val="标准文件_引言五级条标题"/>
    <w:basedOn w:val="59"/>
    <w:next w:val="59"/>
    <w:qFormat/>
    <w:uiPriority w:val="0"/>
    <w:pPr>
      <w:numPr>
        <w:ilvl w:val="5"/>
        <w:numId w:val="8"/>
      </w:numPr>
      <w:spacing w:before="50" w:beforeLines="50" w:after="50" w:afterLines="50"/>
      <w:ind w:firstLineChars="0"/>
    </w:pPr>
    <w:rPr>
      <w:rFonts w:ascii="黑体" w:eastAsia="黑体"/>
    </w:rPr>
  </w:style>
  <w:style w:type="paragraph" w:customStyle="1" w:styleId="208">
    <w:name w:val="标准文件_注后"/>
    <w:basedOn w:val="59"/>
    <w:qFormat/>
    <w:uiPriority w:val="0"/>
    <w:pPr>
      <w:ind w:left="811" w:firstLine="0" w:firstLineChars="0"/>
    </w:pPr>
    <w:rPr>
      <w:sz w:val="18"/>
    </w:rPr>
  </w:style>
  <w:style w:type="paragraph" w:customStyle="1" w:styleId="209">
    <w:name w:val="标准文件_注X后"/>
    <w:basedOn w:val="59"/>
    <w:qFormat/>
    <w:uiPriority w:val="0"/>
    <w:pPr>
      <w:ind w:left="811" w:firstLine="0" w:firstLineChars="0"/>
    </w:pPr>
    <w:rPr>
      <w:sz w:val="18"/>
    </w:rPr>
  </w:style>
  <w:style w:type="paragraph" w:customStyle="1" w:styleId="210">
    <w:name w:val="标准文件_示例后"/>
    <w:basedOn w:val="59"/>
    <w:qFormat/>
    <w:uiPriority w:val="0"/>
    <w:pPr>
      <w:ind w:left="964" w:firstLine="0" w:firstLineChars="0"/>
    </w:pPr>
    <w:rPr>
      <w:sz w:val="18"/>
    </w:rPr>
  </w:style>
  <w:style w:type="paragraph" w:customStyle="1" w:styleId="211">
    <w:name w:val="标准文件_示例X后"/>
    <w:basedOn w:val="59"/>
    <w:link w:val="212"/>
    <w:qFormat/>
    <w:uiPriority w:val="0"/>
    <w:pPr>
      <w:ind w:left="1049" w:firstLine="0" w:firstLineChars="0"/>
    </w:pPr>
    <w:rPr>
      <w:sz w:val="18"/>
    </w:rPr>
  </w:style>
  <w:style w:type="character" w:customStyle="1" w:styleId="212">
    <w:name w:val="标准文件_示例X后 字符"/>
    <w:basedOn w:val="187"/>
    <w:link w:val="211"/>
    <w:qFormat/>
    <w:uiPriority w:val="0"/>
    <w:rPr>
      <w:rFonts w:ascii="宋体" w:hAnsi="Times New Roman"/>
      <w:sz w:val="18"/>
    </w:rPr>
  </w:style>
  <w:style w:type="paragraph" w:customStyle="1" w:styleId="213">
    <w:name w:val="标准文件_索引项"/>
    <w:basedOn w:val="59"/>
    <w:next w:val="59"/>
    <w:qFormat/>
    <w:uiPriority w:val="0"/>
    <w:pPr>
      <w:tabs>
        <w:tab w:val="right" w:leader="dot" w:pos="9356"/>
      </w:tabs>
      <w:ind w:left="210" w:hanging="210" w:firstLineChars="0"/>
      <w:jc w:val="left"/>
    </w:pPr>
  </w:style>
  <w:style w:type="paragraph" w:customStyle="1" w:styleId="214">
    <w:name w:val="标准文件_附录一级无标题"/>
    <w:basedOn w:val="81"/>
    <w:qFormat/>
    <w:uiPriority w:val="0"/>
    <w:pPr>
      <w:spacing w:before="0" w:beforeLines="0" w:after="0" w:afterLines="0" w:line="276" w:lineRule="auto"/>
      <w:outlineLvl w:val="9"/>
    </w:pPr>
    <w:rPr>
      <w:rFonts w:ascii="宋体" w:eastAsia="宋体"/>
    </w:rPr>
  </w:style>
  <w:style w:type="paragraph" w:customStyle="1" w:styleId="215">
    <w:name w:val="标准文件_附录二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三级无标题"/>
    <w:basedOn w:val="84"/>
    <w:qFormat/>
    <w:uiPriority w:val="0"/>
    <w:pPr>
      <w:spacing w:before="0" w:beforeLines="0" w:after="0" w:afterLines="0" w:line="276" w:lineRule="auto"/>
      <w:outlineLvl w:val="9"/>
    </w:pPr>
    <w:rPr>
      <w:rFonts w:ascii="宋体" w:eastAsia="宋体"/>
    </w:rPr>
  </w:style>
  <w:style w:type="paragraph" w:customStyle="1" w:styleId="217">
    <w:name w:val="标准文件_附录四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五级无标题"/>
    <w:basedOn w:val="87"/>
    <w:qFormat/>
    <w:uiPriority w:val="0"/>
    <w:pPr>
      <w:spacing w:before="0" w:beforeLines="0" w:after="0" w:afterLines="0" w:line="276" w:lineRule="auto"/>
      <w:outlineLvl w:val="9"/>
    </w:pPr>
    <w:rPr>
      <w:rFonts w:ascii="宋体" w:eastAsia="宋体"/>
    </w:rPr>
  </w:style>
  <w:style w:type="paragraph" w:customStyle="1" w:styleId="219">
    <w:name w:val="标准文件_引言一级无标题"/>
    <w:basedOn w:val="203"/>
    <w:next w:val="59"/>
    <w:qFormat/>
    <w:uiPriority w:val="0"/>
    <w:pPr>
      <w:spacing w:before="0" w:beforeLines="0" w:after="0" w:afterLines="0" w:line="276" w:lineRule="auto"/>
    </w:pPr>
    <w:rPr>
      <w:rFonts w:ascii="宋体" w:eastAsia="宋体"/>
    </w:rPr>
  </w:style>
  <w:style w:type="paragraph" w:customStyle="1" w:styleId="220">
    <w:name w:val="标准文件_引言二级无标题"/>
    <w:basedOn w:val="204"/>
    <w:next w:val="59"/>
    <w:qFormat/>
    <w:uiPriority w:val="0"/>
    <w:pPr>
      <w:spacing w:before="0" w:beforeLines="0" w:after="0" w:afterLines="0" w:line="276" w:lineRule="auto"/>
    </w:pPr>
    <w:rPr>
      <w:rFonts w:ascii="宋体" w:eastAsia="宋体"/>
    </w:rPr>
  </w:style>
  <w:style w:type="paragraph" w:customStyle="1" w:styleId="221">
    <w:name w:val="标准文件_引言三级无标题"/>
    <w:basedOn w:val="205"/>
    <w:qFormat/>
    <w:uiPriority w:val="0"/>
    <w:pPr>
      <w:spacing w:before="0" w:beforeLines="0" w:after="0" w:afterLines="0" w:line="276" w:lineRule="auto"/>
    </w:pPr>
    <w:rPr>
      <w:rFonts w:ascii="宋体" w:eastAsia="宋体"/>
    </w:rPr>
  </w:style>
  <w:style w:type="paragraph" w:customStyle="1" w:styleId="222">
    <w:name w:val="标准文件_引言四级无标题"/>
    <w:basedOn w:val="206"/>
    <w:next w:val="59"/>
    <w:qFormat/>
    <w:uiPriority w:val="0"/>
    <w:pPr>
      <w:spacing w:before="0" w:beforeLines="0" w:after="0" w:afterLines="0" w:line="276" w:lineRule="auto"/>
    </w:pPr>
    <w:rPr>
      <w:rFonts w:ascii="宋体" w:eastAsia="宋体"/>
    </w:rPr>
  </w:style>
  <w:style w:type="paragraph" w:customStyle="1" w:styleId="223">
    <w:name w:val="标准文件_引言五级无标题"/>
    <w:basedOn w:val="207"/>
    <w:next w:val="59"/>
    <w:qFormat/>
    <w:uiPriority w:val="0"/>
    <w:pPr>
      <w:spacing w:before="0" w:beforeLines="0" w:after="0" w:afterLines="0" w:line="276" w:lineRule="auto"/>
    </w:pPr>
    <w:rPr>
      <w:rFonts w:ascii="宋体" w:eastAsia="宋体"/>
    </w:rPr>
  </w:style>
  <w:style w:type="paragraph" w:customStyle="1" w:styleId="224">
    <w:name w:val="标准文件_索引标题"/>
    <w:basedOn w:val="66"/>
    <w:next w:val="59"/>
    <w:qFormat/>
    <w:uiPriority w:val="0"/>
    <w:rPr>
      <w:rFonts w:hAnsi="黑体"/>
    </w:rPr>
  </w:style>
  <w:style w:type="paragraph" w:customStyle="1" w:styleId="225">
    <w:name w:val="标准文件_脚注内容"/>
    <w:basedOn w:val="59"/>
    <w:qFormat/>
    <w:uiPriority w:val="0"/>
    <w:pPr>
      <w:ind w:left="400" w:leftChars="200" w:hanging="200" w:hangingChars="200"/>
    </w:pPr>
    <w:rPr>
      <w:sz w:val="15"/>
    </w:rPr>
  </w:style>
  <w:style w:type="paragraph" w:customStyle="1" w:styleId="226">
    <w:name w:val="标准文件_术语条一"/>
    <w:basedOn w:val="165"/>
    <w:next w:val="59"/>
    <w:qFormat/>
    <w:uiPriority w:val="0"/>
  </w:style>
  <w:style w:type="paragraph" w:customStyle="1" w:styleId="227">
    <w:name w:val="标准文件_术语条二"/>
    <w:basedOn w:val="168"/>
    <w:next w:val="59"/>
    <w:qFormat/>
    <w:uiPriority w:val="0"/>
  </w:style>
  <w:style w:type="paragraph" w:customStyle="1" w:styleId="228">
    <w:name w:val="标准文件_术语条三"/>
    <w:basedOn w:val="167"/>
    <w:next w:val="59"/>
    <w:qFormat/>
    <w:uiPriority w:val="0"/>
  </w:style>
  <w:style w:type="paragraph" w:customStyle="1" w:styleId="229">
    <w:name w:val="标准文件_术语条四"/>
    <w:basedOn w:val="170"/>
    <w:next w:val="59"/>
    <w:qFormat/>
    <w:uiPriority w:val="0"/>
  </w:style>
  <w:style w:type="paragraph" w:customStyle="1" w:styleId="230">
    <w:name w:val="标准文件_术语条五"/>
    <w:basedOn w:val="166"/>
    <w:next w:val="59"/>
    <w:qFormat/>
    <w:uiPriority w:val="0"/>
  </w:style>
  <w:style w:type="paragraph" w:customStyle="1" w:styleId="23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2">
    <w:name w:val="发布"/>
    <w:basedOn w:val="30"/>
    <w:qFormat/>
    <w:uiPriority w:val="0"/>
    <w:rPr>
      <w:rFonts w:ascii="黑体" w:eastAsia="黑体"/>
      <w:spacing w:val="85"/>
      <w:w w:val="100"/>
      <w:position w:val="3"/>
      <w:sz w:val="28"/>
      <w:szCs w:val="28"/>
    </w:rPr>
  </w:style>
  <w:style w:type="character" w:customStyle="1" w:styleId="233">
    <w:name w:val="批注文字 字符"/>
    <w:basedOn w:val="30"/>
    <w:link w:val="13"/>
    <w:semiHidden/>
    <w:qFormat/>
    <w:uiPriority w:val="0"/>
    <w:rPr>
      <w:kern w:val="2"/>
      <w:sz w:val="21"/>
      <w:szCs w:val="24"/>
    </w:rPr>
  </w:style>
  <w:style w:type="character" w:customStyle="1" w:styleId="234">
    <w:name w:val="段 Char"/>
    <w:link w:val="235"/>
    <w:qFormat/>
    <w:locked/>
    <w:uiPriority w:val="0"/>
    <w:rPr>
      <w:rFonts w:ascii="宋体" w:hAnsi="宋体"/>
      <w:sz w:val="21"/>
    </w:rPr>
  </w:style>
  <w:style w:type="paragraph" w:customStyle="1" w:styleId="235">
    <w:name w:val="段"/>
    <w:link w:val="234"/>
    <w:qFormat/>
    <w:uiPriority w:val="0"/>
    <w:pPr>
      <w:tabs>
        <w:tab w:val="center" w:pos="4201"/>
        <w:tab w:val="right" w:leader="dot" w:pos="9298"/>
      </w:tabs>
      <w:autoSpaceDE w:val="0"/>
      <w:autoSpaceDN w:val="0"/>
      <w:ind w:firstLine="420" w:firstLineChars="200"/>
      <w:jc w:val="both"/>
    </w:pPr>
    <w:rPr>
      <w:rFonts w:ascii="宋体" w:hAnsi="宋体" w:eastAsia="宋体" w:cs="Times New Roman"/>
      <w:sz w:val="21"/>
      <w:lang w:val="en-US" w:eastAsia="zh-CN" w:bidi="ar-SA"/>
    </w:rPr>
  </w:style>
  <w:style w:type="paragraph" w:customStyle="1" w:styleId="236">
    <w:name w:val="前言、引言标题"/>
    <w:next w:val="1"/>
    <w:qFormat/>
    <w:uiPriority w:val="0"/>
    <w:pPr>
      <w:keepNext/>
      <w:pageBreakBefore/>
      <w:shd w:val="clear" w:color="FFFFFF" w:fill="FFFFFF"/>
      <w:spacing w:before="640" w:after="560"/>
      <w:jc w:val="center"/>
      <w:outlineLvl w:val="0"/>
    </w:pPr>
    <w:rPr>
      <w:rFonts w:ascii="黑体" w:hAnsi="Times New Roman" w:eastAsia="黑体" w:cs="Times New Roman"/>
      <w:sz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jpe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242;&#20307;&#26631;&#20934;.dotx" TargetMode="Externa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6F06A3F579142B284F155CC161193BE"/>
        <w:style w:val=""/>
        <w:category>
          <w:name w:val="常规"/>
          <w:gallery w:val="placeholder"/>
        </w:category>
        <w:types>
          <w:type w:val="bbPlcHdr"/>
        </w:types>
        <w:behaviors>
          <w:behavior w:val="content"/>
        </w:behaviors>
        <w:description w:val=""/>
        <w:guid w:val="{3BDD3B13-A368-4E18-8A32-FFC87DD5DE40}"/>
      </w:docPartPr>
      <w:docPartBody>
        <w:p w14:paraId="5BC6AA5F">
          <w:pPr>
            <w:pStyle w:val="5"/>
            <w:rPr>
              <w:rFonts w:hint="eastAsia"/>
            </w:rPr>
          </w:pPr>
          <w:r>
            <w:rPr>
              <w:rStyle w:val="4"/>
              <w:rFonts w:hint="eastAsia"/>
            </w:rPr>
            <w:t>单击或点击此处输入文字。</w:t>
          </w:r>
        </w:p>
      </w:docPartBody>
    </w:docPart>
    <w:docPart>
      <w:docPartPr>
        <w:name w:val="{f13d85b2-02ed-471c-82ae-c7d278e4031b}"/>
        <w:style w:val=""/>
        <w:category>
          <w:name w:val="常规"/>
          <w:gallery w:val="placeholder"/>
        </w:category>
        <w:types>
          <w:type w:val="bbPlcHdr"/>
        </w:types>
        <w:behaviors>
          <w:behavior w:val="content"/>
        </w:behaviors>
        <w:description w:val=""/>
        <w:guid w:val="{F13D85B2-02ED-471C-82AE-C7D278E4031B}"/>
      </w:docPartPr>
      <w:docPartBody>
        <w:p w14:paraId="09C8C031">
          <w:pPr>
            <w:pStyle w:val="5"/>
            <w:rPr>
              <w:rFonts w:hint="eastAsia"/>
            </w:rPr>
          </w:pPr>
          <w:r>
            <w:rPr>
              <w:rStyle w:val="4"/>
              <w:rFonts w:hint="eastAsia"/>
            </w:rPr>
            <w:t>单击或点击此处输入文字。</w:t>
          </w:r>
        </w:p>
      </w:docPartBody>
    </w:docPart>
    <w:docPart>
      <w:docPartPr>
        <w:name w:val="{2a1eabfc-58e0-42a2-90d2-d724ea6cdf45}"/>
        <w:style w:val=""/>
        <w:category>
          <w:name w:val="常规"/>
          <w:gallery w:val="placeholder"/>
        </w:category>
        <w:types>
          <w:type w:val="bbPlcHdr"/>
        </w:types>
        <w:behaviors>
          <w:behavior w:val="content"/>
        </w:behaviors>
        <w:description w:val=""/>
        <w:guid w:val="{2A1EABFC-58E0-42A2-90D2-D724EA6CDF45}"/>
      </w:docPartPr>
      <w:docPartBody>
        <w:p w14:paraId="56FC4C57">
          <w:pPr>
            <w:pStyle w:val="6"/>
            <w:rPr>
              <w:rFonts w:hint="eastAsia"/>
            </w:rPr>
          </w:pPr>
          <w:r>
            <w:rPr>
              <w:rStyle w:val="4"/>
              <w:rFonts w:hint="eastAsia"/>
            </w:rPr>
            <w:t>选择一项。</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333"/>
    <w:rsid w:val="00012F39"/>
    <w:rsid w:val="00014650"/>
    <w:rsid w:val="000561A5"/>
    <w:rsid w:val="00084914"/>
    <w:rsid w:val="00085582"/>
    <w:rsid w:val="000D4A42"/>
    <w:rsid w:val="001151E1"/>
    <w:rsid w:val="001E2317"/>
    <w:rsid w:val="001E6C34"/>
    <w:rsid w:val="0023295D"/>
    <w:rsid w:val="00287381"/>
    <w:rsid w:val="0030641D"/>
    <w:rsid w:val="00314AE9"/>
    <w:rsid w:val="003541C4"/>
    <w:rsid w:val="00374ED0"/>
    <w:rsid w:val="003E714C"/>
    <w:rsid w:val="00407ACB"/>
    <w:rsid w:val="004B0E59"/>
    <w:rsid w:val="005237D5"/>
    <w:rsid w:val="005362EB"/>
    <w:rsid w:val="00573F03"/>
    <w:rsid w:val="005A1367"/>
    <w:rsid w:val="005C5F8D"/>
    <w:rsid w:val="005D2293"/>
    <w:rsid w:val="00614E8C"/>
    <w:rsid w:val="00677781"/>
    <w:rsid w:val="006C4CF4"/>
    <w:rsid w:val="006E1089"/>
    <w:rsid w:val="006E6C7C"/>
    <w:rsid w:val="00811635"/>
    <w:rsid w:val="00854AF6"/>
    <w:rsid w:val="00862503"/>
    <w:rsid w:val="008C61F9"/>
    <w:rsid w:val="008D4BFA"/>
    <w:rsid w:val="008E1F47"/>
    <w:rsid w:val="008F33EE"/>
    <w:rsid w:val="009063A4"/>
    <w:rsid w:val="00923186"/>
    <w:rsid w:val="009A4A4A"/>
    <w:rsid w:val="009C39DE"/>
    <w:rsid w:val="009E4D62"/>
    <w:rsid w:val="009E6991"/>
    <w:rsid w:val="009F0BCF"/>
    <w:rsid w:val="00A56CAE"/>
    <w:rsid w:val="00AB4DD5"/>
    <w:rsid w:val="00AE6C3B"/>
    <w:rsid w:val="00B22858"/>
    <w:rsid w:val="00B241C6"/>
    <w:rsid w:val="00B43518"/>
    <w:rsid w:val="00B9370D"/>
    <w:rsid w:val="00BE3DFA"/>
    <w:rsid w:val="00C31C5D"/>
    <w:rsid w:val="00C66E5C"/>
    <w:rsid w:val="00C83430"/>
    <w:rsid w:val="00CB03E2"/>
    <w:rsid w:val="00CC4214"/>
    <w:rsid w:val="00CD437F"/>
    <w:rsid w:val="00CE339E"/>
    <w:rsid w:val="00D37D95"/>
    <w:rsid w:val="00D74B32"/>
    <w:rsid w:val="00D81EDE"/>
    <w:rsid w:val="00D829E6"/>
    <w:rsid w:val="00DB2CCD"/>
    <w:rsid w:val="00DC5874"/>
    <w:rsid w:val="00DE6309"/>
    <w:rsid w:val="00E81333"/>
    <w:rsid w:val="00E84115"/>
    <w:rsid w:val="00E85F6B"/>
    <w:rsid w:val="00E92D88"/>
    <w:rsid w:val="00EA5E5E"/>
    <w:rsid w:val="00ED0543"/>
    <w:rsid w:val="00F3391E"/>
    <w:rsid w:val="00F358C4"/>
    <w:rsid w:val="00F66409"/>
    <w:rsid w:val="00FA0CC7"/>
    <w:rsid w:val="00FA57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96F06A3F579142B284F155CC161193BE"/>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customStyle="1" w:styleId="6">
    <w:name w:val="E4359493D385485D8CF110FD7A2FD49D"/>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0F809-F1B0-47A2-BF3F-77BC97C7211C}">
  <ds:schemaRefs/>
</ds:datastoreItem>
</file>

<file path=docProps/app.xml><?xml version="1.0" encoding="utf-8"?>
<Properties xmlns="http://schemas.openxmlformats.org/officeDocument/2006/extended-properties" xmlns:vt="http://schemas.openxmlformats.org/officeDocument/2006/docPropsVTypes">
  <Template>团体标准</Template>
  <Company>PCMI</Company>
  <Pages>11</Pages>
  <Words>2656</Words>
  <Characters>3101</Characters>
  <Lines>62</Lines>
  <Paragraphs>17</Paragraphs>
  <TotalTime>6</TotalTime>
  <ScaleCrop>false</ScaleCrop>
  <LinksUpToDate>false</LinksUpToDate>
  <CharactersWithSpaces>3274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2026-10-09T01:22:00Z</dcterms:created>
  <dc:creator>Administrator</dc:creator>
  <dc:description>&lt;config cover="true" show_menu="true" version="1.0.0" doctype="SDKXY"&gt;_x000d_
&lt;/config&gt;</dc:description>
  <cp:lastModifiedBy>Y 。</cp:lastModifiedBy>
  <cp:lastPrinted>2026-04-14T05:49:00Z</cp:lastPrinted>
  <dcterms:modified xsi:type="dcterms:W3CDTF">2026-10-13T06:11:39Z</dcterms:modified>
  <dc:title>团体标准</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eyJoZGlkIjoiM2Y3NDdhNGZhYzZhZGEyOGY5MTBjMTJiOTcwMzdiZjgiLCJ1c2VySWQiOiIyMDE1NjUxMzUifQ==</vt:lpwstr>
  </property>
  <property fmtid="{D5CDD505-2E9C-101B-9397-08002B2CF9AE}" pid="15" name="KSOProductBuildVer">
    <vt:lpwstr>2052-12.1.0.28505</vt:lpwstr>
  </property>
  <property fmtid="{D5CDD505-2E9C-101B-9397-08002B2CF9AE}" pid="16" name="ICV">
    <vt:lpwstr>291AEBD1832D4E6FA9706D411CC063AD_13</vt:lpwstr>
  </property>
</Properties>
</file>